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2020-12-29</w:t>
      </w:r>
    </w:p>
    <w:p>
      <w:r>
        <w:br w:type="page"/>
      </w:r>
    </w:p>
    <w:p>
      <w:pPr>
        <w:pStyle w:val="Heading1"/>
      </w:pPr>
      <w:bookmarkStart w:id="20" w:name="X0c01b892061e182798dd1f6f53422a04840bc4d"/>
      <w:r>
        <w:t xml:space="preserve">Section 1A - Water Chemistry and Stream Discharge</w:t>
      </w:r>
      <w:bookmarkEnd w:id="20"/>
    </w:p>
    <w:p>
      <w:pPr>
        <w:pStyle w:val="Heading2"/>
      </w:pPr>
      <w:bookmarkStart w:id="21" w:name="water-chemistry-methdology"/>
      <w:r>
        <w:t xml:space="preserve">Water Chemistry Methdology</w:t>
      </w:r>
      <w:bookmarkEnd w:id="21"/>
    </w:p>
    <w:p>
      <w:pPr>
        <w:pStyle w:val="FirstParagraph"/>
      </w:pPr>
      <w:r>
        <w:t xml:space="preserve">SMAS and HREP</w:t>
      </w:r>
      <w:r>
        <w:br/>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p>
    <w:p>
      <w:pPr>
        <w:pStyle w:val="BodyText"/>
      </w:pP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420a5e6d-cb55-422a-889b-6824c3bc77d1"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0a5e6d-cb55-422a-889b-6824c3bc77d1"/>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2"/>
      </w:pPr>
      <w:bookmarkStart w:id="22" w:name="exceedances-of-water-quality-standards"/>
      <w:r>
        <w:t xml:space="preserve">Exceedances of Water Quality Standards</w:t>
      </w:r>
      <w:bookmarkEnd w:id="22"/>
    </w:p>
    <w:p>
      <w:pPr>
        <w:pStyle w:val="FirstParagraph"/>
      </w:pPr>
      <w:r>
        <w:t xml:space="preserve">Exceedances of water quality standards occurred in 13 of 21 WI/PWL segments. A total of 32 lab-measured, and 6 in situ water quality analytes, were analyzed and out of the 6101 lab-measured records and 1475 in situ water quality records, there were 65 exceedances of established water quality standards (6 NYCRR Part 703). There were exceedances in .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w:t>
      </w:r>
      <w:hyperlink w:anchor="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chemgraphs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hyperlink w:anchor="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insituChem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Chlorophyll-a; inorganic nitrogen (NO2+NO3); organic nitrogen (Total Kjeldahl Nitrogen); Total Phosphorus; Total Dissolved Solids; Dissolved Oxygen (in situ), Temperature (in situ), Conductance (in situ) and pH (in situ). To provide context, each figure contains lines representing the 25th, 75th, and 95th percentiles of each analyte collected statewide by SMAS from 2001 to 2019. Exceedance within a PWL segment are indicated by an asterisk. Site specific exceedances are quantified in Section II.</w:t>
      </w:r>
    </w:p>
    <w:p>
      <w:pPr>
        <w:jc w:val="center"/>
        <w:pStyle w:val="Figure"/>
      </w:pPr>
      <w:r>
        <w:rPr/>
        <w:drawing>
          <wp:inline distT="0" distB="0" distL="0" distR="0">
            <wp:extent cx="54864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2369f00-2518-411f-b294-223753a8594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2369f00-2518-411f-b294-223753a8594b"/>
      <w:r>
        <w:t xml:space="preserve">: </w:t>
      </w:r>
      <w:r>
        <w:t xml:space="preserve">Nitrate+Nitrite,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22955f7-daaa-4234-864f-c146298bf6b4"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2955f7-daaa-4234-864f-c146298bf6b4"/>
      <w:r>
        <w:t xml:space="preserve">: </w:t>
      </w:r>
      <w:r>
        <w:t xml:space="preserve">Chlorophyll 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a074260-6960-418e-826c-424202cc1bf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074260-6960-418e-826c-424202cc1bfb"/>
      <w:r>
        <w:t xml:space="preserve">: </w:t>
      </w:r>
      <w:r>
        <w:t xml:space="preserve">Total Phosphorus,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ce4e6c0-3963-4557-afa3-2893ba06073e"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e4e6c0-3963-4557-afa3-2893ba06073e"/>
      <w:r>
        <w:t xml:space="preserve">: </w:t>
      </w:r>
      <w:r>
        <w:t xml:space="preserve">Total Kjeldahl Nitrogen,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b6fc064f-7be2-4f11-b7c0-a3da7a2b9788"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fc064f-7be2-4f11-b7c0-a3da7a2b9788"/>
      <w:r>
        <w:t xml:space="preserve">: </w:t>
      </w:r>
      <w:r>
        <w:t xml:space="preserve">Chloride,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07261e5-4d8c-4ccc-a913-9ae93085bd67"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07261e5-4d8c-4ccc-a913-9ae93085bd67"/>
      <w:r>
        <w:t xml:space="preserve">: </w:t>
      </w:r>
      <w:r>
        <w:t xml:space="preserve">Total Dissolved Solids,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74742c5-b26d-4ca7-86e8-ae55c9d29d8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74742c5-b26d-4ca7-86e8-ae55c9d29d88"/>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f2fea9f7-c02a-436d-8ae7-38ff7f4f1560"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fea9f7-c02a-436d-8ae7-38ff7f4f1560"/>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f00d879d-e9f2-46ee-a94d-dc80756028bf"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0d879d-e9f2-46ee-a94d-dc80756028bf"/>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0c3a510-0426-4d65-9cea-cdbfd48dee3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0c3a510-0426-4d65-9cea-cdbfd48dee36"/>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e033374-2f9f-46f2-99e1-9d4cabe6ba10"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033374-2f9f-46f2-99e1-9d4cabe6ba10"/>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54864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fd31a2ac-59cd-4004-a9c7-60646afc6a8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31a2ac-59cd-4004-a9c7-60646afc6a8e"/>
      <w:r>
        <w:t xml:space="preserve">: </w:t>
      </w:r>
      <w:r>
        <w:t xml:space="preserve">Percent Saturation,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r>
        <w:br w:type="page"/>
      </w:r>
    </w:p>
    <w:p>
      <w:pPr>
        <w:pStyle w:val="Heading1"/>
      </w:pPr>
      <w:bookmarkStart w:id="23" w:name="X8f33ec2cf2a5f7dfebab01bc746d57e0540829b"/>
      <w:r>
        <w:t xml:space="preserve">Section 1B - Benthic Macroinvertebrate Community</w:t>
      </w:r>
      <w:bookmarkEnd w:id="23"/>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25" name="Picture"/>
            <a:graphic>
              <a:graphicData uri="http://schemas.openxmlformats.org/drawingml/2006/picture">
                <pic:pic>
                  <pic:nvPicPr>
                    <pic:cNvPr descr="bap.jpg" id="26" name="Picture"/>
                    <pic:cNvPicPr>
                      <a:picLocks noChangeArrowheads="1" noChangeAspect="1"/>
                    </pic:cNvPicPr>
                  </pic:nvPicPr>
                  <pic:blipFill>
                    <a:blip r:embed="rId24"/>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5943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1"/>
                    <a:srcRect/>
                    <a:stretch>
                      <a:fillRect/>
                    </a:stretch>
                  </pic:blipFill>
                  <pic:spPr bwMode="auto">
                    <a:xfrm>
                      <a:off x="0" y="0"/>
                      <a:ext cx="88900" cy="82550"/>
                    </a:xfrm>
                    <a:prstGeom prst="rect">
                      <a:avLst/>
                    </a:prstGeom>
                    <a:noFill/>
                  </pic:spPr>
                </pic:pic>
              </a:graphicData>
            </a:graphic>
          </wp:inline>
        </w:drawing>
      </w:r>
    </w:p>
    <w:p>
      <w:pPr>
        <w:pStyle w:val="ImageCaption"/>
      </w:pPr>
      <w:r>
        <w:t xml:space="preserve">Figure </w:t>
      </w:r>
      <w:bookmarkStart w:id="ebd6cb76-4a7a-484b-a812-bcecdf644d84"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bd6cb76-4a7a-484b-a812-bcecdf644d84"/>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1306-0061, 1306-0074, 1306-0059, 1306-0048, 1306-0047, 1306-0038, 1306-0027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 1306-0017, 1306-0078, 1306-0074, 1306-0048, 1306-0038, 1306-0027.</w:t>
      </w:r>
    </w:p>
    <w:p>
      <w:pPr>
        <w:pStyle w:val="BodyText"/>
      </w:pPr>
      <w:r>
        <w:t xml:space="preserve">`</w:t>
      </w:r>
    </w:p>
    <w:p>
      <w:pPr>
        <w:pStyle w:val="Heading1"/>
      </w:pPr>
      <w:bookmarkStart w:id="25" w:name="Xf902c53d879c4fd4716d1c3c01d5e5616ce6453"/>
      <w:r>
        <w:t xml:space="preserve">Section 1C - Stream Reach Physical Characteristics</w:t>
      </w:r>
      <w:bookmarkEnd w:id="25"/>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(n=15), altered (n=5), moderate (n=8), severe (n=2).</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2b534d96-192f-4f7f-b4d6-3ebb7a50d471"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534d96-192f-4f7f-b4d6-3ebb7a50d471"/>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03"/>
        <w:tblLook w:firstRow="1" w:lastRow="0" w:firstColumn="0" w:lastColumn="0" w:noHBand="0" w:noVBand="1"/>
      </w:tblPr>
      <w:tblGrid>
        <w:gridCol w:w="940"/>
        <w:gridCol w:w="585"/>
        <w:gridCol w:w="518"/>
        <w:gridCol w:w="676"/>
        <w:gridCol w:w="843"/>
        <w:gridCol w:w="849"/>
        <w:gridCol w:w="665"/>
        <w:gridCol w:w="771"/>
        <w:gridCol w:w="648"/>
        <w:gridCol w:w="615"/>
        <w:gridCol w:w="815"/>
        <w:gridCol w:w="826"/>
        <w:gridCol w:w="609"/>
        <w:gridCol w:w="593"/>
        <w:gridCol w:w="876"/>
        <w:gridCol w:w="887"/>
        <w:gridCol w:w="743"/>
        <w:gridCol w:w="843"/>
      </w:tblGrid>
      <w:tr>
        <w:trPr>
          <w:cantSplit/>
          <w:trHeight w:val="2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SITE_ID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PWL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Gradient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0"/>
                <w:szCs w:val="10"/>
                <w:color w:val="111111"/>
              </w:rPr>
              <w:t xml:space="preserve">HMA </w:t>
              <w:br/>
              <w:t xml:space="preserve"> Assess.</w:t>
            </w:r>
          </w:p>
        </w:tc>
      </w:tr>
      <w:tr>
        <w:trPr>
          <w:cantSplit/>
          <w:trHeight w:val="18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59.7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Severe</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61.0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79.6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Altered</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Severe</w:t>
            </w:r>
          </w:p>
        </w:tc>
      </w:tr>
      <w:tr>
        <w:trPr>
          <w:cantSplit/>
          <w:trHeight w:val="18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8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13-RIOG-0.7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Altered</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76.2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Altered</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63.0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13-MASO-0.2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13-WALK-44.4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Altered</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13-WALK-35.6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66.3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8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87.3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Altered</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87.0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61.3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8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Moderate</w:t>
            </w:r>
          </w:p>
        </w:tc>
      </w:tr>
      <w:tr>
        <w:trPr>
          <w:cantSplit/>
          <w:trHeight w:val="18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91.3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r>
        <w:trPr>
          <w:cantSplit/>
          <w:trHeight w:val="1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13-SWAK-1.7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1306-0039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91.2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1"/>
      </w:pPr>
      <w:bookmarkStart w:id="26" w:name="section-1d---user-perception"/>
      <w:r>
        <w:t xml:space="preserve">Section 1D - User Perception</w:t>
      </w:r>
      <w:bookmarkEnd w:id="26"/>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2"/>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37696af2-6f4b-41fb-b505-dd67973fbd16"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7696af2-6f4b-41fb-b505-dd67973fbd16"/>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45476cbf-d5d4-4511-82f3-1d969e765a07"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5476cbf-d5d4-4511-82f3-1d969e765a07"/>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60"/>
        <w:tblLook w:firstRow="1" w:lastRow="0" w:firstColumn="0" w:lastColumn="0" w:noHBand="0" w:noVBand="1"/>
      </w:tblPr>
      <w:tblGrid>
        <w:gridCol w:w="1022"/>
        <w:gridCol w:w="1441"/>
        <w:gridCol w:w="1258"/>
        <w:gridCol w:w="2245"/>
        <w:gridCol w:w="942"/>
        <w:gridCol w:w="1005"/>
        <w:gridCol w:w="489"/>
        <w:gridCol w:w="542"/>
        <w:gridCol w:w="1516"/>
      </w:tblGrid>
      <w:tr>
        <w:trPr>
          <w:cantSplit/>
          <w:trHeight w:val="2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SH_PWL_ID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Dishcarge </w:t>
              <w:br/>
              <w:t xml:space="preserve"> Pipes</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3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r>
        <w:br w:type="page"/>
      </w:r>
    </w:p>
    <w:p>
      <w:pPr>
        <w:pStyle w:val="TableCaption"/>
      </w:pPr>
      <w:r>
        <w:t xml:space="preserve">Table </w:t>
      </w:r>
      <w:bookmarkStart w:id="3c9ed24e-d99f-45d0-ab0d-8437b8c08e49"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c9ed24e-d99f-45d0-ab0d-8437b8c08e49"/>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18"/>
        <w:tblLook w:firstRow="1" w:lastRow="0" w:firstColumn="0" w:lastColumn="0" w:noHBand="0" w:noVBand="1"/>
      </w:tblPr>
      <w:tblGrid>
        <w:gridCol w:w="967"/>
        <w:gridCol w:w="1274"/>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13-WALK-9.8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pPr>
        <w:pStyle w:val="Heading1"/>
      </w:pPr>
      <w:bookmarkStart w:id="27" w:name="X8b9f80cff800192340a10c14ae659e213c14d81"/>
      <w:r>
        <w:t xml:space="preserve">Section 1E - Sediment and Porewater Microtox® Analysis</w:t>
      </w:r>
      <w:bookmarkEnd w:id="27"/>
    </w:p>
    <w:p>
      <w:pPr>
        <w:pStyle w:val="FirstParagraph"/>
      </w:pPr>
      <w:r>
        <w:t xml:space="preserve">Toxicity testing of surface waters, sediments, porewaters, and effluents are routinely performed as part of the RIBS program (</w:t>
      </w:r>
      <w:hyperlink r:id="rId28">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(Table</w:t>
      </w:r>
      <w:hyperlink w:anchor="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Tox-table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Wallkill Watershed, sediments ranged from non-toxic to severe and porewaters ranged from non-toxic to toxic.</w:t>
      </w:r>
    </w:p>
    <w:p>
      <w:pPr>
        <w:pStyle w:val="TableCaption"/>
      </w:pPr>
      <w:r>
        <w:t xml:space="preserve">Table </w:t>
      </w:r>
      <w:bookmarkStart w:id="d011b484-de97-437d-ac28-7e8893d9f118"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11b484-de97-437d-ac28-7e8893d9f118"/>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50"/>
        <w:tblLook w:firstRow="1" w:lastRow="0" w:firstColumn="0" w:lastColumn="0" w:noHBand="0" w:noVBand="1"/>
      </w:tblPr>
      <w:tblGrid>
        <w:gridCol w:w="1767"/>
        <w:gridCol w:w="1571"/>
        <w:gridCol w:w="1728"/>
        <w:gridCol w:w="1728"/>
        <w:gridCol w:w="1728"/>
        <w:gridCol w:w="1728"/>
      </w:tblGrid>
      <w:tr>
        <w:trPr>
          <w:cantSplit/>
          <w:trHeight w:val="454"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23"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anchor distT="0" distB="0" distL="114300" distR="114300" simplePos="0" relativeHeight="251658240" behindDoc="0" locked="0" layoutInCell="1" allowOverlap="1" wp14:anchorId="773B9460" wp14:editId="025AED34">
          <wp:simplePos x="0" y="0"/>
          <wp:positionH relativeFrom="margin">
            <wp:posOffset>-144780</wp:posOffset>
          </wp:positionH>
          <wp:positionV relativeFrom="topMargin">
            <wp:align>bottom</wp:align>
          </wp:positionV>
          <wp:extent cx="1554480" cy="716280"/>
          <wp:effectExtent l="0" t="0" r="7620" b="7620"/>
          <wp:wrapSquare wrapText="bothSides"/>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4" Type="http://schemas.openxmlformats.org/officeDocument/2006/relationships/image" Target="media/rId24.jpg"/><Relationship Id="rId28" Type="http://schemas.openxmlformats.org/officeDocument/2006/relationships/hyperlink" Target="https://www.dec.ny.gov/chemical/29854.html" TargetMode="External"/><Relationship Id="rId29" Type="http://schemas.openxmlformats.org/officeDocument/2006/relationships/image" Target="media/file33601b6e5130.png"/><Relationship Id="rId30" Type="http://schemas.openxmlformats.org/officeDocument/2006/relationships/image" Target="media/file33602135380.png"/><Relationship Id="rId31" Type="http://schemas.openxmlformats.org/officeDocument/2006/relationships/image" Target="media/file33607bc96070.png"/><Relationship Id="rId32" Type="http://schemas.openxmlformats.org/officeDocument/2006/relationships/image" Target="media/file3360e96860.png"/><Relationship Id="rId33" Type="http://schemas.openxmlformats.org/officeDocument/2006/relationships/image" Target="media/file33604f30dd3.png"/><Relationship Id="rId34" Type="http://schemas.openxmlformats.org/officeDocument/2006/relationships/image" Target="media/file3360496a4fba.png"/><Relationship Id="rId35" Type="http://schemas.openxmlformats.org/officeDocument/2006/relationships/image" Target="media/file3360799c4ee1.png"/><Relationship Id="rId36" Type="http://schemas.openxmlformats.org/officeDocument/2006/relationships/image" Target="media/file3360716f4ff8.png"/><Relationship Id="rId37" Type="http://schemas.openxmlformats.org/officeDocument/2006/relationships/image" Target="media/file336062df66d9.png"/><Relationship Id="rId38" Type="http://schemas.openxmlformats.org/officeDocument/2006/relationships/image" Target="media/file33605b805cf0.png"/><Relationship Id="rId39" Type="http://schemas.openxmlformats.org/officeDocument/2006/relationships/image" Target="media/file33601eda33f5.png"/><Relationship Id="rId40" Type="http://schemas.openxmlformats.org/officeDocument/2006/relationships/image" Target="media/file336040a56f51.png"/><Relationship Id="rId41" Type="http://schemas.openxmlformats.org/officeDocument/2006/relationships/image" Target="media/file336065f161ee.png"/><Relationship Id="rId42" Type="http://schemas.openxmlformats.org/officeDocument/2006/relationships/image" Target="media/file3360c7a6b41.png"/></Relationships>
</file>

<file path=word/_rels/footnotes.xml.rels><?xml version="1.0" encoding="UTF-8" standalone="yes"?>
<Relationships  xmlns="http://schemas.openxmlformats.org/package/2006/relationships"><Relationship Id="rId28"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2020-12-29T20:17:32Z</dcterms:created>
  <dcterms:modified xsi:type="dcterms:W3CDTF">2020-12-29T15:17:40Z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2020-12-29</vt:lpwstr>
  </property>
  <property fmtid="{D5CDD505-2E9C-101B-9397-08002B2CF9AE}" pid="3" name="output">
    <vt:lpwstr/>
  </property>
</Properties>
</file>