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rFonts w:ascii="Times New Roman" w:cs="Times New Roman" w:eastAsia="Times New Roman" w:hAnsi="Times New Roman"/>
        </w:rPr>
      </w:pPr>
      <w:bookmarkStart w:colFirst="0" w:colLast="0" w:name="_6b5pxzim55wv" w:id="0"/>
      <w:bookmarkEnd w:id="0"/>
      <w:r w:rsidDel="00000000" w:rsidR="00000000" w:rsidRPr="00000000">
        <w:rPr>
          <w:rFonts w:ascii="Times New Roman" w:cs="Times New Roman" w:eastAsia="Times New Roman" w:hAnsi="Times New Roman"/>
          <w:rtl w:val="0"/>
        </w:rPr>
        <w:t xml:space="preserve">Objectief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Het doel van de load test was om aan te tonen dat onze architectuur voldoet aan NFR-02, namelijk dat het systeem een piekbelasting van 200.000 events per seconde moet kunnen verwerken. De load test moest dus bewijzen dat onze Kafka-, Spark- en Cassandra-architectuur deze belasting niet alleen aankan maar ook stabiel blijft onder </w:t>
      </w:r>
      <w:r w:rsidDel="00000000" w:rsidR="00000000" w:rsidRPr="00000000">
        <w:rPr>
          <w:rFonts w:ascii="Times New Roman" w:cs="Times New Roman" w:eastAsia="Times New Roman" w:hAnsi="Times New Roman"/>
          <w:rtl w:val="0"/>
        </w:rPr>
        <w:t xml:space="preserve">extreme</w:t>
      </w:r>
      <w:r w:rsidDel="00000000" w:rsidR="00000000" w:rsidRPr="00000000">
        <w:rPr>
          <w:rFonts w:ascii="Times New Roman" w:cs="Times New Roman" w:eastAsia="Times New Roman" w:hAnsi="Times New Roman"/>
          <w:rtl w:val="0"/>
        </w:rPr>
        <w:t xml:space="preserve"> druk.</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3"/>
        <w:rPr>
          <w:rFonts w:ascii="Times New Roman" w:cs="Times New Roman" w:eastAsia="Times New Roman" w:hAnsi="Times New Roman"/>
        </w:rPr>
      </w:pPr>
      <w:bookmarkStart w:colFirst="0" w:colLast="0" w:name="_a5pctntt7z7f" w:id="1"/>
      <w:bookmarkEnd w:id="1"/>
      <w:hyperlink w:anchor="_a5pctntt7z7f">
        <w:r w:rsidDel="00000000" w:rsidR="00000000" w:rsidRPr="00000000">
          <w:rPr>
            <w:rFonts w:ascii="Times New Roman" w:cs="Times New Roman" w:eastAsia="Times New Roman" w:hAnsi="Times New Roman"/>
            <w:color w:val="1155cc"/>
            <w:u w:val="single"/>
            <w:rtl w:val="0"/>
          </w:rPr>
          <w:t xml:space="preserve">STAP 1</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Installatie van Kafka-python en </w:t>
      </w:r>
      <w:hyperlink r:id="rId6">
        <w:r w:rsidDel="00000000" w:rsidR="00000000" w:rsidRPr="00000000">
          <w:rPr>
            <w:rFonts w:ascii="Times New Roman" w:cs="Times New Roman" w:eastAsia="Times New Roman" w:hAnsi="Times New Roman"/>
            <w:color w:val="1155cc"/>
            <w:u w:val="single"/>
            <w:rtl w:val="0"/>
          </w:rPr>
          <w:t xml:space="preserve">producer script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72720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20" w:before="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111500"/>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before="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120" w:before="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120" w:before="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120" w:before="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pStyle w:val="Heading3"/>
        <w:spacing w:after="120" w:before="120" w:line="240" w:lineRule="auto"/>
        <w:rPr>
          <w:rFonts w:ascii="Times New Roman" w:cs="Times New Roman" w:eastAsia="Times New Roman" w:hAnsi="Times New Roman"/>
        </w:rPr>
      </w:pPr>
      <w:bookmarkStart w:colFirst="0" w:colLast="0" w:name="_et96ykbiih3j" w:id="2"/>
      <w:bookmarkEnd w:id="2"/>
      <w:hyperlink w:anchor="_et96ykbiih3j">
        <w:r w:rsidDel="00000000" w:rsidR="00000000" w:rsidRPr="00000000">
          <w:rPr>
            <w:rFonts w:ascii="Times New Roman" w:cs="Times New Roman" w:eastAsia="Times New Roman" w:hAnsi="Times New Roman"/>
            <w:color w:val="1155cc"/>
            <w:u w:val="single"/>
            <w:rtl w:val="0"/>
          </w:rPr>
          <w:t xml:space="preserve">STAP 2</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Instellen van Kafka partities op dc1-kafka. Dit zorgt ervoor dat Kafka parallel kan werken zodat elke virtuele machine zijn eigen deel van de load kan verwerken zonder elkaar te blokkeren. Het is ook belangrijk om:</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geen wachtrij te hebben</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een exponentieel stijging in totale throughputte genereren</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te kunnen repliceren</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brokers te kunnen herstarten zonder dat de pipeline stopt</w:t>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635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1003300"/>
            <wp:effectExtent b="0" l="0" r="0" t="0"/>
            <wp:docPr id="1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pStyle w:val="Heading4"/>
        <w:spacing w:after="240" w:before="240" w:line="240" w:lineRule="auto"/>
        <w:rPr>
          <w:rFonts w:ascii="Times New Roman" w:cs="Times New Roman" w:eastAsia="Times New Roman" w:hAnsi="Times New Roman"/>
        </w:rPr>
      </w:pPr>
      <w:bookmarkStart w:colFirst="0" w:colLast="0" w:name="_suiicx75om0a" w:id="3"/>
      <w:bookmarkEnd w:id="3"/>
      <w:hyperlink w:anchor="_suiicx75om0a">
        <w:r w:rsidDel="00000000" w:rsidR="00000000" w:rsidRPr="00000000">
          <w:rPr>
            <w:rFonts w:ascii="Times New Roman" w:cs="Times New Roman" w:eastAsia="Times New Roman" w:hAnsi="Times New Roman"/>
            <w:color w:val="1155cc"/>
            <w:u w:val="single"/>
            <w:rtl w:val="0"/>
          </w:rPr>
          <w:t xml:space="preserve">STAP 3</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Daarna hebben wij alle producers tegelijk herstart omdat dit de enige manier is om een realistische piekbelasting te simuleren en om te testen of onze architectuur volledig stabiel blijft.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Door alle producers gelijktijdig te herstarten, garanderen we dat: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Kafka in één keer miljoenen events per seconde moet verwerken</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 totale throughput eerlijk gemeten wordt</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bottlenecks kunnen identificeren</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kunnen bewijzen dat de architectuur horizontaal schaalbaar is</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Cassandra onmiddellijk massaal veel writes ontvangt</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Spark streaming onmiddellijk duizenden batches per seconde moet verwerken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3"/>
        <w:rPr>
          <w:rFonts w:ascii="Times New Roman" w:cs="Times New Roman" w:eastAsia="Times New Roman" w:hAnsi="Times New Roman"/>
        </w:rPr>
      </w:pPr>
      <w:bookmarkStart w:colFirst="0" w:colLast="0" w:name="_xkaa354845ip" w:id="4"/>
      <w:bookmarkEnd w:id="4"/>
      <w:hyperlink w:anchor="_xkaa354845ip">
        <w:r w:rsidDel="00000000" w:rsidR="00000000" w:rsidRPr="00000000">
          <w:rPr>
            <w:rFonts w:ascii="Times New Roman" w:cs="Times New Roman" w:eastAsia="Times New Roman" w:hAnsi="Times New Roman"/>
            <w:color w:val="1155cc"/>
            <w:u w:val="single"/>
            <w:rtl w:val="0"/>
          </w:rPr>
          <w:t xml:space="preserve">Test 1</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2616200"/>
            <wp:effectExtent b="0" l="0" r="0" t="0"/>
            <wp:docPr id="1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149600"/>
            <wp:effectExtent b="0" l="0" r="0" t="0"/>
            <wp:docPr id="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25908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889500"/>
            <wp:effectExtent b="0" l="0" r="0" t="0"/>
            <wp:docPr id="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Pr>
        <w:drawing>
          <wp:inline distB="114300" distT="114300" distL="114300" distR="114300">
            <wp:extent cx="5731200" cy="4495800"/>
            <wp:effectExtent b="0" l="0" r="0" t="0"/>
            <wp:docPr id="1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rPr>
          <w:rFonts w:ascii="Times New Roman" w:cs="Times New Roman" w:eastAsia="Times New Roman" w:hAnsi="Times New Roman"/>
        </w:rPr>
      </w:pPr>
      <w:bookmarkStart w:colFirst="0" w:colLast="0" w:name="_g06ndysk77v9" w:id="5"/>
      <w:bookmarkEnd w:id="5"/>
      <w:hyperlink w:anchor="_g06ndysk77v9">
        <w:r w:rsidDel="00000000" w:rsidR="00000000" w:rsidRPr="00000000">
          <w:rPr>
            <w:rFonts w:ascii="Times New Roman" w:cs="Times New Roman" w:eastAsia="Times New Roman" w:hAnsi="Times New Roman"/>
            <w:color w:val="1155cc"/>
            <w:u w:val="single"/>
            <w:rtl w:val="0"/>
          </w:rPr>
          <w:t xml:space="preserve">Resultaten </w:t>
        </w:r>
      </w:hyperlink>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van 200K doel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dc1-kafka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612% → 1.2M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dc1-spark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887% → 1.8M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dc1-cassandra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905% → 1.8M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dc2-kafka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997% → 2.0M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dc2-spark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1017% → 2.0M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dc2-cassandra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1428% → 2.9M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dc3-kafka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1199% → 2.4M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dc3-spark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1019% → 2.0M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dc3-cassandra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1105% → 2.2M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dc4-kafka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899% → 1.8M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dc4-spark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1261% → 2.5 events/sec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dc4-cassandra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1128% → 2.3M events/sec</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Totaal samen: 25 miljoen events/sec - 125x het doel van 200K.</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3"/>
        <w:rPr>
          <w:rFonts w:ascii="Times New Roman" w:cs="Times New Roman" w:eastAsia="Times New Roman" w:hAnsi="Times New Roman"/>
        </w:rPr>
      </w:pPr>
      <w:bookmarkStart w:colFirst="0" w:colLast="0" w:name="_3cn196g2frz9" w:id="6"/>
      <w:bookmarkEnd w:id="6"/>
      <w:hyperlink w:anchor="_3cn196g2frz9">
        <w:r w:rsidDel="00000000" w:rsidR="00000000" w:rsidRPr="00000000">
          <w:rPr>
            <w:rFonts w:ascii="Times New Roman" w:cs="Times New Roman" w:eastAsia="Times New Roman" w:hAnsi="Times New Roman"/>
            <w:color w:val="1155cc"/>
            <w:u w:val="single"/>
            <w:rtl w:val="0"/>
          </w:rPr>
          <w:t xml:space="preserve">Test 2</w:t>
        </w:r>
      </w:hyperlink>
      <w:r w:rsidDel="00000000" w:rsidR="00000000" w:rsidRPr="00000000">
        <w:rPr>
          <w:rtl w:val="0"/>
        </w:rPr>
      </w:r>
    </w:p>
    <w:p w:rsidR="00000000" w:rsidDel="00000000" w:rsidP="00000000" w:rsidRDefault="00000000" w:rsidRPr="00000000" w14:paraId="000000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hebben ook de verbinding tussen de spark master en de spark workers getest. Omdat de volledige streaming-architectuur afhankelijk is van een stabiel Spark Cluster. Tijdens de load testing hebben we het nadruk gelegd op de verbinding tussen spark master en spark worker want het is essentieel dat:</w:t>
      </w:r>
    </w:p>
    <w:p w:rsidR="00000000" w:rsidDel="00000000" w:rsidP="00000000" w:rsidRDefault="00000000" w:rsidRPr="00000000" w14:paraId="00000058">
      <w:pPr>
        <w:numPr>
          <w:ilvl w:val="0"/>
          <w:numId w:val="3"/>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Spark onder extreme load functioneert</w:t>
      </w:r>
    </w:p>
    <w:p w:rsidR="00000000" w:rsidDel="00000000" w:rsidP="00000000" w:rsidRDefault="00000000" w:rsidRPr="00000000" w14:paraId="00000059">
      <w:pPr>
        <w:numPr>
          <w:ilvl w:val="0"/>
          <w:numId w:val="3"/>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weten of Spark een bottleneck was of niet</w:t>
      </w:r>
    </w:p>
    <w:p w:rsidR="00000000" w:rsidDel="00000000" w:rsidP="00000000" w:rsidRDefault="00000000" w:rsidRPr="00000000" w14:paraId="0000005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31800"/>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2324100"/>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06400"/>
            <wp:effectExtent b="0" l="0" r="0" t="0"/>
            <wp:docPr id="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0">
      <w:pPr>
        <w:pStyle w:val="Heading4"/>
        <w:spacing w:after="240" w:before="240" w:line="240" w:lineRule="auto"/>
        <w:rPr>
          <w:rFonts w:ascii="Times New Roman" w:cs="Times New Roman" w:eastAsia="Times New Roman" w:hAnsi="Times New Roman"/>
        </w:rPr>
      </w:pPr>
      <w:bookmarkStart w:colFirst="0" w:colLast="0" w:name="_qsf6orqn76fe" w:id="7"/>
      <w:bookmarkEnd w:id="7"/>
      <w:r w:rsidDel="00000000" w:rsidR="00000000" w:rsidRPr="00000000">
        <w:rPr>
          <w:rFonts w:ascii="Times New Roman" w:cs="Times New Roman" w:eastAsia="Times New Roman" w:hAnsi="Times New Roman"/>
          <w:rtl w:val="0"/>
        </w:rPr>
        <w:t xml:space="preserve">Resultaten</w:t>
      </w:r>
    </w:p>
    <w:p w:rsidR="00000000" w:rsidDel="00000000" w:rsidP="00000000" w:rsidRDefault="00000000" w:rsidRPr="00000000" w14:paraId="0000006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dc2-spark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10.132.0.1.0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 GIB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dc3-spark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10.132.0.1.6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6.8 GIB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dc4-spark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10.132.0.1.7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 GIB</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4">
      <w:pPr>
        <w:pStyle w:val="Heading3"/>
        <w:rPr>
          <w:rFonts w:ascii="Times New Roman" w:cs="Times New Roman" w:eastAsia="Times New Roman" w:hAnsi="Times New Roman"/>
        </w:rPr>
      </w:pPr>
      <w:bookmarkStart w:colFirst="0" w:colLast="0" w:name="_x40mw58rzo5s" w:id="8"/>
      <w:bookmarkEnd w:id="8"/>
      <w:hyperlink w:anchor="_x40mw58rzo5s">
        <w:r w:rsidDel="00000000" w:rsidR="00000000" w:rsidRPr="00000000">
          <w:rPr>
            <w:rFonts w:ascii="Times New Roman" w:cs="Times New Roman" w:eastAsia="Times New Roman" w:hAnsi="Times New Roman"/>
            <w:color w:val="1155cc"/>
            <w:u w:val="single"/>
            <w:rtl w:val="0"/>
          </w:rPr>
          <w:t xml:space="preserve">Test 3</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Wij meten CPU, RAM en netwerk op alle VM’s tegelijk tijdens load testing om te bewijzen dat de volledige gedistribueerde pipeline stabiel blijft onder extreme piekbelasting en om de echte bottleneck in de architectuur te identificeren.</w:t>
      </w:r>
    </w:p>
    <w:p w:rsidR="00000000" w:rsidDel="00000000" w:rsidP="00000000" w:rsidRDefault="00000000" w:rsidRPr="00000000" w14:paraId="00000077">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2616200"/>
            <wp:effectExtent b="0" l="0" r="0" t="0"/>
            <wp:docPr id="1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267200"/>
            <wp:effectExtent b="0" l="0" r="0" t="0"/>
            <wp:docPr id="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A">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368800"/>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120" w:before="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4914900"/>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F">
      <w:pPr>
        <w:pStyle w:val="Heading4"/>
        <w:spacing w:after="240" w:before="240" w:line="240" w:lineRule="auto"/>
        <w:rPr>
          <w:rFonts w:ascii="Times New Roman" w:cs="Times New Roman" w:eastAsia="Times New Roman" w:hAnsi="Times New Roman"/>
        </w:rPr>
      </w:pPr>
      <w:bookmarkStart w:colFirst="0" w:colLast="0" w:name="_7raoww4yofpy" w:id="9"/>
      <w:bookmarkEnd w:id="9"/>
      <w:r w:rsidDel="00000000" w:rsidR="00000000" w:rsidRPr="00000000">
        <w:rPr>
          <w:rFonts w:ascii="Times New Roman" w:cs="Times New Roman" w:eastAsia="Times New Roman" w:hAnsi="Times New Roman"/>
          <w:rtl w:val="0"/>
        </w:rPr>
        <w:t xml:space="preserve">Resultaten</w:t>
      </w:r>
    </w:p>
    <w:p w:rsidR="00000000" w:rsidDel="00000000" w:rsidP="00000000" w:rsidRDefault="00000000" w:rsidRPr="00000000" w14:paraId="00000080">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 verbruik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geen probleem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geen probleem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kafka broker (dc1-kafka bottleneck)</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4"/>
        <w:rPr>
          <w:rFonts w:ascii="Times New Roman" w:cs="Times New Roman" w:eastAsia="Times New Roman" w:hAnsi="Times New Roman"/>
        </w:rPr>
      </w:pPr>
      <w:bookmarkStart w:colFirst="0" w:colLast="0" w:name="_vnxlblfsnv0" w:id="10"/>
      <w:bookmarkEnd w:id="10"/>
      <w:hyperlink w:anchor="_vnxlblfsnv0">
        <w:r w:rsidDel="00000000" w:rsidR="00000000" w:rsidRPr="00000000">
          <w:rPr>
            <w:rFonts w:ascii="Times New Roman" w:cs="Times New Roman" w:eastAsia="Times New Roman" w:hAnsi="Times New Roman"/>
            <w:color w:val="1155cc"/>
            <w:u w:val="single"/>
            <w:rtl w:val="0"/>
          </w:rPr>
          <w:t xml:space="preserve">Test 4</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hebben de tunneling snelheid gemeten op alle VM’s. Omdat:</w:t>
      </w:r>
    </w:p>
    <w:p w:rsidR="00000000" w:rsidDel="00000000" w:rsidP="00000000" w:rsidRDefault="00000000" w:rsidRPr="00000000" w14:paraId="0000008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 netwerkbandbreedte de maximale throughput van kafka bepaalt</w:t>
      </w:r>
    </w:p>
    <w:p w:rsidR="00000000" w:rsidDel="00000000" w:rsidP="00000000" w:rsidRDefault="00000000" w:rsidRPr="00000000" w14:paraId="0000008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Spark batches binnen milliseconden moet kunnen ophalen via het netwerk</w:t>
      </w:r>
    </w:p>
    <w:p w:rsidR="00000000" w:rsidDel="00000000" w:rsidP="00000000" w:rsidRDefault="00000000" w:rsidRPr="00000000" w14:paraId="0000008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Cassandra extreem</w:t>
      </w:r>
      <w:r w:rsidDel="00000000" w:rsidR="00000000" w:rsidRPr="00000000">
        <w:rPr>
          <w:rFonts w:ascii="Times New Roman" w:cs="Times New Roman" w:eastAsia="Times New Roman" w:hAnsi="Times New Roman"/>
          <w:rtl w:val="0"/>
        </w:rPr>
        <w:t xml:space="preserve"> veel writes moet ontvangen via het netwerk.</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886200"/>
            <wp:effectExtent b="0" l="0" r="0" t="0"/>
            <wp:docPr id="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pStyle w:val="Heading4"/>
        <w:spacing w:after="240" w:before="240" w:line="240" w:lineRule="auto"/>
        <w:rPr>
          <w:rFonts w:ascii="Times New Roman" w:cs="Times New Roman" w:eastAsia="Times New Roman" w:hAnsi="Times New Roman"/>
        </w:rPr>
      </w:pPr>
      <w:bookmarkStart w:colFirst="0" w:colLast="0" w:name="_lc6v7glxrc0k" w:id="11"/>
      <w:bookmarkEnd w:id="11"/>
      <w:hyperlink w:anchor="_g06ndysk77v9">
        <w:r w:rsidDel="00000000" w:rsidR="00000000" w:rsidRPr="00000000">
          <w:rPr>
            <w:rFonts w:ascii="Times New Roman" w:cs="Times New Roman" w:eastAsia="Times New Roman" w:hAnsi="Times New Roman"/>
            <w:color w:val="1155cc"/>
            <w:u w:val="single"/>
            <w:rtl w:val="0"/>
          </w:rPr>
          <w:t xml:space="preserve">Resultaten</w:t>
        </w:r>
      </w:hyperlink>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tunneling beperkt de snelheid vanuit Cloud Shell naar de virtuele machines maar dit is alleen voor het SSH-beheer (commando’s sturen). De producers zelf communiceren via 10.132.0.x netwerk, wat veel sneller is.</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0.png"/><Relationship Id="rId22" Type="http://schemas.openxmlformats.org/officeDocument/2006/relationships/image" Target="media/image7.png"/><Relationship Id="rId10" Type="http://schemas.openxmlformats.org/officeDocument/2006/relationships/image" Target="media/image6.png"/><Relationship Id="rId21"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7.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hyperlink" Target="https://drive.google.com/open?id=1RrdaZgA7LgrQCFxG2Y2wnLwf_KHqYwz2" TargetMode="External"/><Relationship Id="rId18" Type="http://schemas.openxmlformats.org/officeDocument/2006/relationships/image" Target="media/image16.png"/><Relationship Id="rId7" Type="http://schemas.openxmlformats.org/officeDocument/2006/relationships/image" Target="media/image1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