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EF60A" w14:textId="63109139" w:rsidR="000A0D65" w:rsidRPr="00941BA0" w:rsidRDefault="000A0D65" w:rsidP="000A0D65">
      <w:pPr>
        <w:rPr>
          <w:rFonts w:ascii="Arial" w:hAnsi="Arial" w:cs="Arial"/>
          <w:sz w:val="24"/>
          <w:szCs w:val="24"/>
        </w:rPr>
      </w:pPr>
      <w:r w:rsidRPr="00941BA0">
        <w:rPr>
          <w:rFonts w:ascii="Arial" w:hAnsi="Arial" w:cs="Arial"/>
          <w:sz w:val="24"/>
          <w:szCs w:val="24"/>
        </w:rPr>
        <w:t>I</w:t>
      </w:r>
      <w:r w:rsidRPr="00941BA0">
        <w:rPr>
          <w:rFonts w:ascii="Arial" w:hAnsi="Arial" w:cs="Arial"/>
          <w:sz w:val="24"/>
          <w:szCs w:val="24"/>
        </w:rPr>
        <w:t>. Introduction</w:t>
      </w:r>
    </w:p>
    <w:p w14:paraId="6D617E7E" w14:textId="5409D449" w:rsidR="000A0D65" w:rsidRPr="00941BA0" w:rsidRDefault="000A0D65">
      <w:pPr>
        <w:rPr>
          <w:rFonts w:ascii="Arial" w:hAnsi="Arial" w:cs="Arial"/>
          <w:sz w:val="24"/>
          <w:szCs w:val="24"/>
        </w:rPr>
      </w:pPr>
      <w:r w:rsidRPr="00941BA0">
        <w:rPr>
          <w:rFonts w:ascii="Arial" w:hAnsi="Arial" w:cs="Arial"/>
          <w:sz w:val="24"/>
          <w:szCs w:val="24"/>
        </w:rPr>
        <w:t>A. Description &amp; Discussion of the Background</w:t>
      </w:r>
    </w:p>
    <w:p w14:paraId="332A0039" w14:textId="2746B457" w:rsidR="009A091C" w:rsidRPr="00941BA0" w:rsidRDefault="009A091C">
      <w:pPr>
        <w:rPr>
          <w:rFonts w:ascii="Arial" w:hAnsi="Arial" w:cs="Arial"/>
          <w:sz w:val="24"/>
          <w:szCs w:val="24"/>
          <w:vertAlign w:val="superscript"/>
        </w:rPr>
      </w:pPr>
      <w:r w:rsidRPr="00941BA0">
        <w:rPr>
          <w:rFonts w:ascii="Arial" w:hAnsi="Arial" w:cs="Arial"/>
          <w:sz w:val="24"/>
          <w:szCs w:val="24"/>
        </w:rPr>
        <w:t xml:space="preserve">The National Capital Region of the Philippines (NCR) or more commonly known as Metro Manila is </w:t>
      </w:r>
      <w:r w:rsidR="00F1490C" w:rsidRPr="00941BA0">
        <w:rPr>
          <w:rFonts w:ascii="Arial" w:hAnsi="Arial" w:cs="Arial"/>
          <w:sz w:val="24"/>
          <w:szCs w:val="24"/>
        </w:rPr>
        <w:t xml:space="preserve">the largest </w:t>
      </w:r>
      <w:r w:rsidRPr="00941BA0">
        <w:rPr>
          <w:rFonts w:ascii="Arial" w:hAnsi="Arial" w:cs="Arial"/>
          <w:sz w:val="24"/>
          <w:szCs w:val="24"/>
        </w:rPr>
        <w:t>of the three metropolitan areas in the Philippines</w:t>
      </w:r>
      <w:r w:rsidR="00F1490C" w:rsidRPr="00941BA0">
        <w:rPr>
          <w:rFonts w:ascii="Arial" w:hAnsi="Arial" w:cs="Arial"/>
          <w:sz w:val="24"/>
          <w:szCs w:val="24"/>
        </w:rPr>
        <w:t xml:space="preserve"> where almost 13 million people live in a 619.57 square kilometer area.</w:t>
      </w:r>
      <w:r w:rsidR="000A0D65" w:rsidRPr="00941BA0">
        <w:rPr>
          <w:rFonts w:ascii="Arial" w:hAnsi="Arial" w:cs="Arial"/>
          <w:sz w:val="24"/>
          <w:szCs w:val="24"/>
          <w:vertAlign w:val="superscript"/>
        </w:rPr>
        <w:t>[1][2][3]</w:t>
      </w:r>
      <w:r w:rsidR="00F1490C" w:rsidRPr="00941BA0">
        <w:rPr>
          <w:rFonts w:ascii="Arial" w:hAnsi="Arial" w:cs="Arial"/>
          <w:sz w:val="24"/>
          <w:szCs w:val="24"/>
        </w:rPr>
        <w:t xml:space="preserve"> These numbers make Metro Manila the most densely populated region in the Philippines and the 5</w:t>
      </w:r>
      <w:r w:rsidR="00F1490C" w:rsidRPr="00941BA0">
        <w:rPr>
          <w:rFonts w:ascii="Arial" w:hAnsi="Arial" w:cs="Arial"/>
          <w:sz w:val="24"/>
          <w:szCs w:val="24"/>
          <w:vertAlign w:val="superscript"/>
        </w:rPr>
        <w:t>th</w:t>
      </w:r>
      <w:r w:rsidR="00F1490C" w:rsidRPr="00941BA0">
        <w:rPr>
          <w:rFonts w:ascii="Arial" w:hAnsi="Arial" w:cs="Arial"/>
          <w:sz w:val="24"/>
          <w:szCs w:val="24"/>
        </w:rPr>
        <w:t xml:space="preserve"> most populous urban area in the world.</w:t>
      </w:r>
      <w:r w:rsidR="000A0D65" w:rsidRPr="00941BA0">
        <w:rPr>
          <w:rFonts w:ascii="Arial" w:hAnsi="Arial" w:cs="Arial"/>
          <w:sz w:val="24"/>
          <w:szCs w:val="24"/>
          <w:vertAlign w:val="superscript"/>
        </w:rPr>
        <w:t>[4]</w:t>
      </w:r>
    </w:p>
    <w:p w14:paraId="5F870456" w14:textId="1A435A38" w:rsidR="00F1490C" w:rsidRPr="00941BA0" w:rsidRDefault="00F1490C">
      <w:pPr>
        <w:rPr>
          <w:rFonts w:ascii="Arial" w:hAnsi="Arial" w:cs="Arial"/>
          <w:sz w:val="24"/>
          <w:szCs w:val="24"/>
        </w:rPr>
      </w:pPr>
      <w:r w:rsidRPr="00941BA0">
        <w:rPr>
          <w:rFonts w:ascii="Arial" w:hAnsi="Arial" w:cs="Arial"/>
          <w:sz w:val="24"/>
          <w:szCs w:val="24"/>
        </w:rPr>
        <w:t xml:space="preserve">As a metropolitan area, it houses thousands of businesses, which means </w:t>
      </w:r>
      <w:r w:rsidR="003A01B8" w:rsidRPr="00941BA0">
        <w:rPr>
          <w:rFonts w:ascii="Arial" w:hAnsi="Arial" w:cs="Arial"/>
          <w:sz w:val="24"/>
          <w:szCs w:val="24"/>
        </w:rPr>
        <w:t>business owners needs to be smart where to place their businesses.</w:t>
      </w:r>
      <w:r w:rsidR="00CC4A1B" w:rsidRPr="00941BA0">
        <w:rPr>
          <w:rFonts w:ascii="Arial" w:hAnsi="Arial" w:cs="Arial"/>
          <w:sz w:val="24"/>
          <w:szCs w:val="24"/>
        </w:rPr>
        <w:t xml:space="preserve"> C</w:t>
      </w:r>
      <w:r w:rsidR="003A01B8" w:rsidRPr="00941BA0">
        <w:rPr>
          <w:rFonts w:ascii="Arial" w:hAnsi="Arial" w:cs="Arial"/>
          <w:sz w:val="24"/>
          <w:szCs w:val="24"/>
        </w:rPr>
        <w:t>lustering the different areas in the region and identifying the characteristics of the customers in those area</w:t>
      </w:r>
      <w:r w:rsidR="00CC4A1B" w:rsidRPr="00941BA0">
        <w:rPr>
          <w:rFonts w:ascii="Arial" w:hAnsi="Arial" w:cs="Arial"/>
          <w:sz w:val="24"/>
          <w:szCs w:val="24"/>
        </w:rPr>
        <w:t>s would help businesses to efficiently target their customers. Clustering the different areas in Metro Manila would also help people who want to migrate to the different areas in the region by having more information about the area the want to settle in.</w:t>
      </w:r>
    </w:p>
    <w:p w14:paraId="66C1FD0C" w14:textId="712661E6" w:rsidR="00CC4A1B" w:rsidRPr="00941BA0" w:rsidRDefault="00CC4A1B">
      <w:pPr>
        <w:rPr>
          <w:rFonts w:ascii="Arial" w:hAnsi="Arial" w:cs="Arial"/>
          <w:sz w:val="24"/>
          <w:szCs w:val="24"/>
        </w:rPr>
      </w:pPr>
      <w:r w:rsidRPr="00941BA0">
        <w:rPr>
          <w:rFonts w:ascii="Arial" w:hAnsi="Arial" w:cs="Arial"/>
          <w:sz w:val="24"/>
          <w:szCs w:val="24"/>
        </w:rPr>
        <w:t xml:space="preserve">This paper aims to create a map and an information chart about the different types of areas/neighborhood in Metro Manila according to the venues and businesses established </w:t>
      </w:r>
      <w:r w:rsidR="000A0D65" w:rsidRPr="00941BA0">
        <w:rPr>
          <w:rFonts w:ascii="Arial" w:hAnsi="Arial" w:cs="Arial"/>
          <w:sz w:val="24"/>
          <w:szCs w:val="24"/>
        </w:rPr>
        <w:t>using Clustering.</w:t>
      </w:r>
    </w:p>
    <w:p w14:paraId="6886B07C" w14:textId="54C76182" w:rsidR="000A0D65" w:rsidRPr="00941BA0" w:rsidRDefault="000A0D65">
      <w:pPr>
        <w:rPr>
          <w:rFonts w:ascii="Arial" w:hAnsi="Arial" w:cs="Arial"/>
          <w:sz w:val="24"/>
          <w:szCs w:val="24"/>
        </w:rPr>
      </w:pPr>
      <w:r w:rsidRPr="00941BA0">
        <w:rPr>
          <w:rFonts w:ascii="Arial" w:hAnsi="Arial" w:cs="Arial"/>
          <w:sz w:val="24"/>
          <w:szCs w:val="24"/>
        </w:rPr>
        <w:t>B. Data</w:t>
      </w:r>
    </w:p>
    <w:p w14:paraId="7FF48D31" w14:textId="659B6289" w:rsidR="000A0D65" w:rsidRPr="00941BA0" w:rsidRDefault="000A0D65">
      <w:pPr>
        <w:rPr>
          <w:rFonts w:ascii="Arial" w:hAnsi="Arial" w:cs="Arial"/>
          <w:sz w:val="24"/>
          <w:szCs w:val="24"/>
        </w:rPr>
      </w:pPr>
      <w:r w:rsidRPr="00941BA0">
        <w:rPr>
          <w:rFonts w:ascii="Arial" w:hAnsi="Arial" w:cs="Arial"/>
          <w:sz w:val="24"/>
          <w:szCs w:val="24"/>
        </w:rPr>
        <w:t xml:space="preserve">To </w:t>
      </w:r>
      <w:r w:rsidR="00480AD5" w:rsidRPr="00941BA0">
        <w:rPr>
          <w:rFonts w:ascii="Arial" w:hAnsi="Arial" w:cs="Arial"/>
          <w:sz w:val="24"/>
          <w:szCs w:val="24"/>
        </w:rPr>
        <w:t>produce the Clustering Model, the following datasets were used:</w:t>
      </w:r>
    </w:p>
    <w:p w14:paraId="71B59322" w14:textId="77777777" w:rsidR="0089173C" w:rsidRPr="00941BA0" w:rsidRDefault="00480AD5" w:rsidP="0089173C">
      <w:pPr>
        <w:pStyle w:val="ListParagraph"/>
        <w:numPr>
          <w:ilvl w:val="0"/>
          <w:numId w:val="1"/>
        </w:numPr>
        <w:ind w:left="720"/>
        <w:rPr>
          <w:rFonts w:ascii="Arial" w:hAnsi="Arial" w:cs="Arial"/>
          <w:sz w:val="24"/>
          <w:szCs w:val="24"/>
        </w:rPr>
      </w:pPr>
      <w:r w:rsidRPr="00941BA0">
        <w:rPr>
          <w:rFonts w:ascii="Arial" w:hAnsi="Arial" w:cs="Arial"/>
          <w:sz w:val="24"/>
          <w:szCs w:val="24"/>
        </w:rPr>
        <w:t xml:space="preserve">List of Areas in Metro Manila. From Wikipedia. </w:t>
      </w:r>
      <w:r w:rsidRPr="00941BA0">
        <w:rPr>
          <w:rFonts w:ascii="Arial" w:hAnsi="Arial" w:cs="Arial"/>
          <w:sz w:val="24"/>
          <w:szCs w:val="24"/>
          <w:vertAlign w:val="superscript"/>
        </w:rPr>
        <w:t>[5]</w:t>
      </w:r>
    </w:p>
    <w:p w14:paraId="7A62C67A" w14:textId="63593E3D" w:rsidR="0089173C" w:rsidRPr="00941BA0" w:rsidRDefault="00480AD5" w:rsidP="0089173C">
      <w:pPr>
        <w:pStyle w:val="ListParagraph"/>
        <w:numPr>
          <w:ilvl w:val="0"/>
          <w:numId w:val="1"/>
        </w:numPr>
        <w:ind w:left="720"/>
        <w:rPr>
          <w:rFonts w:ascii="Arial" w:hAnsi="Arial" w:cs="Arial"/>
          <w:sz w:val="24"/>
          <w:szCs w:val="24"/>
        </w:rPr>
      </w:pPr>
      <w:r w:rsidRPr="00941BA0">
        <w:rPr>
          <w:rFonts w:ascii="Arial" w:hAnsi="Arial" w:cs="Arial"/>
          <w:sz w:val="24"/>
          <w:szCs w:val="24"/>
        </w:rPr>
        <w:t>Details and types of the venues in Metro Manila using FourSquare API</w:t>
      </w:r>
    </w:p>
    <w:p w14:paraId="68E49C83" w14:textId="51272721" w:rsidR="00480AD5" w:rsidRPr="00941BA0" w:rsidRDefault="00480AD5" w:rsidP="0089173C">
      <w:pPr>
        <w:pStyle w:val="ListParagraph"/>
        <w:numPr>
          <w:ilvl w:val="0"/>
          <w:numId w:val="1"/>
        </w:numPr>
        <w:ind w:left="720"/>
        <w:rPr>
          <w:rFonts w:ascii="Arial" w:hAnsi="Arial" w:cs="Arial"/>
          <w:sz w:val="24"/>
          <w:szCs w:val="24"/>
        </w:rPr>
      </w:pPr>
      <w:r w:rsidRPr="00941BA0">
        <w:rPr>
          <w:rFonts w:ascii="Arial" w:hAnsi="Arial" w:cs="Arial"/>
          <w:sz w:val="24"/>
          <w:szCs w:val="24"/>
        </w:rPr>
        <w:t>Geospatial data of the areas in Metro Manila using Nominatim API</w:t>
      </w:r>
    </w:p>
    <w:p w14:paraId="6615085C" w14:textId="4A38C4DB" w:rsidR="0089173C" w:rsidRPr="00941BA0" w:rsidRDefault="0089173C" w:rsidP="0089173C">
      <w:pPr>
        <w:rPr>
          <w:rFonts w:ascii="Arial" w:hAnsi="Arial" w:cs="Arial"/>
          <w:sz w:val="24"/>
          <w:szCs w:val="24"/>
        </w:rPr>
      </w:pPr>
      <w:r w:rsidRPr="00941BA0">
        <w:rPr>
          <w:rFonts w:ascii="Arial" w:hAnsi="Arial" w:cs="Arial"/>
          <w:sz w:val="24"/>
          <w:szCs w:val="24"/>
        </w:rPr>
        <w:t>The details and other information of the venues in Metro Manila gathered from FourSquare will be the main feature to describe the areas in Metro Manila. The geospatial data is composed of the latitude and longitude coordinates of the areas in Metro Manila and will be used to locate where those areas are in the map.</w:t>
      </w:r>
    </w:p>
    <w:p w14:paraId="58BAFDFF" w14:textId="77777777" w:rsidR="000A0D65" w:rsidRPr="00941BA0" w:rsidRDefault="000A0D65" w:rsidP="0089173C">
      <w:pPr>
        <w:rPr>
          <w:rFonts w:ascii="Arial" w:hAnsi="Arial" w:cs="Arial"/>
          <w:color w:val="222222"/>
          <w:sz w:val="19"/>
          <w:szCs w:val="19"/>
          <w:shd w:val="clear" w:color="auto" w:fill="FFFFFF"/>
        </w:rPr>
      </w:pPr>
    </w:p>
    <w:p w14:paraId="0BD94CAB" w14:textId="77777777" w:rsidR="000A0D65" w:rsidRPr="00941BA0" w:rsidRDefault="000A0D65">
      <w:pPr>
        <w:rPr>
          <w:rFonts w:ascii="Arial" w:hAnsi="Arial" w:cs="Arial"/>
          <w:color w:val="222222"/>
          <w:sz w:val="19"/>
          <w:szCs w:val="19"/>
          <w:shd w:val="clear" w:color="auto" w:fill="FFFFFF"/>
        </w:rPr>
      </w:pPr>
    </w:p>
    <w:p w14:paraId="176B0EA3" w14:textId="22BAADF7" w:rsidR="000A0D65" w:rsidRPr="00941BA0" w:rsidRDefault="00607E87">
      <w:pPr>
        <w:rPr>
          <w:rFonts w:ascii="Arial" w:hAnsi="Arial" w:cs="Arial"/>
          <w:color w:val="222222"/>
          <w:shd w:val="clear" w:color="auto" w:fill="FFFFFF"/>
        </w:rPr>
      </w:pPr>
      <w:r w:rsidRPr="00941BA0">
        <w:rPr>
          <w:rFonts w:ascii="Arial" w:hAnsi="Arial" w:cs="Arial"/>
          <w:color w:val="222222"/>
          <w:shd w:val="clear" w:color="auto" w:fill="FFFFFF"/>
        </w:rPr>
        <w:t>References</w:t>
      </w:r>
    </w:p>
    <w:p w14:paraId="271031CD" w14:textId="169FFB2D" w:rsidR="00607E87" w:rsidRPr="00941BA0" w:rsidRDefault="000A0D65">
      <w:pPr>
        <w:rPr>
          <w:rStyle w:val="HTMLCite"/>
          <w:rFonts w:ascii="Arial" w:hAnsi="Arial" w:cs="Arial"/>
          <w:shd w:val="clear" w:color="auto" w:fill="FFFFFF"/>
        </w:rPr>
      </w:pPr>
      <w:r w:rsidRPr="00941BA0">
        <w:rPr>
          <w:rFonts w:ascii="Arial" w:hAnsi="Arial" w:cs="Arial"/>
          <w:color w:val="222222"/>
          <w:shd w:val="clear" w:color="auto" w:fill="FFFFFF"/>
        </w:rPr>
        <w:t> </w:t>
      </w:r>
      <w:r w:rsidR="00607E87" w:rsidRPr="00941BA0">
        <w:rPr>
          <w:rFonts w:ascii="Arial" w:hAnsi="Arial" w:cs="Arial"/>
          <w:color w:val="222222"/>
          <w:shd w:val="clear" w:color="auto" w:fill="FFFFFF"/>
        </w:rPr>
        <w:t xml:space="preserve">[1] </w:t>
      </w:r>
      <w:hyperlink r:id="rId5" w:history="1">
        <w:r w:rsidRPr="00941BA0">
          <w:rPr>
            <w:rStyle w:val="Hyperlink"/>
            <w:rFonts w:ascii="Arial" w:hAnsi="Arial" w:cs="Arial"/>
            <w:i/>
            <w:iCs/>
            <w:color w:val="auto"/>
            <w:u w:val="none"/>
            <w:shd w:val="clear" w:color="auto" w:fill="FFFFFF"/>
          </w:rPr>
          <w:t>"Presidential Decree No. 824 November 7, 1975"</w:t>
        </w:r>
      </w:hyperlink>
      <w:r w:rsidRPr="00941BA0">
        <w:rPr>
          <w:rStyle w:val="HTMLCite"/>
          <w:rFonts w:ascii="Arial" w:hAnsi="Arial" w:cs="Arial"/>
          <w:shd w:val="clear" w:color="auto" w:fill="FFFFFF"/>
        </w:rPr>
        <w:t>. lawphil.net. </w:t>
      </w:r>
      <w:hyperlink r:id="rId6" w:tooltip="Arellano University" w:history="1">
        <w:r w:rsidRPr="00941BA0">
          <w:rPr>
            <w:rStyle w:val="Hyperlink"/>
            <w:rFonts w:ascii="Arial" w:hAnsi="Arial" w:cs="Arial"/>
            <w:i/>
            <w:iCs/>
            <w:color w:val="auto"/>
            <w:u w:val="none"/>
            <w:shd w:val="clear" w:color="auto" w:fill="FFFFFF"/>
          </w:rPr>
          <w:t>Arellano Law Foundation</w:t>
        </w:r>
      </w:hyperlink>
      <w:r w:rsidRPr="00941BA0">
        <w:rPr>
          <w:rStyle w:val="HTMLCite"/>
          <w:rFonts w:ascii="Arial" w:hAnsi="Arial" w:cs="Arial"/>
          <w:shd w:val="clear" w:color="auto" w:fill="FFFFFF"/>
        </w:rPr>
        <w:t>.</w:t>
      </w:r>
      <w:r w:rsidRPr="00941BA0">
        <w:rPr>
          <w:rStyle w:val="reference-accessdate"/>
          <w:rFonts w:ascii="Arial" w:hAnsi="Arial" w:cs="Arial"/>
          <w:i/>
          <w:iCs/>
          <w:shd w:val="clear" w:color="auto" w:fill="FFFFFF"/>
        </w:rPr>
        <w:t xml:space="preserve"> Retrieved </w:t>
      </w:r>
      <w:r w:rsidR="00607E87" w:rsidRPr="00941BA0">
        <w:rPr>
          <w:rStyle w:val="nowrap"/>
          <w:rFonts w:ascii="Arial" w:hAnsi="Arial" w:cs="Arial"/>
          <w:i/>
          <w:iCs/>
          <w:shd w:val="clear" w:color="auto" w:fill="FFFFFF"/>
        </w:rPr>
        <w:t>April</w:t>
      </w:r>
      <w:r w:rsidRPr="00941BA0">
        <w:rPr>
          <w:rStyle w:val="nowrap"/>
          <w:rFonts w:ascii="Arial" w:hAnsi="Arial" w:cs="Arial"/>
          <w:i/>
          <w:iCs/>
          <w:shd w:val="clear" w:color="auto" w:fill="FFFFFF"/>
        </w:rPr>
        <w:t xml:space="preserve"> </w:t>
      </w:r>
      <w:r w:rsidR="00607E87" w:rsidRPr="00941BA0">
        <w:rPr>
          <w:rStyle w:val="nowrap"/>
          <w:rFonts w:ascii="Arial" w:hAnsi="Arial" w:cs="Arial"/>
          <w:i/>
          <w:iCs/>
          <w:shd w:val="clear" w:color="auto" w:fill="FFFFFF"/>
        </w:rPr>
        <w:t>15</w:t>
      </w:r>
      <w:r w:rsidRPr="00941BA0">
        <w:rPr>
          <w:rStyle w:val="nowrap"/>
          <w:rFonts w:ascii="Arial" w:hAnsi="Arial" w:cs="Arial"/>
          <w:i/>
          <w:iCs/>
          <w:shd w:val="clear" w:color="auto" w:fill="FFFFFF"/>
        </w:rPr>
        <w:t>,</w:t>
      </w:r>
      <w:r w:rsidRPr="00941BA0">
        <w:rPr>
          <w:rStyle w:val="reference-accessdate"/>
          <w:rFonts w:ascii="Arial" w:hAnsi="Arial" w:cs="Arial"/>
          <w:i/>
          <w:iCs/>
          <w:shd w:val="clear" w:color="auto" w:fill="FFFFFF"/>
        </w:rPr>
        <w:t>20</w:t>
      </w:r>
      <w:r w:rsidR="00607E87" w:rsidRPr="00941BA0">
        <w:rPr>
          <w:rStyle w:val="reference-accessdate"/>
          <w:rFonts w:ascii="Arial" w:hAnsi="Arial" w:cs="Arial"/>
          <w:i/>
          <w:iCs/>
          <w:shd w:val="clear" w:color="auto" w:fill="FFFFFF"/>
        </w:rPr>
        <w:t>20</w:t>
      </w:r>
      <w:r w:rsidRPr="00941BA0">
        <w:rPr>
          <w:rStyle w:val="HTMLCite"/>
          <w:rFonts w:ascii="Arial" w:hAnsi="Arial" w:cs="Arial"/>
          <w:shd w:val="clear" w:color="auto" w:fill="FFFFFF"/>
        </w:rPr>
        <w:t>.</w:t>
      </w:r>
    </w:p>
    <w:p w14:paraId="718FA52B" w14:textId="4A2C350F" w:rsidR="000A0D65" w:rsidRPr="00941BA0" w:rsidRDefault="00607E87">
      <w:pPr>
        <w:rPr>
          <w:rStyle w:val="HTMLCite"/>
          <w:rFonts w:ascii="Arial" w:hAnsi="Arial" w:cs="Arial"/>
          <w:shd w:val="clear" w:color="auto" w:fill="FFFFFF"/>
        </w:rPr>
      </w:pPr>
      <w:r w:rsidRPr="00941BA0">
        <w:rPr>
          <w:rStyle w:val="HTMLCite"/>
          <w:rFonts w:ascii="Arial" w:hAnsi="Arial" w:cs="Arial"/>
          <w:i w:val="0"/>
          <w:iCs w:val="0"/>
          <w:shd w:val="clear" w:color="auto" w:fill="FFFFFF"/>
        </w:rPr>
        <w:t xml:space="preserve">[2] </w:t>
      </w:r>
      <w:r w:rsidR="000A0D65" w:rsidRPr="00941BA0">
        <w:rPr>
          <w:rStyle w:val="HTMLCite"/>
          <w:rFonts w:ascii="Arial" w:hAnsi="Arial" w:cs="Arial"/>
        </w:rPr>
        <w:t>Census of Population (2015). </w:t>
      </w:r>
      <w:hyperlink r:id="rId7" w:history="1">
        <w:r w:rsidR="000A0D65" w:rsidRPr="00941BA0">
          <w:rPr>
            <w:rStyle w:val="Hyperlink"/>
            <w:rFonts w:ascii="Arial" w:hAnsi="Arial" w:cs="Arial"/>
            <w:i/>
            <w:iCs/>
            <w:color w:val="auto"/>
            <w:u w:val="none"/>
          </w:rPr>
          <w:t>"National Capital Region (NCR)"</w:t>
        </w:r>
      </w:hyperlink>
      <w:r w:rsidR="000A0D65" w:rsidRPr="00941BA0">
        <w:rPr>
          <w:rStyle w:val="HTMLCite"/>
          <w:rFonts w:ascii="Arial" w:hAnsi="Arial" w:cs="Arial"/>
        </w:rPr>
        <w:t>. Total Population by Province, City, Municipality and Barangay. </w:t>
      </w:r>
      <w:hyperlink r:id="rId8" w:tooltip="Philippine Statistics Authority" w:history="1">
        <w:r w:rsidR="000A0D65" w:rsidRPr="00941BA0">
          <w:rPr>
            <w:rStyle w:val="Hyperlink"/>
            <w:rFonts w:ascii="Arial" w:hAnsi="Arial" w:cs="Arial"/>
            <w:i/>
            <w:iCs/>
            <w:color w:val="auto"/>
            <w:u w:val="none"/>
          </w:rPr>
          <w:t>PSA</w:t>
        </w:r>
      </w:hyperlink>
      <w:r w:rsidR="000A0D65" w:rsidRPr="00941BA0">
        <w:rPr>
          <w:rStyle w:val="reference-accessdate"/>
          <w:rFonts w:ascii="Arial" w:hAnsi="Arial" w:cs="Arial"/>
          <w:i/>
          <w:iCs/>
        </w:rPr>
        <w:t>. Retrieved </w:t>
      </w:r>
      <w:r w:rsidRPr="00941BA0">
        <w:rPr>
          <w:rStyle w:val="nowrap"/>
          <w:rFonts w:ascii="Arial" w:hAnsi="Arial" w:cs="Arial"/>
          <w:i/>
          <w:iCs/>
          <w:shd w:val="clear" w:color="auto" w:fill="FFFFFF"/>
        </w:rPr>
        <w:t>April 15,</w:t>
      </w:r>
      <w:r w:rsidRPr="00941BA0">
        <w:rPr>
          <w:rStyle w:val="reference-accessdate"/>
          <w:rFonts w:ascii="Arial" w:hAnsi="Arial" w:cs="Arial"/>
          <w:i/>
          <w:iCs/>
          <w:shd w:val="clear" w:color="auto" w:fill="FFFFFF"/>
        </w:rPr>
        <w:t>2020</w:t>
      </w:r>
      <w:r w:rsidR="000A0D65" w:rsidRPr="00941BA0">
        <w:rPr>
          <w:rStyle w:val="HTMLCite"/>
          <w:rFonts w:ascii="Arial" w:hAnsi="Arial" w:cs="Arial"/>
        </w:rPr>
        <w:t>.</w:t>
      </w:r>
    </w:p>
    <w:p w14:paraId="3725D31F" w14:textId="77777777" w:rsidR="00607E87" w:rsidRPr="00941BA0" w:rsidRDefault="00607E87">
      <w:pPr>
        <w:rPr>
          <w:rStyle w:val="HTMLCite"/>
          <w:rFonts w:ascii="Arial" w:hAnsi="Arial" w:cs="Arial"/>
          <w:i w:val="0"/>
          <w:iCs w:val="0"/>
        </w:rPr>
      </w:pPr>
      <w:r w:rsidRPr="00941BA0">
        <w:rPr>
          <w:rStyle w:val="HTMLCite"/>
          <w:rFonts w:ascii="Arial" w:hAnsi="Arial" w:cs="Arial"/>
          <w:i w:val="0"/>
          <w:iCs w:val="0"/>
        </w:rPr>
        <w:t xml:space="preserve">[3] </w:t>
      </w:r>
      <w:r w:rsidRPr="00941BA0">
        <w:rPr>
          <w:rStyle w:val="HTMLCite"/>
          <w:rFonts w:ascii="Arial" w:hAnsi="Arial" w:cs="Arial"/>
          <w:i w:val="0"/>
          <w:iCs w:val="0"/>
        </w:rPr>
        <w:t xml:space="preserve">"Presidential Decree No. 824". chanrobles.com. Chan Robles Virtual Law Library. Archived from the original on October 6, 2017. Retrieved </w:t>
      </w:r>
      <w:r w:rsidRPr="00941BA0">
        <w:rPr>
          <w:rStyle w:val="nowrap"/>
          <w:rFonts w:ascii="Arial" w:hAnsi="Arial" w:cs="Arial"/>
          <w:i/>
          <w:iCs/>
          <w:shd w:val="clear" w:color="auto" w:fill="FFFFFF"/>
        </w:rPr>
        <w:t>April 15,</w:t>
      </w:r>
      <w:r w:rsidRPr="00941BA0">
        <w:rPr>
          <w:rStyle w:val="reference-accessdate"/>
          <w:rFonts w:ascii="Arial" w:hAnsi="Arial" w:cs="Arial"/>
          <w:i/>
          <w:iCs/>
          <w:shd w:val="clear" w:color="auto" w:fill="FFFFFF"/>
        </w:rPr>
        <w:t>2020</w:t>
      </w:r>
      <w:r w:rsidRPr="00941BA0">
        <w:rPr>
          <w:rStyle w:val="HTMLCite"/>
          <w:rFonts w:ascii="Arial" w:hAnsi="Arial" w:cs="Arial"/>
          <w:i w:val="0"/>
          <w:iCs w:val="0"/>
        </w:rPr>
        <w:t>.</w:t>
      </w:r>
      <w:r w:rsidRPr="00941BA0">
        <w:rPr>
          <w:rStyle w:val="HTMLCite"/>
          <w:rFonts w:ascii="Arial" w:hAnsi="Arial" w:cs="Arial"/>
          <w:i w:val="0"/>
          <w:iCs w:val="0"/>
        </w:rPr>
        <w:t xml:space="preserve"> </w:t>
      </w:r>
    </w:p>
    <w:p w14:paraId="6882FDD2" w14:textId="5B110626" w:rsidR="000A0D65" w:rsidRPr="00941BA0" w:rsidRDefault="00607E87">
      <w:pPr>
        <w:rPr>
          <w:rFonts w:ascii="Arial" w:hAnsi="Arial" w:cs="Arial"/>
        </w:rPr>
      </w:pPr>
      <w:r w:rsidRPr="00941BA0">
        <w:rPr>
          <w:rFonts w:ascii="Arial" w:hAnsi="Arial" w:cs="Arial"/>
        </w:rPr>
        <w:t xml:space="preserve">[4] </w:t>
      </w:r>
      <w:r w:rsidR="000A0D65" w:rsidRPr="00941BA0">
        <w:rPr>
          <w:rFonts w:ascii="Arial" w:hAnsi="Arial" w:cs="Arial"/>
        </w:rPr>
        <w:t>https://en.wikipedia.org/wiki/List_of_largest_cities</w:t>
      </w:r>
    </w:p>
    <w:p w14:paraId="272DC846" w14:textId="37148F25" w:rsidR="00607E87" w:rsidRPr="00941BA0" w:rsidRDefault="00607E87">
      <w:pPr>
        <w:rPr>
          <w:rFonts w:ascii="Arial" w:hAnsi="Arial" w:cs="Arial"/>
        </w:rPr>
      </w:pPr>
      <w:r w:rsidRPr="00941BA0">
        <w:rPr>
          <w:rFonts w:ascii="Arial" w:hAnsi="Arial" w:cs="Arial"/>
        </w:rPr>
        <w:t xml:space="preserve">[5] </w:t>
      </w:r>
      <w:r w:rsidRPr="00941BA0">
        <w:rPr>
          <w:rFonts w:ascii="Arial" w:hAnsi="Arial" w:cs="Arial"/>
        </w:rPr>
        <w:t>https://en.wikipedia.org/wiki/List_of_ZIP_codes_in_the_Philippines</w:t>
      </w:r>
    </w:p>
    <w:sectPr w:rsidR="00607E87" w:rsidRPr="00941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32D72"/>
    <w:multiLevelType w:val="hybridMultilevel"/>
    <w:tmpl w:val="3F3A0E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1C"/>
    <w:rsid w:val="000A0D65"/>
    <w:rsid w:val="003A01B8"/>
    <w:rsid w:val="00480AD5"/>
    <w:rsid w:val="00607E87"/>
    <w:rsid w:val="0089173C"/>
    <w:rsid w:val="00941BA0"/>
    <w:rsid w:val="009A091C"/>
    <w:rsid w:val="00CC4A1B"/>
    <w:rsid w:val="00F1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253B"/>
  <w15:chartTrackingRefBased/>
  <w15:docId w15:val="{8C324CC1-1871-4CE8-B88B-AA1555F5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91C"/>
    <w:rPr>
      <w:b/>
      <w:bCs/>
    </w:rPr>
  </w:style>
  <w:style w:type="character" w:styleId="HTMLCite">
    <w:name w:val="HTML Cite"/>
    <w:basedOn w:val="DefaultParagraphFont"/>
    <w:uiPriority w:val="99"/>
    <w:semiHidden/>
    <w:unhideWhenUsed/>
    <w:rsid w:val="000A0D65"/>
    <w:rPr>
      <w:i/>
      <w:iCs/>
    </w:rPr>
  </w:style>
  <w:style w:type="character" w:styleId="Hyperlink">
    <w:name w:val="Hyperlink"/>
    <w:basedOn w:val="DefaultParagraphFont"/>
    <w:uiPriority w:val="99"/>
    <w:semiHidden/>
    <w:unhideWhenUsed/>
    <w:rsid w:val="000A0D65"/>
    <w:rPr>
      <w:color w:val="0000FF"/>
      <w:u w:val="single"/>
    </w:rPr>
  </w:style>
  <w:style w:type="character" w:customStyle="1" w:styleId="reference-accessdate">
    <w:name w:val="reference-accessdate"/>
    <w:basedOn w:val="DefaultParagraphFont"/>
    <w:rsid w:val="000A0D65"/>
  </w:style>
  <w:style w:type="character" w:customStyle="1" w:styleId="nowrap">
    <w:name w:val="nowrap"/>
    <w:basedOn w:val="DefaultParagraphFont"/>
    <w:rsid w:val="000A0D65"/>
  </w:style>
  <w:style w:type="paragraph" w:styleId="ListParagraph">
    <w:name w:val="List Paragraph"/>
    <w:basedOn w:val="Normal"/>
    <w:uiPriority w:val="34"/>
    <w:qFormat/>
    <w:rsid w:val="0048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147527">
      <w:bodyDiv w:val="1"/>
      <w:marLeft w:val="0"/>
      <w:marRight w:val="0"/>
      <w:marTop w:val="0"/>
      <w:marBottom w:val="0"/>
      <w:divBdr>
        <w:top w:val="none" w:sz="0" w:space="0" w:color="auto"/>
        <w:left w:val="none" w:sz="0" w:space="0" w:color="auto"/>
        <w:bottom w:val="none" w:sz="0" w:space="0" w:color="auto"/>
        <w:right w:val="none" w:sz="0" w:space="0" w:color="auto"/>
      </w:divBdr>
    </w:div>
    <w:div w:id="123878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ippine_Statistics_Authority" TargetMode="External"/><Relationship Id="rId3" Type="http://schemas.openxmlformats.org/officeDocument/2006/relationships/settings" Target="settings.xml"/><Relationship Id="rId7" Type="http://schemas.openxmlformats.org/officeDocument/2006/relationships/hyperlink" Target="https://www.psa.gov.ph/sites/default/files/attachments/hsd/pressrelease/NC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ellano_University" TargetMode="External"/><Relationship Id="rId5" Type="http://schemas.openxmlformats.org/officeDocument/2006/relationships/hyperlink" Target="http://www.lawphil.net/statutes/presdecs/pd1975/pd_824_197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Wincel Marino</dc:creator>
  <cp:keywords/>
  <dc:description/>
  <cp:lastModifiedBy>John Wincel Marino</cp:lastModifiedBy>
  <cp:revision>3</cp:revision>
  <dcterms:created xsi:type="dcterms:W3CDTF">2020-04-15T13:44:00Z</dcterms:created>
  <dcterms:modified xsi:type="dcterms:W3CDTF">2020-04-15T14:15:00Z</dcterms:modified>
</cp:coreProperties>
</file>