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984"/>
        <w:gridCol w:w="6311"/>
        <w:gridCol w:w="1046"/>
        <w:gridCol w:w="1009"/>
      </w:tblGrid>
      <w:tr w:rsidR="00BE784D" w14:paraId="53B28875" w14:textId="02C907BC" w:rsidTr="00A2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6E0AFA56" w14:textId="04AB4A6A" w:rsidR="00BE784D" w:rsidRDefault="00BE784D" w:rsidP="00746A07">
            <w:r>
              <w:t>Chapter</w:t>
            </w:r>
          </w:p>
        </w:tc>
        <w:tc>
          <w:tcPr>
            <w:tcW w:w="6311" w:type="dxa"/>
          </w:tcPr>
          <w:p w14:paraId="23415577" w14:textId="658D0523" w:rsidR="00BE784D" w:rsidRDefault="00BE784D" w:rsidP="00746A07">
            <w:pPr>
              <w:cnfStyle w:val="100000000000" w:firstRow="1" w:lastRow="0" w:firstColumn="0" w:lastColumn="0" w:oddVBand="0" w:evenVBand="0" w:oddHBand="0" w:evenHBand="0" w:firstRowFirstColumn="0" w:firstRowLastColumn="0" w:lastRowFirstColumn="0" w:lastRowLastColumn="0"/>
            </w:pPr>
            <w:r>
              <w:t>Description</w:t>
            </w:r>
          </w:p>
        </w:tc>
        <w:tc>
          <w:tcPr>
            <w:tcW w:w="1046" w:type="dxa"/>
          </w:tcPr>
          <w:p w14:paraId="1C7871CD" w14:textId="201BBA68" w:rsidR="00BE784D" w:rsidRDefault="00BE784D" w:rsidP="00746A07">
            <w:pPr>
              <w:cnfStyle w:val="100000000000" w:firstRow="1" w:lastRow="0" w:firstColumn="0" w:lastColumn="0" w:oddVBand="0" w:evenVBand="0" w:oddHBand="0" w:evenHBand="0" w:firstRowFirstColumn="0" w:firstRowLastColumn="0" w:lastRowFirstColumn="0" w:lastRowLastColumn="0"/>
            </w:pPr>
            <w:r>
              <w:t>Assigned To</w:t>
            </w:r>
          </w:p>
        </w:tc>
        <w:tc>
          <w:tcPr>
            <w:tcW w:w="1009" w:type="dxa"/>
          </w:tcPr>
          <w:p w14:paraId="753A56EA" w14:textId="5785D53B" w:rsidR="00BE784D" w:rsidRDefault="00BE784D" w:rsidP="00746A07">
            <w:pPr>
              <w:cnfStyle w:val="100000000000" w:firstRow="1" w:lastRow="0" w:firstColumn="0" w:lastColumn="0" w:oddVBand="0" w:evenVBand="0" w:oddHBand="0" w:evenHBand="0" w:firstRowFirstColumn="0" w:firstRowLastColumn="0" w:lastRowFirstColumn="0" w:lastRowLastColumn="0"/>
            </w:pPr>
            <w:r>
              <w:t>Status</w:t>
            </w:r>
          </w:p>
        </w:tc>
      </w:tr>
      <w:tr w:rsidR="001D70B3" w14:paraId="54285CA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7FBDBAD" w14:textId="3033DF26" w:rsidR="001D70B3" w:rsidRDefault="001D70B3" w:rsidP="001D70B3">
            <w:r>
              <w:t>5</w:t>
            </w:r>
          </w:p>
        </w:tc>
        <w:tc>
          <w:tcPr>
            <w:tcW w:w="6311" w:type="dxa"/>
          </w:tcPr>
          <w:p w14:paraId="5104807B" w14:textId="5320B9A3" w:rsidR="001D70B3" w:rsidRDefault="001D70B3" w:rsidP="001D70B3">
            <w:pPr>
              <w:cnfStyle w:val="000000000000" w:firstRow="0" w:lastRow="0" w:firstColumn="0" w:lastColumn="0" w:oddVBand="0" w:evenVBand="0" w:oddHBand="0" w:evenHBand="0" w:firstRowFirstColumn="0" w:firstRowLastColumn="0" w:lastRowFirstColumn="0" w:lastRowLastColumn="0"/>
              <w:rPr>
                <w:b/>
                <w:bCs/>
              </w:rPr>
            </w:pPr>
            <w:r>
              <w:t>Fix ApiVersionInUse method on UserSession per code change in main project</w:t>
            </w:r>
            <w:r w:rsidR="001A0E5B">
              <w:t>. Will require addition of the using System.Linq directive.</w:t>
            </w:r>
          </w:p>
          <w:p w14:paraId="542745A7"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01A7EE4A" w14:textId="34C1DA0F"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226D3F76" w14:textId="0BD73018"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191532F1"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2616E753" w14:textId="18215166" w:rsidR="001D70B3" w:rsidRDefault="001D70B3" w:rsidP="001D70B3">
            <w:r>
              <w:t>5</w:t>
            </w:r>
          </w:p>
        </w:tc>
        <w:tc>
          <w:tcPr>
            <w:tcW w:w="6311" w:type="dxa"/>
          </w:tcPr>
          <w:p w14:paraId="57B53464" w14:textId="513C6C2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Fix query processor interface project/namespace and the using directive for all classes that use query processors. Verify all code again starting at the “Persisting a Task and Returning </w:t>
            </w:r>
            <w:r w:rsidRPr="00073127">
              <w:t>IHttpActionResult</w:t>
            </w:r>
            <w:r>
              <w:t>” section.</w:t>
            </w:r>
          </w:p>
        </w:tc>
        <w:tc>
          <w:tcPr>
            <w:tcW w:w="1046" w:type="dxa"/>
          </w:tcPr>
          <w:p w14:paraId="5DA7C6FA" w14:textId="226A2DA7"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08895F2F" w14:textId="160DF38E"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1CC96A63" w14:textId="2617225B" w:rsidTr="00A2784C">
        <w:tc>
          <w:tcPr>
            <w:cnfStyle w:val="001000000000" w:firstRow="0" w:lastRow="0" w:firstColumn="1" w:lastColumn="0" w:oddVBand="0" w:evenVBand="0" w:oddHBand="0" w:evenHBand="0" w:firstRowFirstColumn="0" w:firstRowLastColumn="0" w:lastRowFirstColumn="0" w:lastRowLastColumn="0"/>
            <w:tcW w:w="984" w:type="dxa"/>
          </w:tcPr>
          <w:p w14:paraId="34D73095" w14:textId="633FB54C" w:rsidR="001D70B3" w:rsidRDefault="001D70B3" w:rsidP="001D70B3">
            <w:r>
              <w:t>*</w:t>
            </w:r>
          </w:p>
        </w:tc>
        <w:tc>
          <w:tcPr>
            <w:tcW w:w="6311" w:type="dxa"/>
          </w:tcPr>
          <w:p w14:paraId="1107BEF2" w14:textId="1430F296" w:rsidR="001D70B3" w:rsidRDefault="001D70B3" w:rsidP="001D70B3">
            <w:pPr>
              <w:cnfStyle w:val="000000000000" w:firstRow="0" w:lastRow="0" w:firstColumn="0" w:lastColumn="0" w:oddVBand="0" w:evenVBand="0" w:oddHBand="0" w:evenHBand="0" w:firstRowFirstColumn="0" w:firstRowLastColumn="0" w:lastRowFirstColumn="0" w:lastRowLastColumn="0"/>
            </w:pPr>
            <w:r>
              <w:t>Some captions read, “POST Request (abbreviated)” and some lack the “(abbreviated)”. Make this consistent. All should have the “(abbreviated)”.</w:t>
            </w:r>
          </w:p>
        </w:tc>
        <w:tc>
          <w:tcPr>
            <w:tcW w:w="1046" w:type="dxa"/>
          </w:tcPr>
          <w:p w14:paraId="7135173D" w14:textId="35CAE751"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608DB2EE" w14:textId="03D28BA5"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bookmarkStart w:id="0" w:name="_GoBack"/>
        <w:bookmarkEnd w:id="0"/>
      </w:tr>
      <w:tr w:rsidR="001D70B3" w14:paraId="79162275" w14:textId="4151BCC4" w:rsidTr="00A2784C">
        <w:tc>
          <w:tcPr>
            <w:cnfStyle w:val="001000000000" w:firstRow="0" w:lastRow="0" w:firstColumn="1" w:lastColumn="0" w:oddVBand="0" w:evenVBand="0" w:oddHBand="0" w:evenHBand="0" w:firstRowFirstColumn="0" w:firstRowLastColumn="0" w:lastRowFirstColumn="0" w:lastRowLastColumn="0"/>
            <w:tcW w:w="984" w:type="dxa"/>
          </w:tcPr>
          <w:p w14:paraId="2DD36FDA" w14:textId="6134E507" w:rsidR="001D70B3" w:rsidRDefault="001D70B3" w:rsidP="001D70B3">
            <w:r>
              <w:t>*</w:t>
            </w:r>
          </w:p>
        </w:tc>
        <w:tc>
          <w:tcPr>
            <w:tcW w:w="6311" w:type="dxa"/>
          </w:tcPr>
          <w:p w14:paraId="2376C3CE" w14:textId="50F3B193" w:rsidR="001D70B3" w:rsidRDefault="001D70B3" w:rsidP="001D70B3">
            <w:pPr>
              <w:cnfStyle w:val="000000000000" w:firstRow="0" w:lastRow="0" w:firstColumn="0" w:lastColumn="0" w:oddVBand="0" w:evenVBand="0" w:oddHBand="0" w:evenHBand="0" w:firstRowFirstColumn="0" w:firstRowLastColumn="0" w:lastRowFirstColumn="0" w:lastRowLastColumn="0"/>
            </w:pPr>
            <w:r>
              <w:t>Change “</w:t>
            </w:r>
            <w:r w:rsidRPr="00EC123A">
              <w:t>add to bottom of NinjectConfigurator.AddBindings</w:t>
            </w:r>
            <w:r>
              <w:t xml:space="preserve">” to instead say “add to </w:t>
            </w:r>
            <w:r w:rsidRPr="00EC123A">
              <w:t>NinjectConfigurator.AddBindings</w:t>
            </w:r>
            <w:r>
              <w:t>“</w:t>
            </w:r>
          </w:p>
        </w:tc>
        <w:tc>
          <w:tcPr>
            <w:tcW w:w="1046" w:type="dxa"/>
          </w:tcPr>
          <w:p w14:paraId="1E4285DD" w14:textId="2C0E137D"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77C3795A" w14:textId="29FA2BC1"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58FC4D7E" w14:textId="73D9CEED" w:rsidTr="00A2784C">
        <w:tc>
          <w:tcPr>
            <w:cnfStyle w:val="001000000000" w:firstRow="0" w:lastRow="0" w:firstColumn="1" w:lastColumn="0" w:oddVBand="0" w:evenVBand="0" w:oddHBand="0" w:evenHBand="0" w:firstRowFirstColumn="0" w:firstRowLastColumn="0" w:lastRowFirstColumn="0" w:lastRowLastColumn="0"/>
            <w:tcW w:w="984" w:type="dxa"/>
          </w:tcPr>
          <w:p w14:paraId="21C3D687" w14:textId="0A459C08" w:rsidR="001D70B3" w:rsidRDefault="001D70B3" w:rsidP="001D70B3">
            <w:r>
              <w:t>*</w:t>
            </w:r>
          </w:p>
        </w:tc>
        <w:tc>
          <w:tcPr>
            <w:tcW w:w="6311" w:type="dxa"/>
          </w:tcPr>
          <w:p w14:paraId="0F1F3AC1" w14:textId="5247A64E" w:rsidR="001D70B3" w:rsidRDefault="001D70B3" w:rsidP="001D70B3">
            <w:pPr>
              <w:cnfStyle w:val="000000000000" w:firstRow="0" w:lastRow="0" w:firstColumn="0" w:lastColumn="0" w:oddVBand="0" w:evenVBand="0" w:oddHBand="0" w:evenHBand="0" w:firstRowFirstColumn="0" w:firstRowLastColumn="0" w:lastRowFirstColumn="0" w:lastRowLastColumn="0"/>
            </w:pPr>
            <w:r>
              <w:t>Ensure “caller” and “user” are being used correctly and consistently, esp in chs 1-5.</w:t>
            </w:r>
          </w:p>
        </w:tc>
        <w:tc>
          <w:tcPr>
            <w:tcW w:w="1046" w:type="dxa"/>
          </w:tcPr>
          <w:p w14:paraId="3C1DA97F" w14:textId="197D769B"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05E460BF" w14:textId="26BD668A"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7953F151" w14:textId="4A684B8F" w:rsidTr="00A2784C">
        <w:tc>
          <w:tcPr>
            <w:cnfStyle w:val="001000000000" w:firstRow="0" w:lastRow="0" w:firstColumn="1" w:lastColumn="0" w:oddVBand="0" w:evenVBand="0" w:oddHBand="0" w:evenHBand="0" w:firstRowFirstColumn="0" w:firstRowLastColumn="0" w:lastRowFirstColumn="0" w:lastRowLastColumn="0"/>
            <w:tcW w:w="984" w:type="dxa"/>
          </w:tcPr>
          <w:p w14:paraId="327C8CE9" w14:textId="0FCAF1B4" w:rsidR="001D70B3" w:rsidRDefault="001D70B3" w:rsidP="001D70B3">
            <w:r>
              <w:t>n/a</w:t>
            </w:r>
          </w:p>
        </w:tc>
        <w:tc>
          <w:tcPr>
            <w:tcW w:w="6311" w:type="dxa"/>
          </w:tcPr>
          <w:p w14:paraId="47F1312D" w14:textId="037ECC9E" w:rsidR="001D70B3" w:rsidRDefault="001D70B3" w:rsidP="001D70B3">
            <w:pPr>
              <w:cnfStyle w:val="000000000000" w:firstRow="0" w:lastRow="0" w:firstColumn="0" w:lastColumn="0" w:oddVBand="0" w:evenVBand="0" w:oddHBand="0" w:evenHBand="0" w:firstRowFirstColumn="0" w:firstRowLastColumn="0" w:lastRowFirstColumn="0" w:lastRowLastColumn="0"/>
            </w:pPr>
            <w:r>
              <w:t>Final source code on Github, using either Jamie’s account, or a new one.</w:t>
            </w:r>
          </w:p>
        </w:tc>
        <w:tc>
          <w:tcPr>
            <w:tcW w:w="1046" w:type="dxa"/>
          </w:tcPr>
          <w:p w14:paraId="0AF87959" w14:textId="0FADBD50" w:rsidR="001D70B3" w:rsidRDefault="001D70B3" w:rsidP="001D70B3">
            <w:pPr>
              <w:cnfStyle w:val="000000000000" w:firstRow="0" w:lastRow="0" w:firstColumn="0" w:lastColumn="0" w:oddVBand="0" w:evenVBand="0" w:oddHBand="0" w:evenHBand="0" w:firstRowFirstColumn="0" w:firstRowLastColumn="0" w:lastRowFirstColumn="0" w:lastRowLastColumn="0"/>
            </w:pPr>
            <w:r>
              <w:t>Jamie</w:t>
            </w:r>
          </w:p>
        </w:tc>
        <w:tc>
          <w:tcPr>
            <w:tcW w:w="1009" w:type="dxa"/>
          </w:tcPr>
          <w:p w14:paraId="1E2783B8" w14:textId="42ECCFCB"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6AADA105" w14:textId="6CF4EA5B" w:rsidTr="00A2784C">
        <w:tc>
          <w:tcPr>
            <w:cnfStyle w:val="001000000000" w:firstRow="0" w:lastRow="0" w:firstColumn="1" w:lastColumn="0" w:oddVBand="0" w:evenVBand="0" w:oddHBand="0" w:evenHBand="0" w:firstRowFirstColumn="0" w:firstRowLastColumn="0" w:lastRowFirstColumn="0" w:lastRowLastColumn="0"/>
            <w:tcW w:w="984" w:type="dxa"/>
          </w:tcPr>
          <w:p w14:paraId="1BC07D5A" w14:textId="1CB0771B" w:rsidR="001D70B3" w:rsidRDefault="001D70B3" w:rsidP="001D70B3"/>
        </w:tc>
        <w:tc>
          <w:tcPr>
            <w:tcW w:w="6311" w:type="dxa"/>
          </w:tcPr>
          <w:p w14:paraId="01983EFE" w14:textId="47DD2881"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48B5348B" w14:textId="6C9EA1C2"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0ACF8DF6" w14:textId="6C7C037C"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1D70B3" w14:paraId="41DC52E0"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74C701E" w14:textId="77777777" w:rsidR="001D70B3" w:rsidRDefault="001D70B3" w:rsidP="001D70B3"/>
        </w:tc>
        <w:tc>
          <w:tcPr>
            <w:tcW w:w="6311" w:type="dxa"/>
          </w:tcPr>
          <w:p w14:paraId="6A75DC1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4688F06A"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0E7BE3B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1D70B3" w14:paraId="6F09AAB8"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402FB3BE" w14:textId="3045D4FE" w:rsidR="001D70B3" w:rsidRPr="007E5CC7" w:rsidRDefault="001D70B3" w:rsidP="001D70B3">
            <w:pPr>
              <w:rPr>
                <w:strike/>
              </w:rPr>
            </w:pPr>
            <w:r w:rsidRPr="007E5CC7">
              <w:rPr>
                <w:strike/>
              </w:rPr>
              <w:t>*</w:t>
            </w:r>
          </w:p>
        </w:tc>
        <w:tc>
          <w:tcPr>
            <w:tcW w:w="6311" w:type="dxa"/>
          </w:tcPr>
          <w:p w14:paraId="010F5DB0" w14:textId="0208D8D6"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Table formatting – is it consistent enough?</w:t>
            </w:r>
          </w:p>
        </w:tc>
        <w:tc>
          <w:tcPr>
            <w:tcW w:w="1046" w:type="dxa"/>
          </w:tcPr>
          <w:p w14:paraId="4589DE5D" w14:textId="287344F0"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Brian</w:t>
            </w:r>
          </w:p>
        </w:tc>
        <w:tc>
          <w:tcPr>
            <w:tcW w:w="1009" w:type="dxa"/>
          </w:tcPr>
          <w:p w14:paraId="55245CD1" w14:textId="703274DB"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DELETED</w:t>
            </w:r>
          </w:p>
        </w:tc>
      </w:tr>
      <w:tr w:rsidR="001D70B3" w14:paraId="7145C73D"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0320395D" w14:textId="5E039258" w:rsidR="001D70B3" w:rsidRDefault="001D70B3" w:rsidP="001D70B3">
            <w:r>
              <w:t>3</w:t>
            </w:r>
          </w:p>
        </w:tc>
        <w:tc>
          <w:tcPr>
            <w:tcW w:w="6311" w:type="dxa"/>
          </w:tcPr>
          <w:p w14:paraId="0645635B" w14:textId="4A1221D2" w:rsidR="001D70B3" w:rsidRDefault="001D70B3" w:rsidP="001D70B3">
            <w:pPr>
              <w:cnfStyle w:val="000000000000" w:firstRow="0" w:lastRow="0" w:firstColumn="0" w:lastColumn="0" w:oddVBand="0" w:evenVBand="0" w:oddHBand="0" w:evenHBand="0" w:firstRowFirstColumn="0" w:firstRowLastColumn="0" w:lastRowFirstColumn="0" w:lastRowLastColumn="0"/>
            </w:pPr>
            <w:r>
              <w:t>In the Data Access section we mention a separation between repositories and UOW. We aren’t separating these. Everything is done in the ISession.</w:t>
            </w:r>
          </w:p>
        </w:tc>
        <w:tc>
          <w:tcPr>
            <w:tcW w:w="1046" w:type="dxa"/>
          </w:tcPr>
          <w:p w14:paraId="2F0140E0" w14:textId="34A845B0"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5E229F4A" w14:textId="368646F5" w:rsidR="001D70B3" w:rsidRDefault="001D70B3" w:rsidP="001D70B3">
            <w:pPr>
              <w:cnfStyle w:val="000000000000" w:firstRow="0" w:lastRow="0" w:firstColumn="0" w:lastColumn="0" w:oddVBand="0" w:evenVBand="0" w:oddHBand="0" w:evenHBand="0" w:firstRowFirstColumn="0" w:firstRowLastColumn="0" w:lastRowFirstColumn="0" w:lastRowLastColumn="0"/>
            </w:pPr>
            <w:r>
              <w:t>DONE</w:t>
            </w:r>
          </w:p>
        </w:tc>
      </w:tr>
      <w:tr w:rsidR="001D70B3" w14:paraId="458B0CF4"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45BDCB8" w14:textId="57845D00" w:rsidR="001D70B3" w:rsidRDefault="001D70B3" w:rsidP="001D70B3">
            <w:r>
              <w:t>3</w:t>
            </w:r>
          </w:p>
        </w:tc>
        <w:tc>
          <w:tcPr>
            <w:tcW w:w="6311" w:type="dxa"/>
          </w:tcPr>
          <w:p w14:paraId="432F4C18" w14:textId="0BF0A8D6" w:rsidR="001D70B3" w:rsidRDefault="001D70B3" w:rsidP="001D70B3">
            <w:pPr>
              <w:cnfStyle w:val="000000000000" w:firstRow="0" w:lastRow="0" w:firstColumn="0" w:lastColumn="0" w:oddVBand="0" w:evenVBand="0" w:oddHBand="0" w:evenHBand="0" w:firstRowFirstColumn="0" w:firstRowLastColumn="0" w:lastRowFirstColumn="0" w:lastRowLastColumn="0"/>
            </w:pPr>
            <w:r>
              <w:t>OData sidebar isn’t closed</w:t>
            </w:r>
          </w:p>
        </w:tc>
        <w:tc>
          <w:tcPr>
            <w:tcW w:w="1046" w:type="dxa"/>
          </w:tcPr>
          <w:p w14:paraId="088718FA" w14:textId="2A89D96F"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41D5E3A5" w14:textId="056739F0" w:rsidR="001D70B3" w:rsidRDefault="001D70B3" w:rsidP="001D70B3">
            <w:pPr>
              <w:cnfStyle w:val="000000000000" w:firstRow="0" w:lastRow="0" w:firstColumn="0" w:lastColumn="0" w:oddVBand="0" w:evenVBand="0" w:oddHBand="0" w:evenHBand="0" w:firstRowFirstColumn="0" w:firstRowLastColumn="0" w:lastRowFirstColumn="0" w:lastRowLastColumn="0"/>
            </w:pPr>
            <w:r>
              <w:t>DONE</w:t>
            </w:r>
          </w:p>
        </w:tc>
      </w:tr>
      <w:tr w:rsidR="001D70B3" w14:paraId="27F5DF5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6A262786" w14:textId="342CDFA8" w:rsidR="001D70B3" w:rsidRPr="00B00B4C" w:rsidRDefault="001D70B3" w:rsidP="001D70B3">
            <w:pPr>
              <w:rPr>
                <w:strike/>
              </w:rPr>
            </w:pPr>
            <w:r>
              <w:t>4</w:t>
            </w:r>
          </w:p>
        </w:tc>
        <w:tc>
          <w:tcPr>
            <w:tcW w:w="6311" w:type="dxa"/>
          </w:tcPr>
          <w:p w14:paraId="388CEEE6"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11B5B03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0237075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DO THIS FIRST: update-package Microsoft.AspNet.WebApi WebApi2Book.Web.Api </w:t>
            </w:r>
          </w:p>
          <w:p w14:paraId="1420DBF6"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4BA339E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automapper WebApi2Book.Common </w:t>
            </w:r>
          </w:p>
          <w:p w14:paraId="4FF1DD2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0CBD6FB8"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5A739DD0"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207A28B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WebApi2Book.Data.SqlServer </w:t>
            </w:r>
          </w:p>
          <w:p w14:paraId="097849B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66B0165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WebApi2Book.Data.SqlServer </w:t>
            </w:r>
          </w:p>
          <w:p w14:paraId="0C56F2C9"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7EACCC4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automapper WebApi2Book.Web.Api </w:t>
            </w:r>
          </w:p>
          <w:p w14:paraId="4626AA8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4689698"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B661CB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27693822"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WebApi2Book.Web.Api </w:t>
            </w:r>
          </w:p>
          <w:p w14:paraId="0A9B300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7E8ED89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WebApi2Book.Web.Api </w:t>
            </w:r>
          </w:p>
          <w:p w14:paraId="49189E81"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0859FCA"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ADD THIS: install-package Ninject.Web.Common.WebHost WebApi2Book.Web.Api</w:t>
            </w:r>
          </w:p>
          <w:p w14:paraId="314FFBE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DELETE THIS: install-package ninject WebApi2Book.Web.Api </w:t>
            </w:r>
          </w:p>
          <w:p w14:paraId="64806A0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DELETE THIS: install-package ninject.web.common WebApi2Book.Web.Api </w:t>
            </w:r>
          </w:p>
          <w:p w14:paraId="2D702120"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41B3A44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23B17DC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6B33E4A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WebApi2Book.Web.Common </w:t>
            </w:r>
          </w:p>
          <w:p w14:paraId="40D8E4C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BCE03B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ninject WebApi2Book.Web.Common </w:t>
            </w:r>
          </w:p>
          <w:p w14:paraId="097106E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023999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ninject.web.common WebApi2Book.Web.Common </w:t>
            </w:r>
          </w:p>
          <w:p w14:paraId="54C73B89" w14:textId="77777777" w:rsidR="001D70B3" w:rsidRPr="00B00B4C" w:rsidRDefault="001D70B3" w:rsidP="001D70B3">
            <w:pPr>
              <w:cnfStyle w:val="000000000000" w:firstRow="0" w:lastRow="0" w:firstColumn="0" w:lastColumn="0" w:oddVBand="0" w:evenVBand="0" w:oddHBand="0" w:evenHBand="0" w:firstRowFirstColumn="0" w:firstRowLastColumn="0" w:lastRowFirstColumn="0" w:lastRowLastColumn="0"/>
              <w:rPr>
                <w:strike/>
              </w:rPr>
            </w:pPr>
          </w:p>
        </w:tc>
        <w:tc>
          <w:tcPr>
            <w:tcW w:w="1046" w:type="dxa"/>
          </w:tcPr>
          <w:p w14:paraId="7A43DA45" w14:textId="00C77054" w:rsidR="001D70B3" w:rsidRPr="00B00B4C" w:rsidRDefault="001D70B3" w:rsidP="001D70B3">
            <w:pPr>
              <w:cnfStyle w:val="000000000000" w:firstRow="0" w:lastRow="0" w:firstColumn="0" w:lastColumn="0" w:oddVBand="0" w:evenVBand="0" w:oddHBand="0" w:evenHBand="0" w:firstRowFirstColumn="0" w:firstRowLastColumn="0" w:lastRowFirstColumn="0" w:lastRowLastColumn="0"/>
              <w:rPr>
                <w:strike/>
              </w:rPr>
            </w:pPr>
            <w:r>
              <w:lastRenderedPageBreak/>
              <w:t>Brian</w:t>
            </w:r>
          </w:p>
        </w:tc>
        <w:tc>
          <w:tcPr>
            <w:tcW w:w="1009" w:type="dxa"/>
          </w:tcPr>
          <w:p w14:paraId="181991AA" w14:textId="7E2CE469" w:rsidR="001D70B3" w:rsidRDefault="001D70B3" w:rsidP="001D70B3">
            <w:pPr>
              <w:cnfStyle w:val="000000000000" w:firstRow="0" w:lastRow="0" w:firstColumn="0" w:lastColumn="0" w:oddVBand="0" w:evenVBand="0" w:oddHBand="0" w:evenHBand="0" w:firstRowFirstColumn="0" w:firstRowLastColumn="0" w:lastRowFirstColumn="0" w:lastRowLastColumn="0"/>
              <w:rPr>
                <w:strike/>
              </w:rPr>
            </w:pPr>
            <w:r>
              <w:t>DONE</w:t>
            </w:r>
          </w:p>
        </w:tc>
      </w:tr>
      <w:tr w:rsidR="001D70B3" w14:paraId="63A17CA3"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2DF780CF" w14:textId="26FD878D" w:rsidR="001D70B3" w:rsidRDefault="001D70B3" w:rsidP="001D70B3">
            <w:r w:rsidRPr="00B00B4C">
              <w:rPr>
                <w:strike/>
              </w:rPr>
              <w:lastRenderedPageBreak/>
              <w:t>6</w:t>
            </w:r>
          </w:p>
        </w:tc>
        <w:tc>
          <w:tcPr>
            <w:tcW w:w="6311" w:type="dxa"/>
          </w:tcPr>
          <w:p w14:paraId="0B155560" w14:textId="6745F14E" w:rsidR="001D70B3" w:rsidRDefault="001D70B3" w:rsidP="001D70B3">
            <w:pPr>
              <w:cnfStyle w:val="000000000000" w:firstRow="0" w:lastRow="0" w:firstColumn="0" w:lastColumn="0" w:oddVBand="0" w:evenVBand="0" w:oddHBand="0" w:evenHBand="0" w:firstRowFirstColumn="0" w:firstRowLastColumn="0" w:lastRowFirstColumn="0" w:lastRowLastColumn="0"/>
            </w:pPr>
            <w:r w:rsidRPr="00B00B4C">
              <w:rPr>
                <w:strike/>
              </w:rPr>
              <w:t>CH6, security, mention there’s a better separation of concerns if you create your own authentication filters, rather than relying on the Authorize attr. This way the attr itself relates the action+resource to the role and makes the decision, rather than having the controller code make this decision (declaratively). Maybe just mention this, no need to implement.</w:t>
            </w:r>
          </w:p>
        </w:tc>
        <w:tc>
          <w:tcPr>
            <w:tcW w:w="1046" w:type="dxa"/>
          </w:tcPr>
          <w:p w14:paraId="4C7904FD" w14:textId="01472950" w:rsidR="001D70B3" w:rsidRDefault="001D70B3" w:rsidP="001D70B3">
            <w:pPr>
              <w:cnfStyle w:val="000000000000" w:firstRow="0" w:lastRow="0" w:firstColumn="0" w:lastColumn="0" w:oddVBand="0" w:evenVBand="0" w:oddHBand="0" w:evenHBand="0" w:firstRowFirstColumn="0" w:firstRowLastColumn="0" w:lastRowFirstColumn="0" w:lastRowLastColumn="0"/>
            </w:pPr>
            <w:r w:rsidRPr="00B00B4C">
              <w:rPr>
                <w:strike/>
              </w:rPr>
              <w:t>Brian</w:t>
            </w:r>
          </w:p>
        </w:tc>
        <w:tc>
          <w:tcPr>
            <w:tcW w:w="1009" w:type="dxa"/>
          </w:tcPr>
          <w:p w14:paraId="59C131D4" w14:textId="22088BBA" w:rsidR="001D70B3" w:rsidRDefault="001D70B3" w:rsidP="001D70B3">
            <w:pPr>
              <w:cnfStyle w:val="000000000000" w:firstRow="0" w:lastRow="0" w:firstColumn="0" w:lastColumn="0" w:oddVBand="0" w:evenVBand="0" w:oddHBand="0" w:evenHBand="0" w:firstRowFirstColumn="0" w:firstRowLastColumn="0" w:lastRowFirstColumn="0" w:lastRowLastColumn="0"/>
            </w:pPr>
            <w:r>
              <w:rPr>
                <w:strike/>
              </w:rPr>
              <w:t>DELETED</w:t>
            </w:r>
          </w:p>
        </w:tc>
      </w:tr>
      <w:tr w:rsidR="001D70B3" w14:paraId="65C87F1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56CCABC" w14:textId="3CE511BF" w:rsidR="001D70B3" w:rsidRDefault="001D70B3" w:rsidP="001D70B3">
            <w:r>
              <w:t>6</w:t>
            </w:r>
          </w:p>
        </w:tc>
        <w:tc>
          <w:tcPr>
            <w:tcW w:w="6311" w:type="dxa"/>
          </w:tcPr>
          <w:p w14:paraId="3AE6B40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 Can quote from here to explain Katana: </w:t>
            </w:r>
            <w:hyperlink r:id="rId5" w:history="1">
              <w:r w:rsidRPr="003C0CAB">
                <w:rPr>
                  <w:rStyle w:val="Hyperlink"/>
                </w:rPr>
                <w:t>http://www.asp.net/aspnet/overview/owin-and-katana/an-overview-of-project-katana</w:t>
              </w:r>
            </w:hyperlink>
            <w:r>
              <w:t xml:space="preserve"> </w:t>
            </w:r>
          </w:p>
          <w:p w14:paraId="3F9628D8"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7EA9C34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51B6633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29AA5D59" w14:textId="5D0869AD"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As an example, see this (Ninject integration with OWIN, that isn’t even written yet): </w:t>
            </w:r>
            <w:hyperlink r:id="rId6" w:history="1">
              <w:r w:rsidRPr="00B24868">
                <w:rPr>
                  <w:rStyle w:val="Hyperlink"/>
                </w:rPr>
                <w:t>https://github.com/ninject/Ninject.Web.Common/wiki/Setting-up-a-OWIN-WebApi-application</w:t>
              </w:r>
            </w:hyperlink>
            <w:r>
              <w:t xml:space="preserve">. </w:t>
            </w:r>
          </w:p>
        </w:tc>
        <w:tc>
          <w:tcPr>
            <w:tcW w:w="1046" w:type="dxa"/>
          </w:tcPr>
          <w:p w14:paraId="07CBEB03" w14:textId="26CAFCFF"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3503971A" w14:textId="545892BC" w:rsidR="001D70B3" w:rsidRDefault="001D70B3" w:rsidP="001D70B3">
            <w:pPr>
              <w:cnfStyle w:val="000000000000" w:firstRow="0" w:lastRow="0" w:firstColumn="0" w:lastColumn="0" w:oddVBand="0" w:evenVBand="0" w:oddHBand="0" w:evenHBand="0" w:firstRowFirstColumn="0" w:firstRowLastColumn="0" w:lastRowFirstColumn="0" w:lastRowLastColumn="0"/>
            </w:pPr>
            <w:r>
              <w:t>DONE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63B3265D" w:rsidR="00C0343C" w:rsidRDefault="00510392" w:rsidP="568188F9">
            <w:pPr>
              <w:cnfStyle w:val="000000000000" w:firstRow="0" w:lastRow="0" w:firstColumn="0" w:lastColumn="0" w:oddVBand="0" w:evenVBand="0" w:oddHBand="0" w:evenHBand="0" w:firstRowFirstColumn="0" w:firstRowLastColumn="0" w:lastRowFirstColumn="0" w:lastRowLastColumn="0"/>
            </w:pPr>
            <w:r>
              <w:t>X</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Pr="00510392" w:rsidRDefault="00C43086" w:rsidP="00C43086">
            <w:pPr>
              <w:rPr>
                <w:strike/>
              </w:rPr>
            </w:pPr>
            <w:r w:rsidRPr="00510392">
              <w:rPr>
                <w:rFonts w:ascii="Calibri" w:eastAsia="Calibri" w:hAnsi="Calibri" w:cs="Calibri"/>
                <w:strike/>
              </w:rPr>
              <w:t>CSRF</w:t>
            </w:r>
          </w:p>
        </w:tc>
        <w:tc>
          <w:tcPr>
            <w:tcW w:w="2940" w:type="dxa"/>
          </w:tcPr>
          <w:p w14:paraId="5B492FA9" w14:textId="318465B8"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Are we going to include this in code examples? JAMIE!!!</w:t>
            </w:r>
          </w:p>
        </w:tc>
        <w:tc>
          <w:tcPr>
            <w:tcW w:w="1574" w:type="dxa"/>
          </w:tcPr>
          <w:p w14:paraId="2F578EB7" w14:textId="571C6A3B"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Jamie?</w:t>
            </w:r>
          </w:p>
        </w:tc>
        <w:tc>
          <w:tcPr>
            <w:tcW w:w="1225" w:type="dxa"/>
          </w:tcPr>
          <w:p w14:paraId="3CE833E3" w14:textId="791CB04F"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54441196" w:rsidR="00C43086" w:rsidRDefault="00510392"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6E2C285D"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DC703CE" w14:textId="6202C0C3"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Courier New"/>
    <w:panose1 w:val="00000000000000000000"/>
    <w:charset w:val="00"/>
    <w:family w:val="swiss"/>
    <w:notTrueType/>
    <w:pitch w:val="variable"/>
    <w:sig w:usb0="00000001" w:usb1="00000000" w:usb2="00000000" w:usb3="00000000" w:csb0="00000009"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A0E5B"/>
    <w:rsid w:val="001B3A0F"/>
    <w:rsid w:val="001C6AFC"/>
    <w:rsid w:val="001D0410"/>
    <w:rsid w:val="001D70B3"/>
    <w:rsid w:val="001F5F2D"/>
    <w:rsid w:val="001F795A"/>
    <w:rsid w:val="002210D2"/>
    <w:rsid w:val="00282471"/>
    <w:rsid w:val="002B0DC9"/>
    <w:rsid w:val="002C2016"/>
    <w:rsid w:val="002D536A"/>
    <w:rsid w:val="002D7A93"/>
    <w:rsid w:val="00301475"/>
    <w:rsid w:val="00304A53"/>
    <w:rsid w:val="00333913"/>
    <w:rsid w:val="00341785"/>
    <w:rsid w:val="003D0721"/>
    <w:rsid w:val="003D338C"/>
    <w:rsid w:val="00414589"/>
    <w:rsid w:val="00416A15"/>
    <w:rsid w:val="00430B4F"/>
    <w:rsid w:val="004416B7"/>
    <w:rsid w:val="004422C5"/>
    <w:rsid w:val="004871A2"/>
    <w:rsid w:val="00493AD0"/>
    <w:rsid w:val="004A1A27"/>
    <w:rsid w:val="004C08D4"/>
    <w:rsid w:val="005026B2"/>
    <w:rsid w:val="0050509D"/>
    <w:rsid w:val="00507151"/>
    <w:rsid w:val="00510392"/>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A7357"/>
    <w:rsid w:val="007B0501"/>
    <w:rsid w:val="007D644F"/>
    <w:rsid w:val="007E5CC7"/>
    <w:rsid w:val="007E7DA5"/>
    <w:rsid w:val="007F77DA"/>
    <w:rsid w:val="00806E8D"/>
    <w:rsid w:val="00817765"/>
    <w:rsid w:val="00827576"/>
    <w:rsid w:val="008325BF"/>
    <w:rsid w:val="00833FB6"/>
    <w:rsid w:val="00841272"/>
    <w:rsid w:val="008418E3"/>
    <w:rsid w:val="00853570"/>
    <w:rsid w:val="00886DDF"/>
    <w:rsid w:val="008A137A"/>
    <w:rsid w:val="008B495B"/>
    <w:rsid w:val="008C052A"/>
    <w:rsid w:val="008C74F1"/>
    <w:rsid w:val="008D2ADA"/>
    <w:rsid w:val="008E4A53"/>
    <w:rsid w:val="008E76A1"/>
    <w:rsid w:val="008F3B6A"/>
    <w:rsid w:val="00912BF2"/>
    <w:rsid w:val="00933A02"/>
    <w:rsid w:val="009463EB"/>
    <w:rsid w:val="00950F0F"/>
    <w:rsid w:val="00952E78"/>
    <w:rsid w:val="009E06C9"/>
    <w:rsid w:val="00A12309"/>
    <w:rsid w:val="00A20F20"/>
    <w:rsid w:val="00A2784C"/>
    <w:rsid w:val="00A45147"/>
    <w:rsid w:val="00A550F5"/>
    <w:rsid w:val="00A72827"/>
    <w:rsid w:val="00AA4A4D"/>
    <w:rsid w:val="00AB2AEA"/>
    <w:rsid w:val="00AB5024"/>
    <w:rsid w:val="00AD7BD9"/>
    <w:rsid w:val="00B00B4C"/>
    <w:rsid w:val="00B06076"/>
    <w:rsid w:val="00B20CB5"/>
    <w:rsid w:val="00B33782"/>
    <w:rsid w:val="00B51E78"/>
    <w:rsid w:val="00B858CB"/>
    <w:rsid w:val="00B9380C"/>
    <w:rsid w:val="00B95315"/>
    <w:rsid w:val="00BC1170"/>
    <w:rsid w:val="00BC2F8C"/>
    <w:rsid w:val="00BE2396"/>
    <w:rsid w:val="00BE72AC"/>
    <w:rsid w:val="00BE784D"/>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0DBD"/>
    <w:rsid w:val="00E998C0"/>
    <w:rsid w:val="00EA4062"/>
    <w:rsid w:val="00EA637B"/>
    <w:rsid w:val="00EC123A"/>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microsoft.com/office/2011/relationships/people" Target="people.xml"/><Relationship Id="rId5" Type="http://schemas.openxmlformats.org/officeDocument/2006/relationships/hyperlink" Target="http://www.asp.net/aspnet/overview/owin-and-katana/an-overview-of-project-kat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14</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376</cp:revision>
  <dcterms:created xsi:type="dcterms:W3CDTF">2014-02-01T19:47:00Z</dcterms:created>
  <dcterms:modified xsi:type="dcterms:W3CDTF">2014-06-12T19:25:00Z</dcterms:modified>
</cp:coreProperties>
</file>