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1075"/>
        <w:gridCol w:w="7196"/>
        <w:gridCol w:w="1079"/>
      </w:tblGrid>
      <w:tr w:rsidR="007A7357" w14:paraId="53B28875" w14:textId="77777777" w:rsidTr="007A7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0AFA56" w14:textId="04AB4A6A" w:rsidR="007A7357" w:rsidRDefault="007A7357" w:rsidP="00746A07">
            <w:r>
              <w:t>Chapter</w:t>
            </w:r>
          </w:p>
        </w:tc>
        <w:tc>
          <w:tcPr>
            <w:tcW w:w="7196" w:type="dxa"/>
          </w:tcPr>
          <w:p w14:paraId="23415577" w14:textId="658D0523" w:rsidR="007A7357" w:rsidRDefault="007A7357" w:rsidP="00746A07">
            <w:pPr>
              <w:cnfStyle w:val="100000000000" w:firstRow="1" w:lastRow="0" w:firstColumn="0" w:lastColumn="0" w:oddVBand="0" w:evenVBand="0" w:oddHBand="0" w:evenHBand="0" w:firstRowFirstColumn="0" w:firstRowLastColumn="0" w:lastRowFirstColumn="0" w:lastRowLastColumn="0"/>
            </w:pPr>
            <w:r>
              <w:t>Description</w:t>
            </w:r>
          </w:p>
        </w:tc>
        <w:tc>
          <w:tcPr>
            <w:tcW w:w="1079" w:type="dxa"/>
          </w:tcPr>
          <w:p w14:paraId="1C7871CD" w14:textId="201BBA68" w:rsidR="007A7357" w:rsidRDefault="007A7357" w:rsidP="00746A07">
            <w:pPr>
              <w:cnfStyle w:val="100000000000" w:firstRow="1" w:lastRow="0" w:firstColumn="0" w:lastColumn="0" w:oddVBand="0" w:evenVBand="0" w:oddHBand="0" w:evenHBand="0" w:firstRowFirstColumn="0" w:firstRowLastColumn="0" w:lastRowFirstColumn="0" w:lastRowLastColumn="0"/>
            </w:pPr>
            <w:r>
              <w:t>Assigned To</w:t>
            </w:r>
          </w:p>
        </w:tc>
      </w:tr>
      <w:tr w:rsidR="007A7357" w14:paraId="26254A53"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4F626B06" w14:textId="3A526840" w:rsidR="007A7357" w:rsidRDefault="007A7357" w:rsidP="00746A07">
            <w:r>
              <w:t>4</w:t>
            </w:r>
          </w:p>
        </w:tc>
        <w:tc>
          <w:tcPr>
            <w:tcW w:w="7196" w:type="dxa"/>
          </w:tcPr>
          <w:p w14:paraId="4B355B90" w14:textId="2EEE74A9" w:rsidR="007A7357" w:rsidRDefault="007A7357" w:rsidP="00746A07">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675B4597" w14:textId="77777777" w:rsidR="007A7357" w:rsidRDefault="007A7357" w:rsidP="00746A07">
            <w:pPr>
              <w:cnfStyle w:val="000000000000" w:firstRow="0" w:lastRow="0" w:firstColumn="0" w:lastColumn="0" w:oddVBand="0" w:evenVBand="0" w:oddHBand="0" w:evenHBand="0" w:firstRowFirstColumn="0" w:firstRowLastColumn="0" w:lastRowFirstColumn="0" w:lastRowLastColumn="0"/>
            </w:pPr>
          </w:p>
          <w:p w14:paraId="56A6A6C2" w14:textId="501B02E8"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52584A80"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02EEB2A"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3007BDB"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049C52FC"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7C283987"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E33E1C9"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1769ABAC"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4BEB9C2E"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28D3817B"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551B0D52"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09DAE121"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CFB5667"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12E75B9"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2E671EE9"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4519AF47"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05662072"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39F76D3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64267CFF" w14:textId="70BBC570" w:rsidR="007A7357" w:rsidRDefault="007A7357" w:rsidP="00F561CF">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396398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252A93D1"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6D75783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4E92A8A8"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6B5D0F78"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6C2751A6"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3B742C3D"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72D1FF64"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7D3F9A5B"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p>
          <w:p w14:paraId="0C119F28" w14:textId="77777777" w:rsidR="007A7357" w:rsidRDefault="007A7357" w:rsidP="00F561CF">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0329D92F" w14:textId="798DF96C" w:rsidR="007A7357" w:rsidRPr="00EA4062" w:rsidRDefault="007A7357" w:rsidP="00F561CF">
            <w:pPr>
              <w:cnfStyle w:val="000000000000" w:firstRow="0" w:lastRow="0" w:firstColumn="0" w:lastColumn="0" w:oddVBand="0" w:evenVBand="0" w:oddHBand="0" w:evenHBand="0" w:firstRowFirstColumn="0" w:firstRowLastColumn="0" w:lastRowFirstColumn="0" w:lastRowLastColumn="0"/>
            </w:pPr>
          </w:p>
        </w:tc>
        <w:tc>
          <w:tcPr>
            <w:tcW w:w="1079" w:type="dxa"/>
          </w:tcPr>
          <w:p w14:paraId="777D8A08" w14:textId="4A49B0C2" w:rsidR="007A7357" w:rsidRPr="00EA4062" w:rsidRDefault="007A7357"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A7357" w14:paraId="18FDA463"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4D3E6410" w14:textId="6606DC95" w:rsidR="007A7357" w:rsidRDefault="007A7357" w:rsidP="00DB6653">
            <w:r>
              <w:t>3</w:t>
            </w:r>
          </w:p>
        </w:tc>
        <w:tc>
          <w:tcPr>
            <w:tcW w:w="7196" w:type="dxa"/>
          </w:tcPr>
          <w:p w14:paraId="7FA10E77" w14:textId="5E6BA903" w:rsidR="007A7357" w:rsidRDefault="007A7357" w:rsidP="007A7357">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79" w:type="dxa"/>
          </w:tcPr>
          <w:p w14:paraId="60B4F3E6" w14:textId="3F3EFFD0" w:rsidR="007A7357" w:rsidRDefault="007A7357" w:rsidP="00746A07">
            <w:pPr>
              <w:cnfStyle w:val="000000000000" w:firstRow="0" w:lastRow="0" w:firstColumn="0" w:lastColumn="0" w:oddVBand="0" w:evenVBand="0" w:oddHBand="0" w:evenHBand="0" w:firstRowFirstColumn="0" w:firstRowLastColumn="0" w:lastRowFirstColumn="0" w:lastRowLastColumn="0"/>
            </w:pPr>
            <w:r>
              <w:t>Brian</w:t>
            </w:r>
          </w:p>
        </w:tc>
      </w:tr>
      <w:tr w:rsidR="007A7357" w14:paraId="1CC96A63"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34D73095" w14:textId="633FB54C" w:rsidR="007A7357" w:rsidRDefault="007A7357" w:rsidP="00EA4062">
            <w:r>
              <w:t>*</w:t>
            </w:r>
          </w:p>
        </w:tc>
        <w:tc>
          <w:tcPr>
            <w:tcW w:w="7196" w:type="dxa"/>
          </w:tcPr>
          <w:p w14:paraId="1107BEF2" w14:textId="1430F296" w:rsidR="007A7357" w:rsidRDefault="007A7357" w:rsidP="00EA4062">
            <w:pPr>
              <w:cnfStyle w:val="000000000000" w:firstRow="0" w:lastRow="0" w:firstColumn="0" w:lastColumn="0" w:oddVBand="0" w:evenVBand="0" w:oddHBand="0" w:evenHBand="0" w:firstRowFirstColumn="0" w:firstRowLastColumn="0" w:lastRowFirstColumn="0" w:lastRowLastColumn="0"/>
            </w:pPr>
            <w:r>
              <w:t>Some captions read, “POST Request (abbreviated)” and some lack the “(abbreviated)”. Make this consistent. All should have the “(abbreviated)”.</w:t>
            </w:r>
          </w:p>
        </w:tc>
        <w:tc>
          <w:tcPr>
            <w:tcW w:w="1079" w:type="dxa"/>
          </w:tcPr>
          <w:p w14:paraId="7135173D" w14:textId="35CAE751"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5EFC8765"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5ACB57AD" w14:textId="1E1B2351" w:rsidR="007A7357" w:rsidRDefault="007A7357" w:rsidP="00EA4062">
            <w:r>
              <w:t>*</w:t>
            </w:r>
          </w:p>
        </w:tc>
        <w:tc>
          <w:tcPr>
            <w:tcW w:w="7196" w:type="dxa"/>
          </w:tcPr>
          <w:p w14:paraId="7A1311AE" w14:textId="3E6F9C48" w:rsidR="007A7357" w:rsidRDefault="007A7357" w:rsidP="00EA4062">
            <w:pPr>
              <w:cnfStyle w:val="000000000000" w:firstRow="0" w:lastRow="0" w:firstColumn="0" w:lastColumn="0" w:oddVBand="0" w:evenVBand="0" w:oddHBand="0" w:evenHBand="0" w:firstRowFirstColumn="0" w:firstRowLastColumn="0" w:lastRowFirstColumn="0" w:lastRowLastColumn="0"/>
            </w:pPr>
            <w:r>
              <w:t>Table formatting – is it consistent enough?</w:t>
            </w:r>
          </w:p>
        </w:tc>
        <w:tc>
          <w:tcPr>
            <w:tcW w:w="1079" w:type="dxa"/>
          </w:tcPr>
          <w:p w14:paraId="489A3553" w14:textId="683024DB"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EC123A" w14:paraId="79162275"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2DD36FDA" w14:textId="6134E507" w:rsidR="00EC123A" w:rsidRDefault="00EC123A" w:rsidP="00EA4062">
            <w:r>
              <w:t>*</w:t>
            </w:r>
          </w:p>
        </w:tc>
        <w:tc>
          <w:tcPr>
            <w:tcW w:w="7196" w:type="dxa"/>
          </w:tcPr>
          <w:p w14:paraId="2376C3CE" w14:textId="50F3B193" w:rsidR="00EC123A" w:rsidRDefault="00EC123A" w:rsidP="00EC123A">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79" w:type="dxa"/>
          </w:tcPr>
          <w:p w14:paraId="1E4285DD" w14:textId="2C0E137D" w:rsidR="00EC123A" w:rsidRDefault="00EC123A" w:rsidP="00EA4062">
            <w:pPr>
              <w:cnfStyle w:val="000000000000" w:firstRow="0" w:lastRow="0" w:firstColumn="0" w:lastColumn="0" w:oddVBand="0" w:evenVBand="0" w:oddHBand="0" w:evenHBand="0" w:firstRowFirstColumn="0" w:firstRowLastColumn="0" w:lastRowFirstColumn="0" w:lastRowLastColumn="0"/>
            </w:pPr>
            <w:r>
              <w:t>Brian</w:t>
            </w:r>
            <w:bookmarkStart w:id="0" w:name="_GoBack"/>
            <w:bookmarkEnd w:id="0"/>
          </w:p>
        </w:tc>
      </w:tr>
      <w:tr w:rsidR="007A7357" w14:paraId="7567D53C"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0AF694F3" w14:textId="16EFE624" w:rsidR="007A7357" w:rsidRDefault="007A7357" w:rsidP="00EA4062">
            <w:r>
              <w:t>3</w:t>
            </w:r>
          </w:p>
        </w:tc>
        <w:tc>
          <w:tcPr>
            <w:tcW w:w="7196" w:type="dxa"/>
          </w:tcPr>
          <w:p w14:paraId="5E7D9771" w14:textId="45EF5E04" w:rsidR="007A7357" w:rsidRDefault="007A7357" w:rsidP="00EA4062">
            <w:pPr>
              <w:cnfStyle w:val="000000000000" w:firstRow="0" w:lastRow="0" w:firstColumn="0" w:lastColumn="0" w:oddVBand="0" w:evenVBand="0" w:oddHBand="0" w:evenHBand="0" w:firstRowFirstColumn="0" w:firstRowLastColumn="0" w:lastRowFirstColumn="0" w:lastRowLastColumn="0"/>
            </w:pPr>
            <w:r>
              <w:t>OData sidebar isn’t closed</w:t>
            </w:r>
          </w:p>
        </w:tc>
        <w:tc>
          <w:tcPr>
            <w:tcW w:w="1079" w:type="dxa"/>
          </w:tcPr>
          <w:p w14:paraId="1327B56D" w14:textId="1AD41125"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5408AACE"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5AA04A1A" w14:textId="0C5CB52B" w:rsidR="007A7357" w:rsidRDefault="007A7357" w:rsidP="00EA4062">
            <w:r>
              <w:lastRenderedPageBreak/>
              <w:t>5</w:t>
            </w:r>
          </w:p>
        </w:tc>
        <w:tc>
          <w:tcPr>
            <w:tcW w:w="7196" w:type="dxa"/>
          </w:tcPr>
          <w:p w14:paraId="3B80CC15" w14:textId="070D7447" w:rsidR="007A7357" w:rsidRDefault="007A7357" w:rsidP="00EA4062">
            <w:pPr>
              <w:cnfStyle w:val="000000000000" w:firstRow="0" w:lastRow="0" w:firstColumn="0" w:lastColumn="0" w:oddVBand="0" w:evenVBand="0" w:oddHBand="0" w:evenHBand="0" w:firstRowFirstColumn="0" w:firstRowLastColumn="0" w:lastRowFirstColumn="0" w:lastRowLastColumn="0"/>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79" w:type="dxa"/>
          </w:tcPr>
          <w:p w14:paraId="57222595" w14:textId="77777777" w:rsidR="007A7357" w:rsidRDefault="007A7357" w:rsidP="00EA4062">
            <w:pPr>
              <w:cnfStyle w:val="000000000000" w:firstRow="0" w:lastRow="0" w:firstColumn="0" w:lastColumn="0" w:oddVBand="0" w:evenVBand="0" w:oddHBand="0" w:evenHBand="0" w:firstRowFirstColumn="0" w:firstRowLastColumn="0" w:lastRowFirstColumn="0" w:lastRowLastColumn="0"/>
            </w:pPr>
          </w:p>
        </w:tc>
      </w:tr>
      <w:tr w:rsidR="007A7357" w14:paraId="58FC4D7E"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21C3D687" w14:textId="0A459C08" w:rsidR="007A7357" w:rsidRDefault="007A7357" w:rsidP="00EA4062">
            <w:r>
              <w:t>*</w:t>
            </w:r>
          </w:p>
        </w:tc>
        <w:tc>
          <w:tcPr>
            <w:tcW w:w="7196" w:type="dxa"/>
          </w:tcPr>
          <w:p w14:paraId="0F1F3AC1" w14:textId="5247A64E" w:rsidR="007A7357" w:rsidRDefault="007A7357" w:rsidP="00EA4062">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79" w:type="dxa"/>
          </w:tcPr>
          <w:p w14:paraId="3C1DA97F" w14:textId="197D769B"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55B32FFF"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1FB8679D" w14:textId="2B7FA02C" w:rsidR="007A7357" w:rsidRDefault="007A7357" w:rsidP="005026B2">
            <w:r>
              <w:t>6</w:t>
            </w:r>
          </w:p>
        </w:tc>
        <w:tc>
          <w:tcPr>
            <w:tcW w:w="7196" w:type="dxa"/>
          </w:tcPr>
          <w:p w14:paraId="48EB6D5E" w14:textId="7109CADD" w:rsidR="007A7357" w:rsidRDefault="007A7357" w:rsidP="005026B2">
            <w:pPr>
              <w:cnfStyle w:val="000000000000" w:firstRow="0" w:lastRow="0" w:firstColumn="0" w:lastColumn="0" w:oddVBand="0" w:evenVBand="0" w:oddHBand="0" w:evenHBand="0" w:firstRowFirstColumn="0" w:firstRowLastColumn="0" w:lastRowFirstColumn="0" w:lastRowLastColumn="0"/>
            </w:pPr>
            <w: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79" w:type="dxa"/>
          </w:tcPr>
          <w:p w14:paraId="0ACF81CC" w14:textId="2E7BCFE8"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430A3731"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3F824430" w14:textId="5A30737A" w:rsidR="007A7357" w:rsidRDefault="007A7357" w:rsidP="005026B2">
            <w:r>
              <w:t>6</w:t>
            </w:r>
          </w:p>
        </w:tc>
        <w:tc>
          <w:tcPr>
            <w:tcW w:w="7196" w:type="dxa"/>
          </w:tcPr>
          <w:p w14:paraId="3F7C813B" w14:textId="006BB819" w:rsidR="007A7357" w:rsidRDefault="007A7357" w:rsidP="005026B2">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2676801D" w14:textId="77777777" w:rsidR="007A7357" w:rsidRDefault="007A7357" w:rsidP="005026B2">
            <w:pPr>
              <w:cnfStyle w:val="000000000000" w:firstRow="0" w:lastRow="0" w:firstColumn="0" w:lastColumn="0" w:oddVBand="0" w:evenVBand="0" w:oddHBand="0" w:evenHBand="0" w:firstRowFirstColumn="0" w:firstRowLastColumn="0" w:lastRowFirstColumn="0" w:lastRowLastColumn="0"/>
            </w:pPr>
          </w:p>
          <w:p w14:paraId="1F5F0DA6" w14:textId="77777777" w:rsidR="007A7357" w:rsidRDefault="007A7357" w:rsidP="005026B2">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1C9B545A" w14:textId="77777777" w:rsidR="007A7357" w:rsidRDefault="007A7357" w:rsidP="005026B2">
            <w:pPr>
              <w:cnfStyle w:val="000000000000" w:firstRow="0" w:lastRow="0" w:firstColumn="0" w:lastColumn="0" w:oddVBand="0" w:evenVBand="0" w:oddHBand="0" w:evenHBand="0" w:firstRowFirstColumn="0" w:firstRowLastColumn="0" w:lastRowFirstColumn="0" w:lastRowLastColumn="0"/>
            </w:pPr>
          </w:p>
          <w:p w14:paraId="0E358D18" w14:textId="0678E220" w:rsidR="007A7357" w:rsidRDefault="007A7357" w:rsidP="005026B2">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79" w:type="dxa"/>
          </w:tcPr>
          <w:p w14:paraId="37729D52" w14:textId="79F43BEC"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r w:rsidR="007A7357" w14:paraId="7953F151"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327C8CE9" w14:textId="0FCAF1B4" w:rsidR="007A7357" w:rsidRDefault="007A7357" w:rsidP="005026B2">
            <w:r>
              <w:t>n/a</w:t>
            </w:r>
          </w:p>
        </w:tc>
        <w:tc>
          <w:tcPr>
            <w:tcW w:w="7196" w:type="dxa"/>
          </w:tcPr>
          <w:p w14:paraId="47F1312D" w14:textId="037ECC9E" w:rsidR="007A7357" w:rsidRDefault="007A7357" w:rsidP="005026B2">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79" w:type="dxa"/>
          </w:tcPr>
          <w:p w14:paraId="0AF87959" w14:textId="0FADBD50" w:rsidR="007A7357" w:rsidRDefault="007A7357" w:rsidP="00EA4062">
            <w:pPr>
              <w:cnfStyle w:val="000000000000" w:firstRow="0" w:lastRow="0" w:firstColumn="0" w:lastColumn="0" w:oddVBand="0" w:evenVBand="0" w:oddHBand="0" w:evenHBand="0" w:firstRowFirstColumn="0" w:firstRowLastColumn="0" w:lastRowFirstColumn="0" w:lastRowLastColumn="0"/>
            </w:pPr>
            <w:r>
              <w:t>Jamie</w:t>
            </w:r>
          </w:p>
        </w:tc>
      </w:tr>
      <w:tr w:rsidR="007A7357" w14:paraId="6AADA105" w14:textId="77777777" w:rsidTr="007A7357">
        <w:tc>
          <w:tcPr>
            <w:cnfStyle w:val="001000000000" w:firstRow="0" w:lastRow="0" w:firstColumn="1" w:lastColumn="0" w:oddVBand="0" w:evenVBand="0" w:oddHBand="0" w:evenHBand="0" w:firstRowFirstColumn="0" w:firstRowLastColumn="0" w:lastRowFirstColumn="0" w:lastRowLastColumn="0"/>
            <w:tcW w:w="1075" w:type="dxa"/>
          </w:tcPr>
          <w:p w14:paraId="1BC07D5A" w14:textId="1F49F804" w:rsidR="007A7357" w:rsidRDefault="007A7357" w:rsidP="00950F0F">
            <w:r>
              <w:t>5</w:t>
            </w:r>
          </w:p>
        </w:tc>
        <w:tc>
          <w:tcPr>
            <w:tcW w:w="7196" w:type="dxa"/>
          </w:tcPr>
          <w:p w14:paraId="284CD620" w14:textId="77A74CD2" w:rsidR="007A7357" w:rsidRDefault="007A7357" w:rsidP="00950F0F">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w:t>
            </w:r>
          </w:p>
          <w:p w14:paraId="01983EFE" w14:textId="47DD2881" w:rsidR="007A7357" w:rsidRDefault="007A7357" w:rsidP="003D0721">
            <w:pPr>
              <w:cnfStyle w:val="000000000000" w:firstRow="0" w:lastRow="0" w:firstColumn="0" w:lastColumn="0" w:oddVBand="0" w:evenVBand="0" w:oddHBand="0" w:evenHBand="0" w:firstRowFirstColumn="0" w:firstRowLastColumn="0" w:lastRowFirstColumn="0" w:lastRowLastColumn="0"/>
            </w:pPr>
          </w:p>
        </w:tc>
        <w:tc>
          <w:tcPr>
            <w:tcW w:w="1079" w:type="dxa"/>
          </w:tcPr>
          <w:p w14:paraId="48B5348B" w14:textId="6F042F05" w:rsidR="007A7357" w:rsidRDefault="007A7357"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0E9B4EE5" w:rsidR="00C0343C" w:rsidRDefault="006B4E0C" w:rsidP="568188F9">
            <w:pPr>
              <w:cnfStyle w:val="000000000000" w:firstRow="0" w:lastRow="0" w:firstColumn="0" w:lastColumn="0" w:oddVBand="0" w:evenVBand="0" w:oddHBand="0" w:evenHBand="0" w:firstRowFirstColumn="0" w:firstRowLastColumn="0" w:lastRowFirstColumn="0" w:lastRowLastColumn="0"/>
            </w:pPr>
            <w:r>
              <w:t>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Default="00C43086" w:rsidP="00C43086">
            <w:r w:rsidRPr="377778CB">
              <w:rPr>
                <w:rFonts w:ascii="Calibri" w:eastAsia="Calibri" w:hAnsi="Calibri" w:cs="Calibri"/>
              </w:rPr>
              <w:t>CSRF</w:t>
            </w:r>
          </w:p>
        </w:tc>
        <w:tc>
          <w:tcPr>
            <w:tcW w:w="2940" w:type="dxa"/>
          </w:tcPr>
          <w:p w14:paraId="5B492FA9" w14:textId="318465B8"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571C6A3B" w:rsidR="00C43086" w:rsidRDefault="00C43086" w:rsidP="00C43086">
            <w:pPr>
              <w:cnfStyle w:val="000000000000" w:firstRow="0" w:lastRow="0" w:firstColumn="0" w:lastColumn="0" w:oddVBand="0" w:evenVBand="0" w:oddHBand="0" w:evenHBand="0" w:firstRowFirstColumn="0" w:firstRowLastColumn="0" w:lastRowFirstColumn="0" w:lastRowLastColumn="0"/>
            </w:pPr>
            <w:r>
              <w:t>Jamie?</w:t>
            </w:r>
          </w:p>
        </w:tc>
        <w:tc>
          <w:tcPr>
            <w:tcW w:w="1225" w:type="dxa"/>
          </w:tcPr>
          <w:p w14:paraId="3CE833E3" w14:textId="791CB04F"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6AC2BD9C"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43086" w:rsidRDefault="00C43086" w:rsidP="00C43086">
            <w:pPr>
              <w:cnfStyle w:val="000000000000" w:firstRow="0" w:lastRow="0" w:firstColumn="0" w:lastColumn="0" w:oddVBand="0" w:evenVBand="0" w:oddHBand="0" w:evenHBand="0" w:firstRowFirstColumn="0" w:firstRowLastColumn="0" w:lastRowFirstColumn="0" w:lastRowLastColumn="0"/>
            </w:pPr>
            <w:r>
              <w:t>TODO CH9</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F12C7C" w:rsidRDefault="00F12C7C">
      <w:r>
        <w:annotationRef/>
      </w:r>
      <w:r>
        <w:t>Done</w:t>
      </w:r>
    </w:p>
  </w:comment>
  <w:comment w:id="2" w:author="Jamie Kurtz" w:date="2014-03-24T22:00:00Z" w:initials="JK">
    <w:p w14:paraId="0460A389" w14:textId="4256D420" w:rsidR="00F12C7C" w:rsidRDefault="00F12C7C">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F12C7C" w:rsidRDefault="00F12C7C">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Ari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B3A0F"/>
    <w:rsid w:val="001C6AFC"/>
    <w:rsid w:val="001D0410"/>
    <w:rsid w:val="001F5F2D"/>
    <w:rsid w:val="001F795A"/>
    <w:rsid w:val="002210D2"/>
    <w:rsid w:val="00282471"/>
    <w:rsid w:val="002B0DC9"/>
    <w:rsid w:val="002C2016"/>
    <w:rsid w:val="002D536A"/>
    <w:rsid w:val="002D7A93"/>
    <w:rsid w:val="00301475"/>
    <w:rsid w:val="00304A53"/>
    <w:rsid w:val="00333913"/>
    <w:rsid w:val="00341785"/>
    <w:rsid w:val="003D0721"/>
    <w:rsid w:val="003D338C"/>
    <w:rsid w:val="00414589"/>
    <w:rsid w:val="00416A15"/>
    <w:rsid w:val="00430B4F"/>
    <w:rsid w:val="004422C5"/>
    <w:rsid w:val="004871A2"/>
    <w:rsid w:val="00493AD0"/>
    <w:rsid w:val="004A1A27"/>
    <w:rsid w:val="004C08D4"/>
    <w:rsid w:val="005026B2"/>
    <w:rsid w:val="0050509D"/>
    <w:rsid w:val="00507151"/>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315CD"/>
    <w:rsid w:val="00737E41"/>
    <w:rsid w:val="00746A07"/>
    <w:rsid w:val="00762E9B"/>
    <w:rsid w:val="007A63A1"/>
    <w:rsid w:val="007A7357"/>
    <w:rsid w:val="007B0501"/>
    <w:rsid w:val="007D644F"/>
    <w:rsid w:val="007E7DA5"/>
    <w:rsid w:val="007F77DA"/>
    <w:rsid w:val="00806E8D"/>
    <w:rsid w:val="00817765"/>
    <w:rsid w:val="00827576"/>
    <w:rsid w:val="008325BF"/>
    <w:rsid w:val="00833FB6"/>
    <w:rsid w:val="00841272"/>
    <w:rsid w:val="008418E3"/>
    <w:rsid w:val="00853570"/>
    <w:rsid w:val="00886DDF"/>
    <w:rsid w:val="008A137A"/>
    <w:rsid w:val="008C052A"/>
    <w:rsid w:val="008C74F1"/>
    <w:rsid w:val="008E4A53"/>
    <w:rsid w:val="008E76A1"/>
    <w:rsid w:val="008F3B6A"/>
    <w:rsid w:val="00912BF2"/>
    <w:rsid w:val="00933A02"/>
    <w:rsid w:val="009463EB"/>
    <w:rsid w:val="00950F0F"/>
    <w:rsid w:val="00952E78"/>
    <w:rsid w:val="009E06C9"/>
    <w:rsid w:val="00A12309"/>
    <w:rsid w:val="00A20F20"/>
    <w:rsid w:val="00A45147"/>
    <w:rsid w:val="00A550F5"/>
    <w:rsid w:val="00A72827"/>
    <w:rsid w:val="00AA4A4D"/>
    <w:rsid w:val="00AB2AEA"/>
    <w:rsid w:val="00AB5024"/>
    <w:rsid w:val="00AD7BD9"/>
    <w:rsid w:val="00B06076"/>
    <w:rsid w:val="00B20CB5"/>
    <w:rsid w:val="00B33782"/>
    <w:rsid w:val="00B51E78"/>
    <w:rsid w:val="00B858CB"/>
    <w:rsid w:val="00B9380C"/>
    <w:rsid w:val="00B95315"/>
    <w:rsid w:val="00BC1170"/>
    <w:rsid w:val="00BC2F8C"/>
    <w:rsid w:val="00BE2396"/>
    <w:rsid w:val="00BE72AC"/>
    <w:rsid w:val="00C0343C"/>
    <w:rsid w:val="00C43086"/>
    <w:rsid w:val="00C43404"/>
    <w:rsid w:val="00C73D04"/>
    <w:rsid w:val="00C919C6"/>
    <w:rsid w:val="00D47E5A"/>
    <w:rsid w:val="00D540BF"/>
    <w:rsid w:val="00D552C5"/>
    <w:rsid w:val="00D85D3B"/>
    <w:rsid w:val="00DA6CF4"/>
    <w:rsid w:val="00DA773C"/>
    <w:rsid w:val="00DA7CB1"/>
    <w:rsid w:val="00DB6653"/>
    <w:rsid w:val="00DC28F0"/>
    <w:rsid w:val="00DE0278"/>
    <w:rsid w:val="00DF7B68"/>
    <w:rsid w:val="00E0397E"/>
    <w:rsid w:val="00E41A6C"/>
    <w:rsid w:val="00E52E53"/>
    <w:rsid w:val="00E90695"/>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14</Pages>
  <Words>4033</Words>
  <Characters>22991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367</cp:revision>
  <dcterms:created xsi:type="dcterms:W3CDTF">2014-02-01T19:47:00Z</dcterms:created>
  <dcterms:modified xsi:type="dcterms:W3CDTF">2014-06-04T19:28:00Z</dcterms:modified>
</cp:coreProperties>
</file>