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057144B4" w:rsidR="00746A07" w:rsidRDefault="00F561CF" w:rsidP="00746A07">
            <w:r>
              <w:t xml:space="preserve">Here </w:t>
            </w:r>
            <w:r w:rsidR="00EC765B">
              <w:t>are the packages to list in CH4. Let’s wait until we’re farther along before we make 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7777777" w:rsidR="00746A07" w:rsidRDefault="00746A07" w:rsidP="00746A07"/>
        </w:tc>
        <w:tc>
          <w:tcPr>
            <w:tcW w:w="1255" w:type="dxa"/>
          </w:tcPr>
          <w:p w14:paraId="46D0F3AE" w14:textId="77777777" w:rsidR="00746A07" w:rsidRDefault="00746A07" w:rsidP="00746A07">
            <w:pPr>
              <w:cnfStyle w:val="000000000000" w:firstRow="0" w:lastRow="0" w:firstColumn="0" w:lastColumn="0" w:oddVBand="0" w:evenVBand="0" w:oddHBand="0" w:evenHBand="0" w:firstRowFirstColumn="0" w:firstRowLastColumn="0" w:lastRowFirstColumn="0" w:lastRowLastColumn="0"/>
            </w:pP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086BA445" w:rsidR="00EA4062" w:rsidRDefault="00EA4062" w:rsidP="00EA4062"/>
        </w:tc>
        <w:tc>
          <w:tcPr>
            <w:tcW w:w="1255" w:type="dxa"/>
          </w:tcPr>
          <w:p w14:paraId="359C078A" w14:textId="2489A3A4" w:rsidR="00EA4062" w:rsidRDefault="00EA4062" w:rsidP="00EA4062">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77777777" w:rsidR="00C0343C" w:rsidRPr="6988E71B" w:rsidRDefault="00C0343C" w:rsidP="2431E5A9">
            <w:pPr>
              <w:cnfStyle w:val="000000000000" w:firstRow="0" w:lastRow="0" w:firstColumn="0" w:lastColumn="0" w:oddVBand="0" w:evenVBand="0" w:oddHBand="0" w:evenHBand="0" w:firstRowFirstColumn="0" w:firstRowLastColumn="0" w:lastRowFirstColumn="0" w:lastRowLastColumn="0"/>
            </w:pP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7777777" w:rsidR="00C0343C" w:rsidRPr="38D28179" w:rsidRDefault="00C0343C" w:rsidP="3DE93F6D">
            <w:pPr>
              <w:cnfStyle w:val="000000000000" w:firstRow="0" w:lastRow="0" w:firstColumn="0" w:lastColumn="0" w:oddVBand="0" w:evenVBand="0" w:oddHBand="0" w:evenHBand="0" w:firstRowFirstColumn="0" w:firstRowLastColumn="0" w:lastRowFirstColumn="0" w:lastRowLastColumn="0"/>
            </w:pP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77777777" w:rsidR="00C0343C" w:rsidRPr="726C5679" w:rsidRDefault="00C0343C" w:rsidP="63AFE0B6">
            <w:pPr>
              <w:cnfStyle w:val="000000000000" w:firstRow="0" w:lastRow="0" w:firstColumn="0" w:lastColumn="0" w:oddVBand="0" w:evenVBand="0" w:oddHBand="0" w:evenHBand="0" w:firstRowFirstColumn="0" w:firstRowLastColumn="0" w:lastRowFirstColumn="0" w:lastRowLastColumn="0"/>
            </w:pP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77777777" w:rsidR="00C0343C" w:rsidRPr="726C5679" w:rsidRDefault="00C0343C" w:rsidP="70E338DB">
            <w:pPr>
              <w:cnfStyle w:val="000000000000" w:firstRow="0" w:lastRow="0" w:firstColumn="0" w:lastColumn="0" w:oddVBand="0" w:evenVBand="0" w:oddHBand="0" w:evenHBand="0" w:firstRowFirstColumn="0" w:firstRowLastColumn="0" w:lastRowFirstColumn="0" w:lastRowLastColumn="0"/>
            </w:pP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7777777" w:rsidR="00C0343C" w:rsidRDefault="00C0343C" w:rsidP="70E338DB">
            <w:pPr>
              <w:cnfStyle w:val="000000000000" w:firstRow="0" w:lastRow="0" w:firstColumn="0" w:lastColumn="0" w:oddVBand="0" w:evenVBand="0" w:oddHBand="0" w:evenHBand="0" w:firstRowFirstColumn="0" w:firstRowLastColumn="0" w:lastRowFirstColumn="0" w:lastRowLastColumn="0"/>
            </w:pP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596C04BB"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Guard against overposting. Using AutoMapper to translate.</w:t>
            </w: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609DF718" w:rsidR="00C0343C" w:rsidRDefault="00C0343C"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77777777" w:rsidR="00C0343C" w:rsidRPr="42572C70" w:rsidRDefault="00C0343C" w:rsidP="30C9B6ED">
            <w:pPr>
              <w:cnfStyle w:val="000000000000" w:firstRow="0" w:lastRow="0" w:firstColumn="0" w:lastColumn="0" w:oddVBand="0" w:evenVBand="0" w:oddHBand="0" w:evenHBand="0" w:firstRowFirstColumn="0" w:firstRowLastColumn="0" w:lastRowFirstColumn="0" w:lastRowLastColumn="0"/>
            </w:pP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1F6FB49F" w:rsidR="00C0343C" w:rsidRDefault="00C0343C"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77777777" w:rsidR="00C0343C" w:rsidRDefault="00C0343C" w:rsidP="79B83CDF">
            <w:pPr>
              <w:cnfStyle w:val="000000000000" w:firstRow="0" w:lastRow="0" w:firstColumn="0" w:lastColumn="0" w:oddVBand="0" w:evenVBand="0" w:oddHBand="0" w:evenHBand="0" w:firstRowFirstColumn="0" w:firstRowLastColumn="0" w:lastRowFirstColumn="0" w:lastRowLastColumn="0"/>
            </w:pP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5AC5D41C" w14:textId="44D401D6" w:rsidR="00C0343C" w:rsidRDefault="00C0343C"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77777777" w:rsidR="00C0343C" w:rsidRDefault="00C0343C" w:rsidP="4F74E48C">
            <w:pPr>
              <w:cnfStyle w:val="000000000000" w:firstRow="0" w:lastRow="0" w:firstColumn="0" w:lastColumn="0" w:oddVBand="0" w:evenVBand="0" w:oddHBand="0" w:evenHBand="0" w:firstRowFirstColumn="0" w:firstRowLastColumn="0" w:lastRowFirstColumn="0" w:lastRowLastColumn="0"/>
            </w:pP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580C9538"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77777777" w:rsidR="00C0343C" w:rsidRDefault="00C0343C" w:rsidP="2AD96B39">
            <w:pPr>
              <w:cnfStyle w:val="000000000000" w:firstRow="0" w:lastRow="0" w:firstColumn="0" w:lastColumn="0" w:oddVBand="0" w:evenVBand="0" w:oddHBand="0" w:evenHBand="0" w:firstRowFirstColumn="0" w:firstRowLastColumn="0" w:lastRowFirstColumn="0" w:lastRowLastColumn="0"/>
            </w:pP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C0343C" w:rsidRDefault="00C0343C" w:rsidP="568188F9">
            <w:r w:rsidRPr="338CFAC6">
              <w:t>ASP.NET Identity</w:t>
            </w:r>
          </w:p>
        </w:tc>
        <w:tc>
          <w:tcPr>
            <w:tcW w:w="2940" w:type="dxa"/>
          </w:tcPr>
          <w:p w14:paraId="4F89895F" w14:textId="3F3F0BED" w:rsidR="00C0343C" w:rsidRDefault="00C0343C" w:rsidP="45511FC8">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C0343C" w:rsidRDefault="00C0343C" w:rsidP="568188F9">
            <w:r w:rsidRPr="0163AC8D">
              <w:t>Basic Auth</w:t>
            </w:r>
          </w:p>
        </w:tc>
        <w:tc>
          <w:tcPr>
            <w:tcW w:w="2940" w:type="dxa"/>
          </w:tcPr>
          <w:p w14:paraId="0FC1B7A2" w14:textId="503EB90F"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C0343C" w:rsidRDefault="00C0343C" w:rsidP="568188F9">
            <w:r w:rsidRPr="0163AC8D">
              <w:t>Bearer Auth</w:t>
            </w:r>
          </w:p>
        </w:tc>
        <w:tc>
          <w:tcPr>
            <w:tcW w:w="2940" w:type="dxa"/>
          </w:tcPr>
          <w:p w14:paraId="13847F40" w14:textId="75420931"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C0343C" w:rsidRDefault="00C0343C" w:rsidP="63AFE0B6">
            <w:r w:rsidRPr="63AFE0B6">
              <w:t>custom legacy auth</w:t>
            </w:r>
          </w:p>
        </w:tc>
        <w:tc>
          <w:tcPr>
            <w:tcW w:w="2940" w:type="dxa"/>
          </w:tcPr>
          <w:p w14:paraId="158E1D74" w14:textId="4099C95D"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77777777" w:rsidR="00C0343C" w:rsidRDefault="00C0343C" w:rsidP="63AFE0B6">
            <w:pPr>
              <w:cnfStyle w:val="000000000000" w:firstRow="0" w:lastRow="0" w:firstColumn="0" w:lastColumn="0" w:oddVBand="0" w:evenVBand="0" w:oddHBand="0" w:evenHBand="0" w:firstRowFirstColumn="0" w:firstRowLastColumn="0" w:lastRowFirstColumn="0" w:lastRowLastColumn="0"/>
            </w:pPr>
          </w:p>
        </w:tc>
      </w:tr>
      <w:tr w:rsidR="00C0343C"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0343C" w:rsidRDefault="00C0343C">
            <w:r w:rsidRPr="377778CB">
              <w:rPr>
                <w:rFonts w:ascii="Calibri" w:eastAsia="Calibri" w:hAnsi="Calibri" w:cs="Calibri"/>
              </w:rPr>
              <w:t>CSRF</w:t>
            </w:r>
          </w:p>
        </w:tc>
        <w:tc>
          <w:tcPr>
            <w:tcW w:w="2940" w:type="dxa"/>
          </w:tcPr>
          <w:p w14:paraId="5B492FA9" w14:textId="318465B8" w:rsidR="00C0343C" w:rsidRDefault="00C0343C"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C0343C" w:rsidRDefault="00C0343C" w:rsidP="377778CB">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77777777" w:rsidR="00C0343C" w:rsidRDefault="00C0343C" w:rsidP="377778CB">
            <w:pPr>
              <w:cnfStyle w:val="000000000000" w:firstRow="0" w:lastRow="0" w:firstColumn="0" w:lastColumn="0" w:oddVBand="0" w:evenVBand="0" w:oddHBand="0" w:evenHBand="0" w:firstRowFirstColumn="0" w:firstRowLastColumn="0" w:lastRowFirstColumn="0" w:lastRowLastColumn="0"/>
            </w:pPr>
          </w:p>
        </w:tc>
      </w:tr>
      <w:tr w:rsidR="00C0343C"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0343C" w:rsidRDefault="00C0343C" w:rsidP="2AAA3E8B">
            <w:r w:rsidRPr="40C1DD4D">
              <w:t>authorization attribute</w:t>
            </w:r>
          </w:p>
        </w:tc>
        <w:tc>
          <w:tcPr>
            <w:tcW w:w="2940" w:type="dxa"/>
          </w:tcPr>
          <w:p w14:paraId="3504799E" w14:textId="7F37B143" w:rsidR="00C0343C" w:rsidRDefault="00C0343C" w:rsidP="2AAA3E8B">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0343C" w:rsidRDefault="00C0343C" w:rsidP="2AAA3E8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77777777" w:rsidR="00C0343C" w:rsidRDefault="00C0343C" w:rsidP="2AAA3E8B">
            <w:pPr>
              <w:cnfStyle w:val="000000000000" w:firstRow="0" w:lastRow="0" w:firstColumn="0" w:lastColumn="0" w:oddVBand="0" w:evenVBand="0" w:oddHBand="0" w:evenHBand="0" w:firstRowFirstColumn="0" w:firstRowLastColumn="0" w:lastRowFirstColumn="0" w:lastRowLastColumn="0"/>
            </w:pPr>
          </w:p>
        </w:tc>
      </w:tr>
      <w:tr w:rsidR="00C0343C"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0343C" w:rsidRDefault="00C0343C" w:rsidP="568188F9">
            <w:r w:rsidRPr="289B6511">
              <w:t>require ssl attribute</w:t>
            </w:r>
          </w:p>
        </w:tc>
        <w:tc>
          <w:tcPr>
            <w:tcW w:w="2940" w:type="dxa"/>
          </w:tcPr>
          <w:p w14:paraId="17D7023F" w14:textId="2A0710C2" w:rsidR="00C0343C" w:rsidRDefault="00C0343C"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574" w:type="dxa"/>
          </w:tcPr>
          <w:p w14:paraId="1379AD6D" w14:textId="5DE0A9CA"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357C157B" w:rsidR="00C0343C" w:rsidRDefault="00C0343C" w:rsidP="289B6511">
            <w:r w:rsidRPr="0290A418">
              <w:t>security masking of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77777777" w:rsidR="00C0343C"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77777777" w:rsidR="00C0343C" w:rsidRPr="47B3B79C"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77777777" w:rsidR="00C0343C" w:rsidRPr="6927C164"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77777777" w:rsidR="00C0343C" w:rsidRPr="3CB7EDA7"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77777777" w:rsidR="00C0343C" w:rsidRPr="3CB7EDA7"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77777777" w:rsidR="00C0343C" w:rsidRDefault="00C0343C" w:rsidP="65412526">
            <w:pPr>
              <w:cnfStyle w:val="000000000000" w:firstRow="0" w:lastRow="0" w:firstColumn="0" w:lastColumn="0" w:oddVBand="0" w:evenVBand="0" w:oddHBand="0" w:evenHBand="0" w:firstRowFirstColumn="0" w:firstRowLastColumn="0" w:lastRowFirstColumn="0" w:lastRowLastColumn="0"/>
            </w:pP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lastRenderedPageBreak/>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77777777" w:rsidR="00C0343C" w:rsidRDefault="00C0343C" w:rsidP="309EBC41">
            <w:pPr>
              <w:cnfStyle w:val="000000000000" w:firstRow="0" w:lastRow="0" w:firstColumn="0" w:lastColumn="0" w:oddVBand="0" w:evenVBand="0" w:oddHBand="0" w:evenHBand="0" w:firstRowFirstColumn="0" w:firstRowLastColumn="0" w:lastRowFirstColumn="0" w:lastRowLastColumn="0"/>
            </w:pP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4C029E80"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777777" w:rsidR="00C0343C" w:rsidRDefault="00C0343C"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2257D7E4" w14:textId="331EE7C0" w:rsidR="00DA7CB1" w:rsidRDefault="0C8D9142" w:rsidP="0C8D9142">
      <w:pPr>
        <w:pStyle w:val="ListParagraph"/>
        <w:numPr>
          <w:ilvl w:val="2"/>
          <w:numId w:val="12"/>
        </w:numPr>
      </w:pPr>
      <w:r>
        <w:t>TODO</w:t>
      </w:r>
    </w:p>
    <w:p w14:paraId="1843F9F7" w14:textId="2308E8EF" w:rsidR="00DE0278" w:rsidRDefault="2308E8EF" w:rsidP="00DE0278">
      <w:pPr>
        <w:pStyle w:val="ListParagraph"/>
        <w:numPr>
          <w:ilvl w:val="1"/>
          <w:numId w:val="12"/>
        </w:numPr>
      </w:pPr>
      <w:r>
        <w:t>5) Controllers, Dependencies, and Managing the Database Unit of Work</w:t>
      </w:r>
    </w:p>
    <w:p w14:paraId="516FF1BD" w14:textId="5BA33A8B" w:rsidR="2308E8EF" w:rsidRDefault="2308E8EF" w:rsidP="2308E8EF">
      <w:pPr>
        <w:pStyle w:val="ListParagraph"/>
        <w:numPr>
          <w:ilvl w:val="2"/>
          <w:numId w:val="12"/>
        </w:numPr>
      </w:pPr>
      <w:r>
        <w:t>TODO</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79DE0D10" w14:textId="367FCC09" w:rsidR="54512E12" w:rsidRDefault="54512E12" w:rsidP="54512E12">
      <w:pPr>
        <w:pStyle w:val="ListParagraph"/>
        <w:numPr>
          <w:ilvl w:val="2"/>
          <w:numId w:val="12"/>
        </w:numPr>
      </w:pPr>
      <w:r>
        <w:t>TODO</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315EFD88" w14:textId="0118BC95" w:rsidR="54512E12" w:rsidRDefault="0118BC95" w:rsidP="54512E12">
      <w:pPr>
        <w:pStyle w:val="ListParagraph"/>
        <w:numPr>
          <w:ilvl w:val="2"/>
          <w:numId w:val="12"/>
        </w:numPr>
      </w:pPr>
      <w:r>
        <w:t>TODO</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7B0501"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0B9569" w14:textId="22E02DF0"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V</w:t>
      </w:r>
      <w:r w:rsidR="004C08D4" w:rsidRPr="000F4FD8">
        <w:rPr>
          <w:rFonts w:cs="Segoe Print"/>
        </w:rPr>
        <w:t>ersioning</w:t>
      </w:r>
    </w:p>
    <w:p w14:paraId="2E46A07E" w14:textId="6687C3C9"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Use url-based versioning</w:t>
      </w:r>
    </w:p>
    <w:p w14:paraId="03A4398A" w14:textId="1DE937B4" w:rsidR="004C08D4" w:rsidRDefault="004C08D4"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controller selector</w:t>
      </w:r>
      <w:r w:rsidR="00605BE2">
        <w:rPr>
          <w:rFonts w:cs="Segoe Print"/>
        </w:rPr>
        <w:t xml:space="preserve"> (namespaces)</w:t>
      </w:r>
    </w:p>
    <w:p w14:paraId="35D4439D" w14:textId="3B46861F"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3" w:author="Brian Wortman" w:date="2014-02-15T11:14:00Z"/>
          <w:rFonts w:cs="Segoe Print"/>
        </w:rPr>
      </w:pPr>
      <w:r>
        <w:rPr>
          <w:rFonts w:cs="Segoe Print"/>
        </w:rPr>
        <w:t>Careful; this will break the api help page</w:t>
      </w:r>
      <w:ins w:id="74" w:author="Brian Wortman" w:date="2014-02-15T11:14:00Z">
        <w:r w:rsidR="00AB2AEA">
          <w:rPr>
            <w:rFonts w:cs="Segoe Print"/>
          </w:rPr>
          <w:t xml:space="preserve"> for example</w:t>
        </w:r>
      </w:ins>
    </w:p>
    <w:p w14:paraId="3E0E079A" w14:textId="32CF053E" w:rsidR="00AB2AEA" w:rsidRDefault="00AB2AEA" w:rsidP="00AB2AEA">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5" w:author="Brian Wortman" w:date="2014-02-15T11:14:00Z">
        <w:r>
          <w:rPr>
            <w:rFonts w:cs="Segoe Print"/>
          </w:rPr>
          <w:t xml:space="preserve">Here’s a description of an impl, from msft: </w:t>
        </w:r>
        <w:r>
          <w:rPr>
            <w:rFonts w:cs="Segoe Print"/>
          </w:rPr>
          <w:fldChar w:fldCharType="begin"/>
        </w:r>
        <w:r>
          <w:rPr>
            <w:rFonts w:cs="Segoe Print"/>
          </w:rPr>
          <w:instrText xml:space="preserve"> HYPERLINK "</w:instrText>
        </w:r>
        <w:r w:rsidRPr="00AB2AEA">
          <w:rPr>
            <w:rFonts w:cs="Segoe Print"/>
          </w:rPr>
          <w:instrText>http://blogs.msdn.com/b/webdev/archive/2013/03/08/using-namespaces-to-version-web-apis.aspx</w:instrText>
        </w:r>
        <w:r>
          <w:rPr>
            <w:rFonts w:cs="Segoe Print"/>
          </w:rPr>
          <w:instrText xml:space="preserve">" </w:instrText>
        </w:r>
        <w:r>
          <w:rPr>
            <w:rFonts w:cs="Segoe Print"/>
          </w:rPr>
          <w:fldChar w:fldCharType="separate"/>
        </w:r>
        <w:r w:rsidRPr="00A3593B">
          <w:rPr>
            <w:rStyle w:val="Hyperlink"/>
            <w:rFonts w:cs="Segoe Print"/>
          </w:rPr>
          <w:t>http://blogs.msdn.com/b/webdev/archive/2013/03/08/using-namespaces-to-version-web-apis.aspx</w:t>
        </w:r>
        <w:r>
          <w:rPr>
            <w:rFonts w:cs="Segoe Print"/>
          </w:rPr>
          <w:fldChar w:fldCharType="end"/>
        </w:r>
        <w:r>
          <w:rPr>
            <w:rFonts w:cs="Segoe Print"/>
          </w:rPr>
          <w:t xml:space="preserve"> </w:t>
        </w:r>
      </w:ins>
    </w:p>
    <w:p w14:paraId="17FC41F4" w14:textId="77777777" w:rsidR="00A550F5" w:rsidRPr="000F4FD8" w:rsidRDefault="00A550F5" w:rsidP="00A550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6" w:author="Brian Wortman" w:date="2014-02-15T11:31:00Z" w:name="move380227203"/>
      <w:moveFrom w:id="77" w:author="Brian Wortman" w:date="2014-02-15T11:31:00Z">
        <w:r w:rsidDel="00B9380C">
          <w:rPr>
            <w:rFonts w:cs="Segoe Print"/>
          </w:rPr>
          <w:t>L</w:t>
        </w:r>
        <w:r w:rsidR="004C08D4" w:rsidRPr="000F4FD8" w:rsidDel="00B9380C">
          <w:rPr>
            <w:rFonts w:cs="Segoe Print"/>
          </w:rPr>
          <w:t>egacy SOAP support</w:t>
        </w:r>
      </w:moveFrom>
    </w:p>
    <w:moveFromRangeEnd w:id="76"/>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8"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9"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F6D93F"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Error handling / logging</w:t>
      </w:r>
    </w:p>
    <w:p w14:paraId="61F92EA2" w14:textId="01B35C0A" w:rsidR="004C08D4"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ExceptionHandler</w:t>
      </w:r>
    </w:p>
    <w:p w14:paraId="6CE3FED0" w14:textId="42BDF742"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ExceptionLogger</w:t>
      </w:r>
    </w:p>
    <w:p w14:paraId="1091C1A1" w14:textId="1C8BA7F4" w:rsidR="00F53F9E" w:rsidRPr="00E52E53"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0" w:author="Brian Wortman" w:date="2014-02-15T11:12:00Z"/>
          <w:rFonts w:cs="Segoe Print"/>
        </w:rPr>
      </w:pPr>
      <w:r w:rsidRPr="000F4FD8">
        <w:t>Use an ITraceWriter</w:t>
      </w:r>
    </w:p>
    <w:p w14:paraId="1B961188" w14:textId="1E2EA4FE" w:rsidR="00AB2AEA" w:rsidRPr="00E52E53" w:rsidRDefault="00AB2A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Change w:id="81" w:author="Brian Wortman" w:date="2014-02-15T11:12:00Z">
          <w:pPr>
            <w:pStyle w:val="ListParagraph"/>
            <w:numPr>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hanging="360"/>
          </w:pPr>
        </w:pPrChange>
      </w:pPr>
      <w:ins w:id="82" w:author="Brian Wortman" w:date="2014-02-15T11:12:00Z">
        <w:r>
          <w:t xml:space="preserve">Can get some ideas from here: </w:t>
        </w:r>
        <w:r>
          <w:fldChar w:fldCharType="begin"/>
        </w:r>
        <w:r>
          <w:instrText xml:space="preserve"> HYPERLINK "</w:instrText>
        </w:r>
        <w:r w:rsidRPr="00AB2AEA">
          <w:instrText>http://aspnetwebstack.codeplex.com/wikipage?title=Global%20Error%20Handling&amp;referringTitle=Specs</w:instrText>
        </w:r>
        <w:r>
          <w:instrText xml:space="preserve">" </w:instrText>
        </w:r>
        <w:r>
          <w:fldChar w:fldCharType="separate"/>
        </w:r>
        <w:r w:rsidRPr="00A3593B">
          <w:rPr>
            <w:rStyle w:val="Hyperlink"/>
          </w:rPr>
          <w:t>http://aspnetwebstack.codeplex.com/wikipage?title=Global%20Error%20Handling&amp;referringTitle=Specs</w:t>
        </w:r>
        <w:r>
          <w:fldChar w:fldCharType="end"/>
        </w:r>
        <w:r>
          <w:t xml:space="preserve"> </w:t>
        </w:r>
      </w:ins>
    </w:p>
    <w:p w14:paraId="32CBDD5D" w14:textId="5B344D5A"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83" w:author="Brian Wortman" w:date="2014-02-15T11:18:00Z">
        <w:r w:rsidR="002210D2">
          <w:rPr>
            <w:rFonts w:cs="Segoe Print"/>
          </w:rPr>
          <w:t xml:space="preserve">. We use </w:t>
        </w:r>
        <w:r w:rsidR="002210D2" w:rsidRPr="002210D2">
          <w:rPr>
            <w:rFonts w:cs="Segoe Print"/>
          </w:rPr>
          <w:t>JsonMediaTypeFormatter</w:t>
        </w:r>
      </w:ins>
      <w:ins w:id="84"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85" w:author="Brian Wortman" w:date="2014-02-15T11:20:00Z">
        <w:r w:rsidR="002210D2">
          <w:rPr>
            <w:rFonts w:cs="Segoe Print"/>
          </w:rPr>
          <w:t xml:space="preserve">by replacing the IContentNegotiator </w:t>
        </w:r>
      </w:ins>
      <w:ins w:id="86" w:author="Brian Wortman" w:date="2014-02-15T11:19:00Z">
        <w:r w:rsidR="002210D2">
          <w:rPr>
            <w:rFonts w:cs="Segoe Print"/>
          </w:rPr>
          <w:t xml:space="preserve">(e.g., </w:t>
        </w:r>
      </w:ins>
      <w:ins w:id="87"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8"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9" w:author="Brian Wortman" w:date="2014-02-15T11:10:00Z"/>
          <w:rFonts w:cs="Segoe Print"/>
        </w:rPr>
      </w:pPr>
      <w:ins w:id="90"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91"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330948AB" w14:textId="77F45650" w:rsidR="7E986EE7" w:rsidRDefault="7E986EE7"/>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2210D2"/>
    <w:rsid w:val="002B0DC9"/>
    <w:rsid w:val="002D536A"/>
    <w:rsid w:val="002D7A93"/>
    <w:rsid w:val="00301475"/>
    <w:rsid w:val="00304A53"/>
    <w:rsid w:val="00333913"/>
    <w:rsid w:val="00341785"/>
    <w:rsid w:val="00414589"/>
    <w:rsid w:val="00416A15"/>
    <w:rsid w:val="00430B4F"/>
    <w:rsid w:val="004422C5"/>
    <w:rsid w:val="00493AD0"/>
    <w:rsid w:val="004C08D4"/>
    <w:rsid w:val="00507151"/>
    <w:rsid w:val="0059F7C2"/>
    <w:rsid w:val="005B1ADB"/>
    <w:rsid w:val="005B50A4"/>
    <w:rsid w:val="005C2CC7"/>
    <w:rsid w:val="00605BE2"/>
    <w:rsid w:val="00645ACC"/>
    <w:rsid w:val="006D3CDA"/>
    <w:rsid w:val="0070637E"/>
    <w:rsid w:val="00714014"/>
    <w:rsid w:val="007315CD"/>
    <w:rsid w:val="00746A07"/>
    <w:rsid w:val="00762E9B"/>
    <w:rsid w:val="007A63A1"/>
    <w:rsid w:val="007B0501"/>
    <w:rsid w:val="007E7DA5"/>
    <w:rsid w:val="00827576"/>
    <w:rsid w:val="008325BF"/>
    <w:rsid w:val="008418E3"/>
    <w:rsid w:val="00886DDF"/>
    <w:rsid w:val="008A137A"/>
    <w:rsid w:val="008C052A"/>
    <w:rsid w:val="008C74F1"/>
    <w:rsid w:val="008E4A53"/>
    <w:rsid w:val="00912BF2"/>
    <w:rsid w:val="00933A02"/>
    <w:rsid w:val="009463EB"/>
    <w:rsid w:val="00A12309"/>
    <w:rsid w:val="00A20F20"/>
    <w:rsid w:val="00A45147"/>
    <w:rsid w:val="00A550F5"/>
    <w:rsid w:val="00A72827"/>
    <w:rsid w:val="00AA4A4D"/>
    <w:rsid w:val="00AB2AEA"/>
    <w:rsid w:val="00B06076"/>
    <w:rsid w:val="00B33782"/>
    <w:rsid w:val="00B51E78"/>
    <w:rsid w:val="00B858CB"/>
    <w:rsid w:val="00B9380C"/>
    <w:rsid w:val="00B95315"/>
    <w:rsid w:val="00BC1170"/>
    <w:rsid w:val="00BE2396"/>
    <w:rsid w:val="00C0343C"/>
    <w:rsid w:val="00C73D04"/>
    <w:rsid w:val="00D47E5A"/>
    <w:rsid w:val="00D540BF"/>
    <w:rsid w:val="00D552C5"/>
    <w:rsid w:val="00D85D3B"/>
    <w:rsid w:val="00DA7CB1"/>
    <w:rsid w:val="00DB6653"/>
    <w:rsid w:val="00DE0278"/>
    <w:rsid w:val="00DF7B68"/>
    <w:rsid w:val="00E0397E"/>
    <w:rsid w:val="00E52E53"/>
    <w:rsid w:val="00E90695"/>
    <w:rsid w:val="00E998C0"/>
    <w:rsid w:val="00EA4062"/>
    <w:rsid w:val="00EC765B"/>
    <w:rsid w:val="00ED0E99"/>
    <w:rsid w:val="00ED3C25"/>
    <w:rsid w:val="00EE008C"/>
    <w:rsid w:val="00F12C80"/>
    <w:rsid w:val="00F53F9E"/>
    <w:rsid w:val="00F561C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16</Pages>
  <Words>4186</Words>
  <Characters>23863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309</cp:revision>
  <dcterms:created xsi:type="dcterms:W3CDTF">2014-02-01T19:47:00Z</dcterms:created>
  <dcterms:modified xsi:type="dcterms:W3CDTF">2014-05-03T00:15:00Z</dcterms:modified>
</cp:coreProperties>
</file>