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5.png" ContentType="image/jpeg"/>
  <Override PartName="/word/media/image22.png" ContentType="image/jpeg"/>
  <Override PartName="/word/media/image23.png" ContentType="image/jpeg"/>
  <Override PartName="/word/media/image9.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0" Type="http://schemas.openxmlformats.org/officeDocument/2006/relationships/officeDocument" Target="word/document.xml"/><Relationship Id="rId1" Type="http://schemas.openxmlformats.org/package/2006/relationships/metadata/core-properties" Target="docProps/core.xml"/><Relationship Id="rId2" Type="http://schemas.openxmlformats.org/officeDocument/2006/relationships/extended-properties" Target="docProps/app.xml"/></Relationships>
</file>

<file path=word/document.xml><?xml version="1.0" encoding="utf-8"?>
<w:document xmlns:w="http://schemas.openxmlformats.org/wordprocessingml/2006/main" xmlns:w14="http://schemas.microsoft.com/office/word/2010/wordml" xmlns:mc="http://schemas.openxmlformats.org/markup-compatibility/2006" mc:Ignorable="w14">
  <w:body>
    <w:p w14:paraId="1E37E78E"/>
    <w:p w14:paraId="36F5D964">
      <w:pPr>
        <w:keepNext w:val="1"/>
        <w:keepLines w:val="1"/>
        <w:spacing w:before="100" w:beforeAutospacing="1" w:after="100" w:afterAutospacing="1"/>
        <w:outlineLvl w:val="0"/>
        <w:rPr>
          <w:kern w:val="44"/>
          <w:sz w:val="44"/>
          <w:szCs w:val="44"/>
        </w:rPr>
      </w:pPr>
      <w:r>
        <w:rPr>
          <w:rFonts w:hint="eastAsia"/>
          <w:b w:val="1"/>
          <w:sz w:val="44"/>
        </w:rPr>
        <w:t>艺术培训机构全流程教务管理平台的设计与实现</w:t>
      </w:r>
    </w:p>
    <w:p w14:paraId="2FC9795A">
      <w:pPr>
        <w:pStyle w:val="Heading1"/>
        <w:keepNext w:val="1"/>
        <w:keepLines w:val="1"/>
        <w:spacing w:before="100" w:beforeAutospacing="1" w:after="100" w:afterAutospacing="1"/>
        <w:outlineLvl w:val="1"/>
        <w:rPr>
          <w:sz w:val="32"/>
          <w:szCs w:val="32"/>
        </w:rPr>
      </w:pPr>
      <w:r>
        <w:rPr>
          <w:rFonts w:hint="eastAsia"/>
          <w:b w:val="1"/>
          <w:sz w:val="32"/>
        </w:rPr>
        <w:t>摘 要</w:t>
      </w:r>
    </w:p>
    <w:p w14:paraId="0864AE70">
      <w:r>
        <w:rPr>
          <w:rFonts w:hint="eastAsia"/>
        </w:rPr>
        <w:t>随着艺术培训行业的快速发展，培训机构普遍面临课程类型多、上课频次高、教师排班复杂、学员请假调课频繁、课时扣减与教师薪资依赖人工核算等管理难题。传统的 Excel 或纸质登记方式数据分散、统计滞后，容易出现课时误扣、排课冲突与薪资核算错误，制约机构规模化运营。</w:t>
      </w:r>
    </w:p>
    <w:p w14:paraId="056CB90D">
      <w:r>
        <w:rPr>
          <w:rFonts w:hint="eastAsia"/>
        </w:rPr>
        <w:t>针对上述问题，本文设计并实现了面向艺术、兴趣类培训机构的全流程教务管理平台。系统采用前后端分离的 B/S 架构，管理后台基于 Vue 3 与 Element Plus 构建，移动端基于 uni-app 跨平台框架实现，后端采用 Spring Boot 3.2.5 与 MyBatis-Plus 3.5.7 提供统一业务接口，数据存储于 MySQL 8.0。系统覆盖招生报名、课程班级管理、智能排课与调课、课堂考勤、课时自动扣减、收费退费、教师薪资自动核算与运营数据统计的完整业务闭环，支持学员家长、授课教师、教务管理员、财务管理员与超级管理员五类角色协同工作。系统实现了基于多因子评分的学员流失预警模型，并以版本化迁移、加密备份、发布门禁与业务可观测性等手段保障系统的可靠性与安全性。</w:t>
      </w:r>
    </w:p>
    <w:p w14:paraId="469386ED">
      <w:r>
        <w:rPr>
          <w:rFonts w:hint="eastAsia"/>
        </w:rPr>
        <w:t>系统采用 JUnit 5、Mockito 与 Vitest 建立分层测试体系，后端 464 个单元测试、管理端 118 个与移动端 6 个测试全部通过，并经浏览器验收确认主要业务流程可用。测试结果表明系统功能完备、并发控制可靠、权限隔离正确，能够满足艺术培训机构数字化教务管理需求。</w:t>
      </w:r>
    </w:p>
    <w:p w14:paraId="32F6B88F">
      <w:r>
        <w:rPr>
          <w:rFonts w:hint="eastAsia"/>
          <w:b w:val="1"/>
        </w:rPr>
        <w:t>关键词</w:t>
      </w:r>
      <w:r>
        <w:rPr>
          <w:rFonts w:hint="eastAsia"/>
        </w:rPr>
        <w:t>：教务管理；智能排课；课时管控；薪资核算；流失预警</w:t>
      </w:r>
    </w:p>
    <w:p w14:paraId="42FF1033">
      <w:pPr>
        <w:pStyle w:val="Heading1"/>
        <w:keepNext w:val="1"/>
        <w:keepLines w:val="1"/>
        <w:spacing w:before="100" w:beforeAutospacing="1" w:after="100" w:afterAutospacing="1"/>
        <w:outlineLvl w:val="1"/>
        <w:rPr>
          <w:sz w:val="32"/>
          <w:szCs w:val="32"/>
        </w:rPr>
      </w:pPr>
      <w:r>
        <w:rPr>
          <w:b w:val="1"/>
          <w:sz w:val="32"/>
        </w:rPr>
        <w:t>ABSTRACT</w:t>
      </w:r>
    </w:p>
    <w:p w14:paraId="5693AB6F">
      <w:r>
        <w:t>With the rapid development of the art training industry, training institutions generally face management difficulties such as numerous course types, high class frequency, complex teacher scheduling, frequent leave and class-adjustment requests from students, as well as manual accounting of lesson deduction and teacher salaries. Traditional Excel or paper-based registration leads to scattered data, delayed statistics, and is prone to errors in lesson deduction, scheduling conflicts and salary calculation, which restricts the scaled operation of institutions.</w:t>
      </w:r>
    </w:p>
    <w:p w14:paraId="511197E5">
      <w:r>
        <w:t>To address these problems, this paper designs and implements a full-process educational administration management platform for art training institutions. The system adopts a front-end and back-end separated B/S architecture. The management console is built with Vue 3 and Element Plus, the mobile terminal is implemented with the uni-app cross-platform framework, and the back end uses Spring Boot 3.2.5 and MyBatis-Plus 3.5.7 to provide unified business APIs, with data stored in MySQL 8.0. The system covers a complete business closed loop including enrollment and payment, course and class management, intelligent scheduling and adjustment, class attendance, automatic lesson deduction, charges and refunds, automatic teacher salary accounting, and operational statistics, supporting collaboration among five roles: parents, teachers, educational administrators, financial administrators and super administrators. A multi-factor student churn warning model is implemented, and the reliability and security of the system are guaranteed by versioned database migration, encrypted backup, release gates and business observability.</w:t>
      </w:r>
    </w:p>
    <w:p w14:paraId="5DD602FC">
      <w:r>
        <w:t>A layered testing system is established with JUnit 5, Mockito and Vitest. All 464 back-end unit tests, 118 admin-web tests and 6 mobile tests pass, and browser acceptance confirms that the main business processes are usable. Test results show that the system is functionally complete, reliable in concurrency control and correct in permission isolation, and can satisfy the digital educational administration needs of art training institutions.</w:t>
      </w:r>
    </w:p>
    <w:p w14:paraId="48D8418B">
      <w:r>
        <w:rPr>
          <w:b w:val="1"/>
        </w:rPr>
        <w:t>Keywords</w:t>
      </w:r>
      <w:r>
        <w:t>: Educational Administration; Intelligent Scheduling; Lesson Management; Salary Accounting; Churn Warning</w:t>
      </w:r>
    </w:p>
    <w:p w14:paraId="3D7A7894">
      <w:pPr>
        <w:pStyle w:val="Heading1"/>
        <w:keepNext w:val="1"/>
        <w:keepLines w:val="1"/>
        <w:spacing w:before="100" w:beforeAutospacing="1" w:after="100" w:afterAutospacing="1"/>
        <w:outlineLvl w:val="0"/>
        <w:rPr>
          <w:kern w:val="44"/>
          <w:sz w:val="44"/>
          <w:szCs w:val="44"/>
        </w:rPr>
      </w:pPr>
      <w:r>
        <w:rPr>
          <w:rFonts w:hint="eastAsia"/>
          <w:b w:val="1"/>
          <w:sz w:val="44"/>
        </w:rPr>
        <w:t>1 相关技术介绍及选型</w:t>
      </w:r>
    </w:p>
    <w:p w14:paraId="01EB7B2D">
      <w:pPr>
        <w:pStyle w:val="Heading3"/>
        <w:keepNext w:val="1"/>
        <w:keepLines w:val="1"/>
        <w:spacing w:before="100" w:beforeAutospacing="1" w:after="100" w:afterAutospacing="1"/>
        <w:outlineLvl w:val="1"/>
        <w:rPr>
          <w:sz w:val="32"/>
          <w:szCs w:val="32"/>
        </w:rPr>
      </w:pPr>
      <w:r>
        <w:rPr>
          <w:rFonts w:hint="eastAsia"/>
          <w:b w:val="1"/>
          <w:sz w:val="32"/>
        </w:rPr>
        <w:t>1.1 相关技术介绍</w:t>
      </w:r>
    </w:p>
    <w:p w14:paraId="4A8F78BD">
      <w:pPr>
        <w:pStyle w:val="Heading4"/>
        <w:keepNext w:val="1"/>
        <w:keepLines w:val="1"/>
        <w:spacing w:before="100" w:beforeAutospacing="1" w:after="100" w:afterAutospacing="1"/>
        <w:outlineLvl w:val="2"/>
        <w:rPr>
          <w:sz w:val="32"/>
          <w:szCs w:val="32"/>
        </w:rPr>
      </w:pPr>
      <w:r>
        <w:rPr>
          <w:rFonts w:hint="eastAsia"/>
          <w:b w:val="1"/>
          <w:sz w:val="32"/>
        </w:rPr>
        <w:t>1.1.1 前端框架 Vue 3 与 Element Plus</w:t>
      </w:r>
    </w:p>
    <w:p w14:paraId="769DC680">
      <w:r>
        <w:rPr>
          <w:rFonts w:hint="eastAsia"/>
        </w:rPr>
        <w:t>Vue 3 是当前主流的渐进式前端框架，采用组合式 API（Composition API）与响应式数据模型，配合 Vite 开发服务器可实现模块热更新与快速构建。Element Plus 是基于 Vue 3 的桌面端组件库，提供表格、表单、弹窗、分页、日期选择等企业级组件，能够有效支撑教务、财务等管理场景下复杂表格与表单的快速开发。本系统管理后台采用 Vue 3 + Element Plus + Pinia 状态管理 + TypeScript 的组合，其中 Pinia 负责登录态、角色权限等全局状态的管理，TypeScript 为复杂数据模型提供静态类型保障。</w:t>
      </w:r>
    </w:p>
    <w:p w14:paraId="4A23F7BE">
      <w:pPr>
        <w:pStyle w:val="Heading4"/>
        <w:keepNext w:val="1"/>
        <w:keepLines w:val="1"/>
        <w:spacing w:before="100" w:beforeAutospacing="1" w:after="100" w:afterAutospacing="1"/>
        <w:outlineLvl w:val="2"/>
        <w:rPr>
          <w:sz w:val="32"/>
          <w:szCs w:val="32"/>
        </w:rPr>
      </w:pPr>
      <w:r>
        <w:rPr>
          <w:rFonts w:hint="eastAsia"/>
          <w:b w:val="1"/>
          <w:sz w:val="32"/>
        </w:rPr>
        <w:t>1.1.2 跨平台框架 uni-app</w:t>
      </w:r>
    </w:p>
    <w:p w14:paraId="1DC9EB45">
      <w:r>
        <w:rPr>
          <w:rFonts w:hint="eastAsia"/>
        </w:rPr>
        <w:t>uni-app 是一套使用 Vue 语法开发跨平台应用的框架，一套代码可编译运行到 H5、微信小程序与 Android/iOS App 等多个平台。对于家长端与教师端这类以移动端高频轻量操作为主的场景，uni-app 能够显著降低多端重复开发成本，本次交付以 H5 形态运行验证。本系统移动端基于 uni-app 与 uView Plus 组件库实现家长端与教师端页面，业务规则统一由后端接口提供，保证各端数据一致。</w:t>
      </w:r>
    </w:p>
    <w:p w14:paraId="195D8182">
      <w:pPr>
        <w:pStyle w:val="Heading4"/>
        <w:keepNext w:val="1"/>
        <w:keepLines w:val="1"/>
        <w:spacing w:before="100" w:beforeAutospacing="1" w:after="100" w:afterAutospacing="1"/>
        <w:outlineLvl w:val="2"/>
        <w:rPr>
          <w:sz w:val="32"/>
          <w:szCs w:val="32"/>
        </w:rPr>
      </w:pPr>
      <w:r>
        <w:rPr>
          <w:rFonts w:hint="eastAsia"/>
          <w:b w:val="1"/>
          <w:sz w:val="32"/>
        </w:rPr>
        <w:t>1.1.3 后端框架 Spring Boot 与 MyBatis-Plus</w:t>
      </w:r>
    </w:p>
    <w:p w14:paraId="2C836E7F">
      <w:r>
        <w:rPr>
          <w:rFonts w:hint="eastAsia"/>
        </w:rPr>
        <w:t>Spring Boot 是当前主流的 Java 后端快速开发框架，遵循"约定优于配置"理念，通过自动装配与起步依赖大幅简化项目搭建。Spring Boot 3.2.5 基于 JDK 17，内置嵌入式 Web 容器，支持构建可独立运行的 JAR 包。MyBatis-Plus 是 MyBatis 的增强工具，在保留 MyBatis 灵活 SQL 能力的同时，提供通用 CRUD、逻辑删除、乐观锁、分页插件等开箱即用的能力，可有效减少业务层样板代码。本系统利用 MyBatis-Plus 的逻辑删除与乐观锁机制支撑课时账户、退费审核等关键数据的并发安全。</w:t>
      </w:r>
    </w:p>
    <w:p w14:paraId="0012EE44">
      <w:pPr>
        <w:pStyle w:val="Heading4"/>
        <w:keepNext w:val="1"/>
        <w:keepLines w:val="1"/>
        <w:spacing w:before="100" w:beforeAutospacing="1" w:after="100" w:afterAutospacing="1"/>
        <w:outlineLvl w:val="2"/>
        <w:rPr>
          <w:sz w:val="32"/>
          <w:szCs w:val="32"/>
        </w:rPr>
      </w:pPr>
      <w:r>
        <w:rPr>
          <w:rFonts w:hint="eastAsia"/>
          <w:b w:val="1"/>
          <w:sz w:val="32"/>
        </w:rPr>
        <w:t>1.1.4 数据库 MySQL</w:t>
      </w:r>
    </w:p>
    <w:p w14:paraId="021D81BB">
      <w:r>
        <w:rPr>
          <w:rFonts w:hint="eastAsia"/>
        </w:rPr>
        <w:t>MySQL 是应用广泛的开源关系型数据库，支持 InnoDB 事务引擎与行级锁，具备良好的事务一致性与并发控制能力。本系统采用 MySQL 8.0 存储业务数据，共设计 37 张表覆盖用户权限、学员课程、排课调课、考勤学情、课时流水、财务薪资、考级通知与运营管理八大业务域。数据库结构变更通过 Flyway 版本化迁移管理，保证多环境数据库状态的一致性。</w:t>
      </w:r>
    </w:p>
    <w:p w14:paraId="222F329A">
      <w:pPr>
        <w:pStyle w:val="Heading4"/>
        <w:keepNext w:val="1"/>
        <w:keepLines w:val="1"/>
        <w:spacing w:before="100" w:beforeAutospacing="1" w:after="100" w:afterAutospacing="1"/>
        <w:outlineLvl w:val="2"/>
        <w:rPr>
          <w:sz w:val="32"/>
          <w:szCs w:val="32"/>
        </w:rPr>
      </w:pPr>
      <w:r>
        <w:rPr>
          <w:rFonts w:hint="eastAsia"/>
          <w:b w:val="1"/>
          <w:sz w:val="32"/>
        </w:rPr>
        <w:t>1.1.5 认证与安全技术 JWT</w:t>
      </w:r>
    </w:p>
    <w:p w14:paraId="15CE9682">
      <w:r>
        <w:rPr>
          <w:rFonts w:hint="eastAsia"/>
        </w:rPr>
        <w:t>JWT（JSON Web Token）是一种无状态的身份认证方案，服务端在登录成功后签发包含用户标识与角色信息的签名令牌，客户端在后续请求中携带该令牌，服务端验签后即可确认身份。相比传统 Session 方案，JWT 天然适合前后端分离架构与移动端场景。本系统使用 HMAC-SHA256 算法对 JWT 进行签名，通过自定义拦截器统一完成令牌校验与基于角色的接口鉴权。</w:t>
      </w:r>
    </w:p>
    <w:p w14:paraId="5583F8C9">
      <w:pPr>
        <w:pStyle w:val="Heading4"/>
        <w:keepNext w:val="1"/>
        <w:keepLines w:val="1"/>
        <w:spacing w:before="100" w:beforeAutospacing="1" w:after="100" w:afterAutospacing="1"/>
        <w:outlineLvl w:val="2"/>
        <w:rPr>
          <w:sz w:val="32"/>
          <w:szCs w:val="32"/>
        </w:rPr>
      </w:pPr>
      <w:r>
        <w:rPr>
          <w:rFonts w:hint="eastAsia"/>
          <w:b w:val="1"/>
          <w:sz w:val="32"/>
        </w:rPr>
        <w:t>1.1.6 数据可视化与报表技术 ECharts、Apache POI</w:t>
      </w:r>
    </w:p>
    <w:p w14:paraId="5182EBD2">
      <w:r>
        <w:rPr>
          <w:rFonts w:hint="eastAsia"/>
        </w:rPr>
        <w:t>ECharts 是基于 JavaScript 的开源可视化图表库，提供折线图、柱状图、饼图等丰富图表类型。本系统使用 ECharts 在运营数据看板中呈现月度课时趋势、营收趋势与到课率趋势等统计图表。Apache POI 是 Java 处理 Office 文档的开源类库，本系统基于其 SXSSF 组件实现收费台账、课时消耗、薪资结算等报表的 Excel 导出。</w:t>
      </w:r>
    </w:p>
    <w:p w14:paraId="61B11364">
      <w:pPr>
        <w:pStyle w:val="Heading3"/>
        <w:keepNext w:val="1"/>
        <w:keepLines w:val="1"/>
        <w:spacing w:before="100" w:beforeAutospacing="1" w:after="100" w:afterAutospacing="1"/>
        <w:outlineLvl w:val="1"/>
        <w:rPr>
          <w:sz w:val="32"/>
          <w:szCs w:val="32"/>
        </w:rPr>
      </w:pPr>
      <w:r>
        <w:rPr>
          <w:rFonts w:hint="eastAsia"/>
          <w:b w:val="1"/>
          <w:sz w:val="32"/>
        </w:rPr>
        <w:t>1.2 技术选型</w:t>
      </w:r>
    </w:p>
    <w:p w14:paraId="0ACA7FC8">
      <w:r>
        <w:rPr>
          <w:rFonts w:hint="eastAsia"/>
        </w:rPr>
        <w:t>本系统在技术选型时主要遵循以下原则：技术成熟稳定、社区支持广泛、前后端职责清晰、开发效率与运行性能兼顾。具体选型如下。</w:t>
      </w:r>
    </w:p>
    <w:p w14:paraId="06BFD483">
      <w:pPr>
        <w:keepNext w:val="1"/>
        <w:keepLines w:val="1"/>
        <w:spacing w:before="100" w:beforeAutospacing="1" w:after="100" w:afterAutospacing="1"/>
        <w:outlineLvl w:val="2"/>
        <w:rPr>
          <w:sz w:val="32"/>
          <w:szCs w:val="32"/>
        </w:rPr>
      </w:pPr>
      <w:r>
        <w:rPr>
          <w:rFonts w:hint="eastAsia"/>
          <w:b w:val="1"/>
          <w:sz w:val="32"/>
        </w:rPr>
        <w:t>（1）前端：Vue 3 + Element Plus（管理后台）与 uni-app（移动端）</w:t>
      </w:r>
    </w:p>
    <w:p w14:paraId="479448D5">
      <w:r>
        <w:rPr>
          <w:rFonts w:hint="eastAsia"/>
        </w:rPr>
        <w:t>选择 Vue 3 作为管理后台基础框架，主要基于以下考虑：其一，Vue 3 的组合式 API 相比选项式 API 更适合复杂业务逻辑的组织与复用，配合 TypeScript 可显著提升可维护性；其二，Element Plus 组件库与后台管理系统常见的中后台交互模式高度契合，可快速搭建课程管理、排课、财务等数据密集型页面；其三，Vue 3 与 Vite 构建工具的搭配能提供流畅的开发体验。</w:t>
      </w:r>
    </w:p>
    <w:p w14:paraId="5D65695B">
      <w:r>
        <w:rPr>
          <w:rFonts w:hint="eastAsia"/>
        </w:rPr>
        <w:t>移动端选择 uni-app，主要基于以下考虑：首先，家长与教师的使用场景以移动端高频轻量操作为主，uni-app 支持一套代码多端发布（H5/微信小程序/App），覆盖成本低，本次交付以 H5 形态发布；其次，uni-app 使用 Vue 语法，与团队的技术栈保持一致，降低学习与维护成本；最后，家长端与教师端通过统一的后端接口与 Web 管理后台交互，避免业务规则在两端重复实现。</w:t>
      </w:r>
    </w:p>
    <w:p w14:paraId="30314B1B">
      <w:pPr>
        <w:keepNext w:val="1"/>
        <w:keepLines w:val="1"/>
        <w:spacing w:before="100" w:beforeAutospacing="1" w:after="100" w:afterAutospacing="1"/>
        <w:outlineLvl w:val="2"/>
        <w:rPr>
          <w:sz w:val="32"/>
          <w:szCs w:val="32"/>
        </w:rPr>
      </w:pPr>
      <w:r>
        <w:rPr>
          <w:rFonts w:hint="eastAsia"/>
          <w:b w:val="1"/>
          <w:sz w:val="32"/>
        </w:rPr>
        <w:t>（2）后端：Spring Boot + MyBatis-Plus</w:t>
      </w:r>
    </w:p>
    <w:p w14:paraId="20115EC5">
      <w:r>
        <w:rPr>
          <w:rFonts w:hint="eastAsia"/>
        </w:rPr>
        <w:t>选择 Spring Boot 作为后端开发框架，主要基于以下考虑：首先，Spring Boot"约定优于配置"的开发模式能大幅减少配置样板代码，通过起步依赖与自动装配快速完成工程搭建；其次，Spring Boot 3.x 基于 JDK 17，生态成熟，提供定时任务、事件机制、Actuator 健康检查与指标暴露等能力，为业务调度、发布探针与可观测性建设提供支持；最后，其内置 Web 容器使系统可以构建为独立运行的 JAR 包，便于容器化部署。</w:t>
      </w:r>
    </w:p>
    <w:p w14:paraId="656D1ADB">
      <w:r>
        <w:rPr>
          <w:rFonts w:hint="eastAsia"/>
        </w:rPr>
        <w:t>在持久层框架方面，选择 MyBatis-Plus 作为 ORM 框架，主要基于以下考虑：MyBatis-Plus 在保留手写 SQL 灵活性的同时，提供通用 CRUD、逻辑删除、乐观锁、分页插件等能力，能够显著减少数据访问层样板代码；其乐观锁机制为本系统课时扣减、薪资结算等"读-改-写"型并发操作提供了统一的并发控制手段。</w:t>
      </w:r>
    </w:p>
    <w:p w14:paraId="678263D3">
      <w:pPr>
        <w:keepNext w:val="1"/>
        <w:keepLines w:val="1"/>
        <w:spacing w:before="100" w:beforeAutospacing="1" w:after="100" w:afterAutospacing="1"/>
        <w:outlineLvl w:val="2"/>
        <w:rPr>
          <w:sz w:val="32"/>
          <w:szCs w:val="32"/>
        </w:rPr>
      </w:pPr>
      <w:r>
        <w:rPr>
          <w:rFonts w:hint="eastAsia"/>
          <w:b w:val="1"/>
          <w:sz w:val="32"/>
        </w:rPr>
        <w:t>（3）数据库：MySQL 8.0</w:t>
      </w:r>
    </w:p>
    <w:p w14:paraId="45CB501D">
      <w:r>
        <w:rPr>
          <w:rFonts w:hint="eastAsia"/>
        </w:rPr>
        <w:t>选择 MySQL 作为数据库管理系统，主要基于以下考虑：首先，MySQL 作为开源数据库无需许可费用，成本可控；其次，MySQL 在 Web 应用中生态成熟，InnoDB 引擎的事务与行级锁能力满足教务业务对数据一致性的要求；最后，本系统单机部署的规模下，MySQL 的性能与运维复杂度均处于合适区间，配合 Flyway 可实现对 37 张表结构的版本化管理。</w:t>
      </w:r>
    </w:p>
    <w:p w14:paraId="3702DC11">
      <w:pPr>
        <w:keepNext w:val="1"/>
        <w:keepLines w:val="1"/>
        <w:spacing w:before="100" w:beforeAutospacing="1" w:after="100" w:afterAutospacing="1"/>
        <w:outlineLvl w:val="2"/>
        <w:rPr>
          <w:sz w:val="32"/>
          <w:szCs w:val="32"/>
        </w:rPr>
      </w:pPr>
      <w:r>
        <w:rPr>
          <w:rFonts w:hint="eastAsia"/>
          <w:b w:val="1"/>
          <w:sz w:val="32"/>
        </w:rPr>
        <w:t>（4）辅助技术</w:t>
      </w:r>
    </w:p>
    <w:p w14:paraId="02E6402C">
      <w:r>
        <w:rPr>
          <w:rFonts w:hint="eastAsia"/>
        </w:rPr>
        <w:t>除上述核心技术外，本系统还使用了以下辅助技术：</w:t>
      </w:r>
    </w:p>
    <w:p w14:paraId="76D72EEE">
      <w:r>
        <w:rPr>
          <w:rFonts w:hint="eastAsia"/>
        </w:rPr>
        <w:t>① 认证与鉴权：JWT（HMAC-SHA256 无状态签名）配合自定义 Spring 拦截器实现登录态校验与基于 @RequireRole 注解的角色级接口鉴权，支持五类角色的权限隔离与越权访问拦截；</w:t>
      </w:r>
    </w:p>
    <w:p w14:paraId="6E26D2FC">
      <w:r>
        <w:rPr>
          <w:rFonts w:hint="eastAsia"/>
        </w:rPr>
        <w:t>② 状态管理：管理后台使用 Pinia 管理登录用户信息、角色码与权限集，页面依据角色动态渲染可操作入口，实现前后端双重的权限控制；</w:t>
      </w:r>
    </w:p>
    <w:p w14:paraId="6E6C0E82">
      <w:r>
        <w:rPr>
          <w:rFonts w:hint="eastAsia"/>
        </w:rPr>
        <w:t>③ 数据库迁移：使用 Flyway 对数据库结构变更进行版本化管理，生产环境启动时自动执行迁移脚本，保证开发、测试与生产环境的数据库结构一致；</w:t>
      </w:r>
    </w:p>
    <w:p w14:paraId="0401DB0B">
      <w:r>
        <w:rPr>
          <w:rFonts w:hint="eastAsia"/>
        </w:rPr>
        <w:t>④ 可视化与导出：使用 ECharts 呈现运营统计图表，使用 Apache POI（SXSSF）实现收费台账、课时消耗、薪资结算与流失预警名单的 Excel 报表导出；</w:t>
      </w:r>
    </w:p>
    <w:p w14:paraId="0A308D36">
      <w:r>
        <w:rPr>
          <w:rFonts w:hint="eastAsia"/>
        </w:rPr>
        <w:t>⑤ 开发与构建工具：后端使用 Maven 3.9 管理依赖与构建，管理后台使用 Vite 5 与 npm 完成开发与构建，移动端使用 uni-app CLI 构建 H5 产物；</w:t>
      </w:r>
    </w:p>
    <w:p w14:paraId="4D6C20BB">
      <w:r>
        <w:rPr>
          <w:rFonts w:hint="eastAsia"/>
        </w:rPr>
        <w:t>⑥ 测试工具：后端使用 JUnit 5 与 Mockito 建立单元测试体系，管理后台使用 Vitest 与 Vue Test Utils 建立组件测试体系，移动端使用 Vitest 对报名决策等核心逻辑进行测试。</w:t>
      </w:r>
    </w:p>
    <w:p w14:paraId="6F573CCB"/>
    <w:p w14:paraId="10D8CECC">
      <w:r>
        <w:br w:type="page"/>
      </w:r>
    </w:p>
    <w:p w14:paraId="7F59555E">
      <w:pPr>
        <w:keepNext w:val="1"/>
        <w:keepLines w:val="1"/>
        <w:spacing w:before="100" w:beforeAutospacing="1" w:after="100" w:afterAutospacing="1"/>
        <w:outlineLvl w:val="0"/>
        <w:rPr>
          <w:kern w:val="44"/>
          <w:sz w:val="44"/>
          <w:szCs w:val="44"/>
        </w:rPr>
      </w:pPr>
      <w:r>
        <w:rPr>
          <w:rFonts w:hint="eastAsia"/>
          <w:b w:val="1"/>
          <w:sz w:val="44"/>
        </w:rPr>
        <w:t>2 系统设计</w:t>
      </w:r>
    </w:p>
    <w:p w14:paraId="30F461E9">
      <w:pPr>
        <w:pStyle w:val="Heading1"/>
        <w:keepNext w:val="1"/>
        <w:keepLines w:val="1"/>
        <w:spacing w:before="100" w:beforeAutospacing="1" w:after="100" w:afterAutospacing="1"/>
        <w:outlineLvl w:val="1"/>
        <w:rPr>
          <w:sz w:val="32"/>
          <w:szCs w:val="32"/>
        </w:rPr>
      </w:pPr>
      <w:r>
        <w:rPr>
          <w:rFonts w:hint="eastAsia"/>
          <w:b w:val="1"/>
          <w:sz w:val="32"/>
        </w:rPr>
        <w:t>2.1 系统总体设计</w:t>
      </w:r>
    </w:p>
    <w:p w14:paraId="4DA2D500">
      <w:r>
        <w:rPr>
          <w:rFonts w:hint="eastAsia"/>
        </w:rPr>
        <w:t>本系统采用前后端分离的 B/S 架构。前端划分为管理后台与移动端两个工程：管理后台面向教务管理员、财务管理员与超级管理员，承载复杂表格、表单与统计图表等重交互场景；移动端面向学员家长与授课教师，承载课表查看、报名缴费、考勤打卡、学情记录等高频轻量场景。后端采用 Spring Boot 提供统一的 RESTful 业务接口，两类前端共用同一套接口与业务规则，避免规则重复实现与数据不一致。</w:t>
      </w:r>
    </w:p>
    <w:p w14:paraId="47BCF3FF">
      <w:r>
        <w:rPr>
          <w:rFonts w:hint="eastAsia"/>
        </w:rPr>
        <w:t>系统后端划分为 16 个功能模块：用户权限（user、auth）、学员课程（student、course、enrollment）、排课调课（schedule）、考勤学情（attendance、learning）、财务薪资（finance、salary）、考级通知（exam、notice、notification）、运营统计（statistics、risk）与文件服务（file），其中用户角色、权限与菜单等实体归属于用户模块统一管理。系统面向五类角色提供服务：学员家长（报名缴费、课表学情、课时查询、消息接收）、授课教师（授课课表、课堂考勤、作业点评、课时统计）、教务管理员（课程班级、排课调课、报名审核、考级管理）、财务管理员（收费退费、课时账户、薪资结算、营收统计）与超级管理员（用户权限、机构配置、公告管理、全局看板）。</w:t>
      </w:r>
    </w:p>
    <w:p w14:paraId="494760C7">
      <w:r>
        <w:rPr>
          <w:rFonts w:hint="eastAsia"/>
        </w:rPr>
        <w:t>系统总体架构如图 2.1 所示。</w:t>
      </w:r>
    </w:p>
    <w:p w14:paraId="1049E1DC">
      <w:pPr>
        <w:jc w:val="center"/>
      </w:pPr>
      <w:r>
        <w:rPr>
          <w:rFonts w:hint="eastAsia"/>
          <w:b w:val="1"/>
        </w:rPr>
        <w:t>图 2.1 系统总体架构图</w:t>
      </w:r>
    </w:p>
    <w:p w14:paraId="19021910">
      <w:pPr>
        <w:pStyle w:val="Heading3"/>
        <w:keepNext w:val="1"/>
        <w:keepLines w:val="1"/>
        <w:spacing w:before="100" w:beforeAutospacing="1" w:after="100" w:afterAutospacing="1"/>
        <w:outlineLvl w:val="1"/>
        <w:rPr>
          <w:sz w:val="32"/>
          <w:szCs w:val="32"/>
        </w:rPr>
      </w:pPr>
      <w:r>
        <w:rPr>
          <w:rFonts w:hint="eastAsia"/>
          <w:b w:val="1"/>
          <w:sz w:val="32"/>
        </w:rPr>
        <w:t>2.2 系统功能结构设计</w:t>
      </w:r>
    </w:p>
    <w:p w14:paraId="4E5AA71F">
      <w:r>
        <w:rPr>
          <w:rFonts w:hint="eastAsia"/>
        </w:rPr>
        <w:t>本系统的主要功能按角色划分如表 2.1 所示。</w:t>
      </w:r>
    </w:p>
    <w:p w14:paraId="1526A4F6">
      <w:pPr>
        <w:jc w:val="center"/>
      </w:pPr>
      <w:r>
        <w:rPr>
          <w:rFonts w:hint="eastAsia"/>
          <w:b w:val="1"/>
        </w:rPr>
        <w:t>表 2.1 系统功能结构表</w:t>
      </w:r>
    </w:p>
    <w:tbl>
      <w:tblPr>
        <w:tblW w:w="0" w:type="auto"/>
        <w:tblBorders>
          <w:top w:val="single" w:sz="8"/>
          <w:left w:val="single" w:sz="8"/>
          <w:bottom w:val="single" w:sz="8"/>
          <w:right w:val="single" w:sz="8"/>
        </w:tblBorders>
        <w:tblLayout w:type="autofit"/>
        <w:tblCellMar>
          <w:top w:w="15" w:type="dxa"/>
          <w:left w:w="15" w:type="dxa"/>
          <w:bottom w:w="15" w:type="dxa"/>
          <w:right w:w="15" w:type="dxa"/>
        </w:tblCellMar>
      </w:tblPr>
      <w:tblGrid>
        <w:gridCol w:w="2768"/>
        <w:gridCol w:w="2768"/>
        <w:gridCol w:w="2768"/>
      </w:tblGrid>
      <w:tr>
        <w:trPr/>
        <w:tc>
          <w:tcPr>
            <w:tcW w:w="2768" w:type="dxa"/>
          </w:tcPr>
          <w:p w14:paraId="6E06F630">
            <w:r>
              <w:rPr>
                <w:rFonts w:hint="eastAsia"/>
                <w:b w:val="1"/>
              </w:rPr>
              <w:t>角色</w:t>
            </w:r>
          </w:p>
        </w:tc>
        <w:tc>
          <w:tcPr>
            <w:tcW w:w="2768" w:type="dxa"/>
          </w:tcPr>
          <w:p w14:paraId="23D7514B">
            <w:r>
              <w:rPr>
                <w:rFonts w:hint="eastAsia"/>
                <w:b w:val="1"/>
              </w:rPr>
              <w:t>功能模块</w:t>
            </w:r>
          </w:p>
        </w:tc>
        <w:tc>
          <w:tcPr>
            <w:tcW w:w="2768" w:type="dxa"/>
          </w:tcPr>
          <w:p w14:paraId="174F31FC">
            <w:r>
              <w:rPr>
                <w:rFonts w:hint="eastAsia"/>
                <w:b w:val="1"/>
              </w:rPr>
              <w:t>核心功能点</w:t>
            </w:r>
          </w:p>
        </w:tc>
      </w:tr>
      <w:tr>
        <w:trPr/>
        <w:tc>
          <w:tcPr>
            <w:tcW w:w="2768" w:type="dxa"/>
          </w:tcPr>
          <w:p w14:paraId="4AF4D052">
            <w:r>
              <w:rPr>
                <w:rFonts w:hint="eastAsia"/>
              </w:rPr>
              <w:t>学员家长</w:t>
            </w:r>
          </w:p>
        </w:tc>
        <w:tc>
          <w:tcPr>
            <w:tcW w:w="2768" w:type="dxa"/>
          </w:tcPr>
          <w:p w14:paraId="1FB46AA8">
            <w:r>
              <w:rPr>
                <w:rFonts w:hint="eastAsia"/>
              </w:rPr>
              <w:t>报名缴费</w:t>
            </w:r>
          </w:p>
        </w:tc>
        <w:tc>
          <w:tcPr>
            <w:tcW w:w="2768" w:type="dxa"/>
          </w:tcPr>
          <w:p w14:paraId="5682120F">
            <w:r>
              <w:rPr>
                <w:rFonts w:hint="eastAsia"/>
              </w:rPr>
              <w:t>课程查看、在线报名、报名状态查询、缴费记录</w:t>
            </w:r>
          </w:p>
        </w:tc>
      </w:tr>
      <w:tr>
        <w:trPr/>
        <w:tc>
          <w:tcPr>
            <w:tcW w:w="2768" w:type="dxa"/>
          </w:tcPr>
          <w:p w14:paraId="0A02329B">
            <w:r>
              <w:rPr>
                <w:rFonts w:hint="eastAsia"/>
              </w:rPr>
              <w:t>学员家长</w:t>
            </w:r>
          </w:p>
        </w:tc>
        <w:tc>
          <w:tcPr>
            <w:tcW w:w="2768" w:type="dxa"/>
          </w:tcPr>
          <w:p w14:paraId="7D8210F0">
            <w:r>
              <w:rPr>
                <w:rFonts w:hint="eastAsia"/>
              </w:rPr>
              <w:t>课表与学情</w:t>
            </w:r>
          </w:p>
        </w:tc>
        <w:tc>
          <w:tcPr>
            <w:tcW w:w="2768" w:type="dxa"/>
          </w:tcPr>
          <w:p w14:paraId="5A35353F">
            <w:r>
              <w:rPr>
                <w:rFonts w:hint="eastAsia"/>
              </w:rPr>
              <w:t>周课表、考勤状态、教师评语、作业内容</w:t>
            </w:r>
          </w:p>
        </w:tc>
      </w:tr>
      <w:tr>
        <w:trPr/>
        <w:tc>
          <w:tcPr>
            <w:tcW w:w="2768" w:type="dxa"/>
          </w:tcPr>
          <w:p w14:paraId="0D4F4E4B">
            <w:r>
              <w:rPr>
                <w:rFonts w:hint="eastAsia"/>
              </w:rPr>
              <w:t>学员家长</w:t>
            </w:r>
          </w:p>
        </w:tc>
        <w:tc>
          <w:tcPr>
            <w:tcW w:w="2768" w:type="dxa"/>
          </w:tcPr>
          <w:p w14:paraId="439FFEC6">
            <w:r>
              <w:rPr>
                <w:rFonts w:hint="eastAsia"/>
              </w:rPr>
              <w:t>课时管理</w:t>
            </w:r>
          </w:p>
        </w:tc>
        <w:tc>
          <w:tcPr>
            <w:tcW w:w="2768" w:type="dxa"/>
          </w:tcPr>
          <w:p w14:paraId="261E7FFD">
            <w:r>
              <w:rPr>
                <w:rFonts w:hint="eastAsia"/>
              </w:rPr>
              <w:t>剩余课时、消耗流水、到期提醒</w:t>
            </w:r>
          </w:p>
        </w:tc>
      </w:tr>
      <w:tr>
        <w:trPr/>
        <w:tc>
          <w:tcPr>
            <w:tcW w:w="2768" w:type="dxa"/>
          </w:tcPr>
          <w:p w14:paraId="1A82176D">
            <w:r>
              <w:rPr>
                <w:rFonts w:hint="eastAsia"/>
              </w:rPr>
              <w:t>学员家长</w:t>
            </w:r>
          </w:p>
        </w:tc>
        <w:tc>
          <w:tcPr>
            <w:tcW w:w="2768" w:type="dxa"/>
          </w:tcPr>
          <w:p w14:paraId="2FF548B3">
            <w:r>
              <w:rPr>
                <w:rFonts w:hint="eastAsia"/>
              </w:rPr>
              <w:t>消息通知</w:t>
            </w:r>
          </w:p>
        </w:tc>
        <w:tc>
          <w:tcPr>
            <w:tcW w:w="2768" w:type="dxa"/>
          </w:tcPr>
          <w:p w14:paraId="327B31BB">
            <w:r>
              <w:rPr>
                <w:rFonts w:hint="eastAsia"/>
              </w:rPr>
              <w:t>上课提醒、调课通知、机构公告</w:t>
            </w:r>
          </w:p>
        </w:tc>
      </w:tr>
      <w:tr>
        <w:trPr/>
        <w:tc>
          <w:tcPr>
            <w:tcW w:w="2768" w:type="dxa"/>
          </w:tcPr>
          <w:p w14:paraId="66FB112E">
            <w:r>
              <w:rPr>
                <w:rFonts w:hint="eastAsia"/>
              </w:rPr>
              <w:t>授课教师</w:t>
            </w:r>
          </w:p>
        </w:tc>
        <w:tc>
          <w:tcPr>
            <w:tcW w:w="2768" w:type="dxa"/>
          </w:tcPr>
          <w:p w14:paraId="3B026A6D">
            <w:r>
              <w:rPr>
                <w:rFonts w:hint="eastAsia"/>
              </w:rPr>
              <w:t>教学任务</w:t>
            </w:r>
          </w:p>
        </w:tc>
        <w:tc>
          <w:tcPr>
            <w:tcW w:w="2768" w:type="dxa"/>
          </w:tcPr>
          <w:p w14:paraId="1F90D275">
            <w:r>
              <w:rPr>
                <w:rFonts w:hint="eastAsia"/>
              </w:rPr>
              <w:t>个人课表、上课提醒、调课申请</w:t>
            </w:r>
          </w:p>
        </w:tc>
      </w:tr>
      <w:tr>
        <w:trPr/>
        <w:tc>
          <w:tcPr>
            <w:tcW w:w="2768" w:type="dxa"/>
          </w:tcPr>
          <w:p w14:paraId="721053C2">
            <w:r>
              <w:rPr>
                <w:rFonts w:hint="eastAsia"/>
              </w:rPr>
              <w:t>授课教师</w:t>
            </w:r>
          </w:p>
        </w:tc>
        <w:tc>
          <w:tcPr>
            <w:tcW w:w="2768" w:type="dxa"/>
          </w:tcPr>
          <w:p w14:paraId="074F1C4F">
            <w:r>
              <w:rPr>
                <w:rFonts w:hint="eastAsia"/>
              </w:rPr>
              <w:t>课堂管理</w:t>
            </w:r>
          </w:p>
        </w:tc>
        <w:tc>
          <w:tcPr>
            <w:tcW w:w="2768" w:type="dxa"/>
          </w:tcPr>
          <w:p w14:paraId="20703118">
            <w:r>
              <w:rPr>
                <w:rFonts w:hint="eastAsia"/>
              </w:rPr>
              <w:t>课堂考勤（4 状态）、请假审批、作业发布</w:t>
            </w:r>
          </w:p>
        </w:tc>
      </w:tr>
      <w:tr>
        <w:trPr/>
        <w:tc>
          <w:tcPr>
            <w:tcW w:w="2768" w:type="dxa"/>
          </w:tcPr>
          <w:p w14:paraId="14F0D18D">
            <w:r>
              <w:rPr>
                <w:rFonts w:hint="eastAsia"/>
              </w:rPr>
              <w:t>授课教师</w:t>
            </w:r>
          </w:p>
        </w:tc>
        <w:tc>
          <w:tcPr>
            <w:tcW w:w="2768" w:type="dxa"/>
          </w:tcPr>
          <w:p w14:paraId="47107E7E">
            <w:r>
              <w:rPr>
                <w:rFonts w:hint="eastAsia"/>
              </w:rPr>
              <w:t>学情与统计</w:t>
            </w:r>
          </w:p>
        </w:tc>
        <w:tc>
          <w:tcPr>
            <w:tcW w:w="2768" w:type="dxa"/>
          </w:tcPr>
          <w:p w14:paraId="6774CF69">
            <w:r>
              <w:rPr>
                <w:rFonts w:hint="eastAsia"/>
              </w:rPr>
              <w:t>学情点评、成长档案、月度课时统计</w:t>
            </w:r>
          </w:p>
        </w:tc>
      </w:tr>
      <w:tr>
        <w:trPr/>
        <w:tc>
          <w:tcPr>
            <w:tcW w:w="2768" w:type="dxa"/>
          </w:tcPr>
          <w:p w14:paraId="7985EFED">
            <w:r>
              <w:rPr>
                <w:rFonts w:hint="eastAsia"/>
              </w:rPr>
              <w:t>教务管理员</w:t>
            </w:r>
          </w:p>
        </w:tc>
        <w:tc>
          <w:tcPr>
            <w:tcW w:w="2768" w:type="dxa"/>
          </w:tcPr>
          <w:p w14:paraId="2C0E6670">
            <w:r>
              <w:rPr>
                <w:rFonts w:hint="eastAsia"/>
              </w:rPr>
              <w:t>课程与班级</w:t>
            </w:r>
          </w:p>
        </w:tc>
        <w:tc>
          <w:tcPr>
            <w:tcW w:w="2768" w:type="dxa"/>
          </w:tcPr>
          <w:p w14:paraId="4C3FB554">
            <w:r>
              <w:rPr>
                <w:rFonts w:hint="eastAsia"/>
              </w:rPr>
              <w:t>课程类型、班级管理、课节时段设置</w:t>
            </w:r>
          </w:p>
        </w:tc>
      </w:tr>
      <w:tr>
        <w:trPr/>
        <w:tc>
          <w:tcPr>
            <w:tcW w:w="2768" w:type="dxa"/>
          </w:tcPr>
          <w:p w14:paraId="5E7CF9E8">
            <w:r>
              <w:rPr>
                <w:rFonts w:hint="eastAsia"/>
              </w:rPr>
              <w:t>教务管理员</w:t>
            </w:r>
          </w:p>
        </w:tc>
        <w:tc>
          <w:tcPr>
            <w:tcW w:w="2768" w:type="dxa"/>
          </w:tcPr>
          <w:p w14:paraId="132D926F">
            <w:r>
              <w:rPr>
                <w:rFonts w:hint="eastAsia"/>
              </w:rPr>
              <w:t>排课管理</w:t>
            </w:r>
          </w:p>
        </w:tc>
        <w:tc>
          <w:tcPr>
            <w:tcW w:w="2768" w:type="dxa"/>
          </w:tcPr>
          <w:p w14:paraId="40E3B01C">
            <w:r>
              <w:rPr>
                <w:rFonts w:hint="eastAsia"/>
              </w:rPr>
              <w:t>自动排课、批量排课、拖拽快速调课、冲突检测、教室预约</w:t>
            </w:r>
          </w:p>
        </w:tc>
      </w:tr>
      <w:tr>
        <w:trPr/>
        <w:tc>
          <w:tcPr>
            <w:tcW w:w="2768" w:type="dxa"/>
          </w:tcPr>
          <w:p w14:paraId="52B4EC18">
            <w:r>
              <w:rPr>
                <w:rFonts w:hint="eastAsia"/>
              </w:rPr>
              <w:t>教务管理员</w:t>
            </w:r>
          </w:p>
        </w:tc>
        <w:tc>
          <w:tcPr>
            <w:tcW w:w="2768" w:type="dxa"/>
          </w:tcPr>
          <w:p w14:paraId="69E272E3">
            <w:r>
              <w:rPr>
                <w:rFonts w:hint="eastAsia"/>
              </w:rPr>
              <w:t>学员管理</w:t>
            </w:r>
          </w:p>
        </w:tc>
        <w:tc>
          <w:tcPr>
            <w:tcW w:w="2768" w:type="dxa"/>
          </w:tcPr>
          <w:p w14:paraId="00946E4D">
            <w:r>
              <w:rPr>
                <w:rFonts w:hint="eastAsia"/>
              </w:rPr>
              <w:t>学员档案、报名审核、分班、转班、调课审批</w:t>
            </w:r>
          </w:p>
        </w:tc>
      </w:tr>
      <w:tr>
        <w:trPr/>
        <w:tc>
          <w:tcPr>
            <w:tcW w:w="2768" w:type="dxa"/>
          </w:tcPr>
          <w:p w14:paraId="12574EB1">
            <w:r>
              <w:rPr>
                <w:rFonts w:hint="eastAsia"/>
              </w:rPr>
              <w:t>教务管理员</w:t>
            </w:r>
          </w:p>
        </w:tc>
        <w:tc>
          <w:tcPr>
            <w:tcW w:w="2768" w:type="dxa"/>
          </w:tcPr>
          <w:p w14:paraId="299490A8">
            <w:r>
              <w:rPr>
                <w:rFonts w:hint="eastAsia"/>
              </w:rPr>
              <w:t>考级管理</w:t>
            </w:r>
          </w:p>
        </w:tc>
        <w:tc>
          <w:tcPr>
            <w:tcW w:w="2768" w:type="dxa"/>
          </w:tcPr>
          <w:p w14:paraId="67E9460D">
            <w:r>
              <w:rPr>
                <w:rFonts w:hint="eastAsia"/>
              </w:rPr>
              <w:t>考级项目、报名、成绩录入、证书归档</w:t>
            </w:r>
          </w:p>
        </w:tc>
      </w:tr>
      <w:tr>
        <w:trPr/>
        <w:tc>
          <w:tcPr>
            <w:tcW w:w="2768" w:type="dxa"/>
          </w:tcPr>
          <w:p w14:paraId="79A29601">
            <w:r>
              <w:rPr>
                <w:rFonts w:hint="eastAsia"/>
              </w:rPr>
              <w:t>财务管理员</w:t>
            </w:r>
          </w:p>
        </w:tc>
        <w:tc>
          <w:tcPr>
            <w:tcW w:w="2768" w:type="dxa"/>
          </w:tcPr>
          <w:p w14:paraId="0CDBC50A">
            <w:r>
              <w:rPr>
                <w:rFonts w:hint="eastAsia"/>
              </w:rPr>
              <w:t>收费管理</w:t>
            </w:r>
          </w:p>
        </w:tc>
        <w:tc>
          <w:tcPr>
            <w:tcW w:w="2768" w:type="dxa"/>
          </w:tcPr>
          <w:p w14:paraId="4D493DA9">
            <w:r>
              <w:rPr>
                <w:rFonts w:hint="eastAsia"/>
              </w:rPr>
              <w:t>学费登记、续费、退费审核、收费台账</w:t>
            </w:r>
          </w:p>
        </w:tc>
      </w:tr>
      <w:tr>
        <w:trPr/>
        <w:tc>
          <w:tcPr>
            <w:tcW w:w="2768" w:type="dxa"/>
          </w:tcPr>
          <w:p w14:paraId="5CF062CD">
            <w:r>
              <w:rPr>
                <w:rFonts w:hint="eastAsia"/>
              </w:rPr>
              <w:t>财务管理员</w:t>
            </w:r>
          </w:p>
        </w:tc>
        <w:tc>
          <w:tcPr>
            <w:tcW w:w="2768" w:type="dxa"/>
          </w:tcPr>
          <w:p w14:paraId="125F0AC4">
            <w:r>
              <w:rPr>
                <w:rFonts w:hint="eastAsia"/>
              </w:rPr>
              <w:t>薪资管理</w:t>
            </w:r>
          </w:p>
        </w:tc>
        <w:tc>
          <w:tcPr>
            <w:tcW w:w="2768" w:type="dxa"/>
          </w:tcPr>
          <w:p w14:paraId="2B66C360">
            <w:r>
              <w:rPr>
                <w:rFonts w:hint="eastAsia"/>
              </w:rPr>
              <w:t>薪资规则、自动核算、确认发放、课时消耗报表</w:t>
            </w:r>
          </w:p>
        </w:tc>
      </w:tr>
      <w:tr>
        <w:trPr/>
        <w:tc>
          <w:tcPr>
            <w:tcW w:w="2768" w:type="dxa"/>
          </w:tcPr>
          <w:p w14:paraId="3AA5ECEC">
            <w:r>
              <w:rPr>
                <w:rFonts w:hint="eastAsia"/>
              </w:rPr>
              <w:t>财务管理员</w:t>
            </w:r>
          </w:p>
        </w:tc>
        <w:tc>
          <w:tcPr>
            <w:tcW w:w="2768" w:type="dxa"/>
          </w:tcPr>
          <w:p w14:paraId="70794095">
            <w:r>
              <w:rPr>
                <w:rFonts w:hint="eastAsia"/>
              </w:rPr>
              <w:t>营收统计</w:t>
            </w:r>
          </w:p>
        </w:tc>
        <w:tc>
          <w:tcPr>
            <w:tcW w:w="2768" w:type="dxa"/>
          </w:tcPr>
          <w:p w14:paraId="73CBD471">
            <w:r>
              <w:rPr>
                <w:rFonts w:hint="eastAsia"/>
              </w:rPr>
              <w:t>月度营收、课程盈利、收费率统计</w:t>
            </w:r>
          </w:p>
        </w:tc>
      </w:tr>
      <w:tr>
        <w:trPr/>
        <w:tc>
          <w:tcPr>
            <w:tcW w:w="2768" w:type="dxa"/>
          </w:tcPr>
          <w:p w14:paraId="4502D0ED">
            <w:r>
              <w:rPr>
                <w:rFonts w:hint="eastAsia"/>
              </w:rPr>
              <w:t>超级管理员</w:t>
            </w:r>
          </w:p>
        </w:tc>
        <w:tc>
          <w:tcPr>
            <w:tcW w:w="2768" w:type="dxa"/>
          </w:tcPr>
          <w:p w14:paraId="18B55724">
            <w:r>
              <w:rPr>
                <w:rFonts w:hint="eastAsia"/>
              </w:rPr>
              <w:t>系统管理</w:t>
            </w:r>
          </w:p>
        </w:tc>
        <w:tc>
          <w:tcPr>
            <w:tcW w:w="2768" w:type="dxa"/>
          </w:tcPr>
          <w:p w14:paraId="15DF5F4C">
            <w:r>
              <w:rPr>
                <w:rFonts w:hint="eastAsia"/>
              </w:rPr>
              <w:t>用户、角色、权限、菜单、机构配置、公告</w:t>
            </w:r>
          </w:p>
        </w:tc>
      </w:tr>
      <w:tr>
        <w:trPr/>
        <w:tc>
          <w:tcPr>
            <w:tcW w:w="2768" w:type="dxa"/>
          </w:tcPr>
          <w:p w14:paraId="679FDEF0">
            <w:r>
              <w:rPr>
                <w:rFonts w:hint="eastAsia"/>
              </w:rPr>
              <w:t>超级管理员</w:t>
            </w:r>
          </w:p>
        </w:tc>
        <w:tc>
          <w:tcPr>
            <w:tcW w:w="2768" w:type="dxa"/>
          </w:tcPr>
          <w:p w14:paraId="3ACCA869">
            <w:r>
              <w:rPr>
                <w:rFonts w:hint="eastAsia"/>
              </w:rPr>
              <w:t>运营看板</w:t>
            </w:r>
          </w:p>
        </w:tc>
        <w:tc>
          <w:tcPr>
            <w:tcW w:w="2768" w:type="dxa"/>
          </w:tcPr>
          <w:p w14:paraId="55823D3F">
            <w:r>
              <w:rPr>
                <w:rFonts w:hint="eastAsia"/>
              </w:rPr>
              <w:t>招生数据、流失预警、教师工作量、全局统计</w:t>
            </w:r>
          </w:p>
        </w:tc>
      </w:tr>
    </w:tbl>
    <w:p w14:paraId="58300C42">
      <w:r>
        <w:rPr>
          <w:rFonts w:hint="eastAsia"/>
        </w:rPr>
        <w:t>管理后台与移动端的主要页面如下：管理后台包含课程管理、班级管理、排课管理、大课表、学员管理、报名管理、考勤管理、考级管理、收费管理、课时账户、课时流水、退费管理、薪资管理、教室管理、运营看板、公告管理、用户管理、角色管理、菜单管理、机构配置与操作日志等页面；移动端家长端包含课程报名、缴费记录、学员课表、学情详情、课时账户、消息通知等页面，教师端包含我的课表、课堂考勤、作业发布、学情点评、调课申请与课时统计等页面。</w:t>
      </w:r>
    </w:p>
    <w:p w14:paraId="59EF9058">
      <w:r>
        <w:rPr>
          <w:rFonts w:hint="eastAsia"/>
        </w:rPr>
        <w:t>系统功能结构如图 2.2 所示。</w:t>
      </w:r>
    </w:p>
    <w:p w14:paraId="60FD7173">
      <w:pPr>
        <w:jc w:val="center"/>
      </w:pPr>
      <w:r>
        <w:rPr>
          <w:rFonts w:hint="eastAsia"/>
          <w:b w:val="1"/>
        </w:rPr>
        <w:t>图 2.2 系统功能结构图</w:t>
      </w:r>
    </w:p>
    <w:p w14:paraId="69A24981">
      <w:pPr>
        <w:pStyle w:val="Heading3"/>
        <w:keepNext w:val="1"/>
        <w:keepLines w:val="1"/>
        <w:spacing w:before="100" w:beforeAutospacing="1" w:after="100" w:afterAutospacing="1"/>
        <w:outlineLvl w:val="1"/>
        <w:rPr>
          <w:sz w:val="32"/>
          <w:szCs w:val="32"/>
        </w:rPr>
      </w:pPr>
      <w:r>
        <w:rPr>
          <w:rFonts w:hint="eastAsia"/>
          <w:b w:val="1"/>
          <w:sz w:val="32"/>
        </w:rPr>
        <w:t>2.3 系统业务流程设计</w:t>
      </w:r>
    </w:p>
    <w:p w14:paraId="2BF00362">
      <w:pPr>
        <w:pStyle w:val="Heading4"/>
        <w:keepNext w:val="1"/>
        <w:keepLines w:val="1"/>
        <w:spacing w:before="100" w:beforeAutospacing="1" w:after="100" w:afterAutospacing="1"/>
        <w:outlineLvl w:val="2"/>
        <w:rPr>
          <w:sz w:val="32"/>
          <w:szCs w:val="32"/>
        </w:rPr>
      </w:pPr>
      <w:r>
        <w:rPr>
          <w:rFonts w:hint="eastAsia"/>
          <w:b w:val="1"/>
          <w:sz w:val="32"/>
        </w:rPr>
        <w:t>2.3.1 报名、缴费与退费业务流程</w:t>
      </w:r>
    </w:p>
    <w:p w14:paraId="66271695">
      <w:r>
        <w:rPr>
          <w:rFonts w:hint="eastAsia"/>
        </w:rPr>
        <w:t>学员家长在移动端选择课程并提交报名申请，教务管理员在管理后台对报名进行审核，审核通过后家长完成缴费，系统自动向对应课时账户充值课时并生成缴费记录。当学员因故退班时，家长发起退费申请，财务管理员审核通过后系统按规则计算应退金额，完成退费并回冲课时。报名申请提交前，系统通过报名决策快照对课程名额、时间冲突与报名状态进行一致性校验；退费审核采用并发安全控制，同一笔报名只允许存在一条待审核退费记录。报名缴费退费业务流程如图 2.3 所示。</w:t>
      </w:r>
    </w:p>
    <w:p w14:paraId="4390359B">
      <w:pPr>
        <w:jc w:val="center"/>
      </w:pPr>
      <w:r>
        <w:rPr>
          <w:rFonts w:hint="eastAsia"/>
          <w:b w:val="1"/>
        </w:rPr>
        <w:t>图 2.3 报名-缴费-退费业务时序图</w:t>
      </w:r>
    </w:p>
    <w:p w14:paraId="262234A3">
      <w:pPr>
        <w:pStyle w:val="Heading4"/>
        <w:keepNext w:val="1"/>
        <w:keepLines w:val="1"/>
        <w:spacing w:before="100" w:beforeAutospacing="1" w:after="100" w:afterAutospacing="1"/>
        <w:outlineLvl w:val="2"/>
        <w:rPr>
          <w:sz w:val="32"/>
          <w:szCs w:val="32"/>
        </w:rPr>
      </w:pPr>
      <w:r>
        <w:rPr>
          <w:rFonts w:hint="eastAsia"/>
          <w:b w:val="1"/>
          <w:sz w:val="32"/>
        </w:rPr>
        <w:t>2.3.2 排课与调课业务流程</w:t>
      </w:r>
    </w:p>
    <w:p w14:paraId="50F4B879">
      <w:r>
        <w:rPr>
          <w:rFonts w:hint="eastAsia"/>
        </w:rPr>
        <w:t>教务管理员创建班级后，可为班级批量生成课次，或基于教室、教师与班级的空闲情况执行自动排课；系统对教师、教室、班级、学员四个维度进行冲突检测，冲突课次会被即时提示。日常授课计划调整时，教务管理员可在周视图大课表上直接拖拽课次完成快速调课（仅限待上课且未开始的课次），系统以乐观并发控制防止多名教务同时操作同一课次造成相互覆盖；教师因个人原因需要调整课时时，通过移动端发起调课申请，教务管理员审批通过后生成调课记录。排课调课业务流程如图 2.4 所示。</w:t>
      </w:r>
    </w:p>
    <w:p w14:paraId="564AD47E">
      <w:pPr>
        <w:jc w:val="center"/>
      </w:pPr>
      <w:r>
        <w:rPr>
          <w:rFonts w:hint="eastAsia"/>
          <w:b w:val="1"/>
        </w:rPr>
        <w:t>图 2.4 排课-调课业务流程图</w:t>
      </w:r>
    </w:p>
    <w:p w14:paraId="769B4556">
      <w:pPr>
        <w:pStyle w:val="Heading4"/>
        <w:keepNext w:val="1"/>
        <w:keepLines w:val="1"/>
        <w:spacing w:before="100" w:beforeAutospacing="1" w:after="100" w:afterAutospacing="1"/>
        <w:outlineLvl w:val="2"/>
        <w:rPr>
          <w:sz w:val="32"/>
          <w:szCs w:val="32"/>
        </w:rPr>
      </w:pPr>
      <w:r>
        <w:rPr>
          <w:rFonts w:hint="eastAsia"/>
          <w:b w:val="1"/>
          <w:sz w:val="32"/>
        </w:rPr>
        <w:t>2.3.3 考勤与课时扣减业务流程</w:t>
      </w:r>
    </w:p>
    <w:p w14:paraId="7D2232D9">
      <w:r>
        <w:rPr>
          <w:rFonts w:hint="eastAsia"/>
        </w:rPr>
        <w:t>授课教师按课次进行课堂考勤，对学员标记到课、迟到、请假或缺勤四种状态。考勤记录提交后，系统自动执行课时扣减：到课与迟到状态扣减对应课时，请假状态（经审批）不扣减，缺勤状态按规则处理，并生成课时流水供家长与财务查询。系统对请假保护、重复考勤与并发考勤做了专项防护，避免已批准的请假被静默覆盖或课时被重复扣减。考勤课时扣减业务流程如图 2.5 所示。</w:t>
      </w:r>
    </w:p>
    <w:p w14:paraId="3F10482C">
      <w:pPr>
        <w:jc w:val="center"/>
      </w:pPr>
      <w:r>
        <w:rPr>
          <w:rFonts w:hint="eastAsia"/>
          <w:b w:val="1"/>
        </w:rPr>
        <w:t>图 2.5 考勤与课时自动扣减流程图</w:t>
      </w:r>
    </w:p>
    <w:p w14:paraId="6627F4B5">
      <w:pPr>
        <w:pStyle w:val="Heading4"/>
        <w:keepNext w:val="1"/>
        <w:keepLines w:val="1"/>
        <w:spacing w:before="100" w:beforeAutospacing="1" w:after="100" w:afterAutospacing="1"/>
        <w:outlineLvl w:val="2"/>
        <w:rPr>
          <w:sz w:val="32"/>
          <w:szCs w:val="32"/>
        </w:rPr>
      </w:pPr>
      <w:r>
        <w:rPr>
          <w:rFonts w:hint="eastAsia"/>
          <w:b w:val="1"/>
          <w:sz w:val="32"/>
        </w:rPr>
        <w:t>2.3.4 薪资核算业务流程</w:t>
      </w:r>
    </w:p>
    <w:p w14:paraId="1FAE020E">
      <w:r>
        <w:rPr>
          <w:rFonts w:hint="eastAsia"/>
        </w:rPr>
        <w:t>系统为每个课程建立薪资规则（按课次单价或按课时单价），财务管理员可按月度发起薪资核算。核算引擎按"课次 → 班级 → 课程 → 薪资规则"的映射关系，统计每位教师当月授课课次并自动计算应发薪资，生成薪资明细。财务管理员确认后发放薪资，发放记录支持撤销。核算、确认、发放与撤销均采用状态机与并发控制，确保薪资数据不被并发操作破坏。薪资核算业务流程如图 2.6 所示。</w:t>
      </w:r>
    </w:p>
    <w:p w14:paraId="7BCC4A26">
      <w:pPr>
        <w:jc w:val="center"/>
      </w:pPr>
      <w:r>
        <w:rPr>
          <w:rFonts w:hint="eastAsia"/>
          <w:b w:val="1"/>
        </w:rPr>
        <w:t>图 2.6 薪资核算状态流转图</w:t>
      </w:r>
    </w:p>
    <w:p w14:paraId="5F2B6C79">
      <w:pPr>
        <w:pStyle w:val="Heading4"/>
        <w:keepNext w:val="1"/>
        <w:keepLines w:val="1"/>
        <w:spacing w:before="100" w:beforeAutospacing="1" w:after="100" w:afterAutospacing="1"/>
        <w:outlineLvl w:val="2"/>
        <w:rPr>
          <w:sz w:val="32"/>
          <w:szCs w:val="32"/>
        </w:rPr>
      </w:pPr>
      <w:r>
        <w:rPr>
          <w:rFonts w:hint="eastAsia"/>
          <w:b w:val="1"/>
          <w:sz w:val="32"/>
        </w:rPr>
        <w:t>2.3.5 运营分析与流失预警业务流程</w:t>
      </w:r>
    </w:p>
    <w:p w14:paraId="34B9BF35">
      <w:r>
        <w:rPr>
          <w:rFonts w:hint="eastAsia"/>
        </w:rPr>
        <w:t>系统定时采集报名、考勤、课时、退费与营收数据，在运营看板中以图表呈现招生人数、到课率、课时消耗趋势、营收趋势与班级活跃度等指标。在此基础上，系统运行流失预警引擎，综合学员到课沉寂度、近期缺勤倾向、剩余课时与到期时间等多因子计算流失风险分，按高/中/低三档生成待跟进学员清单；教务人员可对风险学员进行跟进标记并一键发送续费或到课提醒。运营分析业务流程如图 2.7 所示。</w:t>
      </w:r>
    </w:p>
    <w:p w14:paraId="4AD47890">
      <w:pPr>
        <w:jc w:val="center"/>
      </w:pPr>
      <w:r>
        <w:rPr>
          <w:rFonts w:hint="eastAsia"/>
          <w:b w:val="1"/>
        </w:rPr>
        <w:t>图 2.7 运营统计与流失预警流程图</w:t>
      </w:r>
    </w:p>
    <w:p w14:paraId="1B106687">
      <w:pPr>
        <w:pStyle w:val="Heading3"/>
        <w:keepNext w:val="1"/>
        <w:keepLines w:val="1"/>
        <w:spacing w:before="100" w:beforeAutospacing="1" w:after="100" w:afterAutospacing="1"/>
        <w:outlineLvl w:val="1"/>
        <w:rPr>
          <w:sz w:val="32"/>
          <w:szCs w:val="32"/>
        </w:rPr>
      </w:pPr>
      <w:r>
        <w:rPr>
          <w:rFonts w:hint="eastAsia"/>
          <w:b w:val="1"/>
          <w:sz w:val="32"/>
        </w:rPr>
        <w:t>2.4 数据库设计</w:t>
      </w:r>
    </w:p>
    <w:p w14:paraId="4EFE2F68">
      <w:r>
        <w:rPr>
          <w:rFonts w:hint="eastAsia"/>
        </w:rPr>
        <w:t>系统数据库命名为 edu_admin，共设计 37 张数据表，按业务域划分为用户权限、学员课程、排课调课、考勤学情、课时流水、财务薪资、考级通知与运营管理八大域。数据库主要表清单如表 2.2 所示。</w:t>
      </w:r>
    </w:p>
    <w:p w14:paraId="35AB366E">
      <w:pPr>
        <w:jc w:val="center"/>
      </w:pPr>
      <w:r>
        <w:rPr>
          <w:rFonts w:hint="eastAsia"/>
          <w:b w:val="1"/>
        </w:rPr>
        <w:t>表 2.2 数据库核心表清单</w:t>
      </w:r>
    </w:p>
    <w:tbl>
      <w:tblPr>
        <w:tblW w:w="0" w:type="auto"/>
        <w:tblBorders>
          <w:top w:val="single" w:sz="8"/>
          <w:left w:val="single" w:sz="8"/>
          <w:bottom w:val="single" w:sz="8"/>
          <w:right w:val="single" w:sz="8"/>
        </w:tblBorders>
        <w:tblLayout w:type="autofit"/>
        <w:tblCellMar>
          <w:top w:w="15" w:type="dxa"/>
          <w:left w:w="15" w:type="dxa"/>
          <w:bottom w:w="15" w:type="dxa"/>
          <w:right w:w="15" w:type="dxa"/>
        </w:tblCellMar>
      </w:tblPr>
      <w:tblGrid>
        <w:gridCol w:w="2768"/>
        <w:gridCol w:w="2768"/>
        <w:gridCol w:w="2768"/>
      </w:tblGrid>
      <w:tr>
        <w:trPr/>
        <w:tc>
          <w:tcPr>
            <w:tcW w:w="2768" w:type="dxa"/>
          </w:tcPr>
          <w:p w14:paraId="2D5B4F3E">
            <w:r>
              <w:rPr>
                <w:rFonts w:hint="eastAsia"/>
                <w:b w:val="1"/>
              </w:rPr>
              <w:t>业务域</w:t>
            </w:r>
          </w:p>
        </w:tc>
        <w:tc>
          <w:tcPr>
            <w:tcW w:w="2768" w:type="dxa"/>
          </w:tcPr>
          <w:p w14:paraId="5A7B98C2">
            <w:r>
              <w:rPr>
                <w:rFonts w:hint="eastAsia"/>
                <w:b w:val="1"/>
              </w:rPr>
              <w:t>核心表</w:t>
            </w:r>
          </w:p>
        </w:tc>
        <w:tc>
          <w:tcPr>
            <w:tcW w:w="2768" w:type="dxa"/>
          </w:tcPr>
          <w:p w14:paraId="529B7944">
            <w:r>
              <w:rPr>
                <w:rFonts w:hint="eastAsia"/>
                <w:b w:val="1"/>
              </w:rPr>
              <w:t>说明</w:t>
            </w:r>
          </w:p>
        </w:tc>
      </w:tr>
      <w:tr>
        <w:trPr/>
        <w:tc>
          <w:tcPr>
            <w:tcW w:w="2768" w:type="dxa"/>
          </w:tcPr>
          <w:p w14:paraId="0E1509B6">
            <w:r>
              <w:rPr>
                <w:rFonts w:hint="eastAsia"/>
              </w:rPr>
              <w:t>用户权限</w:t>
            </w:r>
          </w:p>
        </w:tc>
        <w:tc>
          <w:tcPr>
            <w:tcW w:w="2768" w:type="dxa"/>
          </w:tcPr>
          <w:p w14:paraId="0CE220E2">
            <w:r>
              <w:t>user / role / permission / sys_menu / role_permission</w:t>
            </w:r>
          </w:p>
        </w:tc>
        <w:tc>
          <w:tcPr>
            <w:tcW w:w="2768" w:type="dxa"/>
          </w:tcPr>
          <w:p w14:paraId="5202BD56">
            <w:r>
              <w:rPr>
                <w:rFonts w:hint="eastAsia"/>
              </w:rPr>
              <w:t>用户、角色与权限</w:t>
            </w:r>
          </w:p>
        </w:tc>
      </w:tr>
      <w:tr>
        <w:trPr/>
        <w:tc>
          <w:tcPr>
            <w:tcW w:w="2768" w:type="dxa"/>
          </w:tcPr>
          <w:p w14:paraId="0E83D5C4">
            <w:r>
              <w:rPr>
                <w:rFonts w:hint="eastAsia"/>
              </w:rPr>
              <w:t>学员课程</w:t>
            </w:r>
          </w:p>
        </w:tc>
        <w:tc>
          <w:tcPr>
            <w:tcW w:w="2768" w:type="dxa"/>
          </w:tcPr>
          <w:p w14:paraId="5A3AAACF">
            <w:r>
              <w:t>student / parent_student / course / class_group / class_student / enrollment</w:t>
            </w:r>
          </w:p>
        </w:tc>
        <w:tc>
          <w:tcPr>
            <w:tcW w:w="2768" w:type="dxa"/>
          </w:tcPr>
          <w:p w14:paraId="2F542345">
            <w:r>
              <w:rPr>
                <w:rFonts w:hint="eastAsia"/>
              </w:rPr>
              <w:t>学员、课程班级与报名</w:t>
            </w:r>
          </w:p>
        </w:tc>
      </w:tr>
      <w:tr>
        <w:trPr/>
        <w:tc>
          <w:tcPr>
            <w:tcW w:w="2768" w:type="dxa"/>
          </w:tcPr>
          <w:p w14:paraId="1BCCE3F0">
            <w:r>
              <w:rPr>
                <w:rFonts w:hint="eastAsia"/>
              </w:rPr>
              <w:t>排课调课</w:t>
            </w:r>
          </w:p>
        </w:tc>
        <w:tc>
          <w:tcPr>
            <w:tcW w:w="2768" w:type="dxa"/>
          </w:tcPr>
          <w:p w14:paraId="52B9DD21">
            <w:r>
              <w:t>classroom / room_booking / period / schedule_lesson / schedule_adjust_request / schedule_lock</w:t>
            </w:r>
          </w:p>
        </w:tc>
        <w:tc>
          <w:tcPr>
            <w:tcW w:w="2768" w:type="dxa"/>
          </w:tcPr>
          <w:p w14:paraId="1FE63298">
            <w:r>
              <w:rPr>
                <w:rFonts w:hint="eastAsia"/>
              </w:rPr>
              <w:t>教室、课节时段、排课与调课</w:t>
            </w:r>
          </w:p>
        </w:tc>
      </w:tr>
      <w:tr>
        <w:trPr/>
        <w:tc>
          <w:tcPr>
            <w:tcW w:w="2768" w:type="dxa"/>
          </w:tcPr>
          <w:p w14:paraId="4B6FD20E">
            <w:r>
              <w:rPr>
                <w:rFonts w:hint="eastAsia"/>
              </w:rPr>
              <w:t>考勤学情</w:t>
            </w:r>
          </w:p>
        </w:tc>
        <w:tc>
          <w:tcPr>
            <w:tcW w:w="2768" w:type="dxa"/>
          </w:tcPr>
          <w:p w14:paraId="01ED3E7B">
            <w:r>
              <w:t>attendance / leave_request / homework / learning_record</w:t>
            </w:r>
          </w:p>
        </w:tc>
        <w:tc>
          <w:tcPr>
            <w:tcW w:w="2768" w:type="dxa"/>
          </w:tcPr>
          <w:p w14:paraId="36E678AD">
            <w:r>
              <w:rPr>
                <w:rFonts w:hint="eastAsia"/>
              </w:rPr>
              <w:t>考勤、请假、作业与档案</w:t>
            </w:r>
          </w:p>
        </w:tc>
      </w:tr>
      <w:tr>
        <w:trPr/>
        <w:tc>
          <w:tcPr>
            <w:tcW w:w="2768" w:type="dxa"/>
          </w:tcPr>
          <w:p w14:paraId="626ED838">
            <w:r>
              <w:rPr>
                <w:rFonts w:hint="eastAsia"/>
              </w:rPr>
              <w:t>课时流水</w:t>
            </w:r>
          </w:p>
        </w:tc>
        <w:tc>
          <w:tcPr>
            <w:tcW w:w="2768" w:type="dxa"/>
          </w:tcPr>
          <w:p w14:paraId="68FC116A">
            <w:r>
              <w:t>lesson_account / lesson_flow</w:t>
            </w:r>
          </w:p>
        </w:tc>
        <w:tc>
          <w:tcPr>
            <w:tcW w:w="2768" w:type="dxa"/>
          </w:tcPr>
          <w:p w14:paraId="18FAB9D7">
            <w:r>
              <w:rPr>
                <w:rFonts w:hint="eastAsia"/>
              </w:rPr>
              <w:t>课时账户与流水</w:t>
            </w:r>
          </w:p>
        </w:tc>
      </w:tr>
      <w:tr>
        <w:trPr/>
        <w:tc>
          <w:tcPr>
            <w:tcW w:w="2768" w:type="dxa"/>
          </w:tcPr>
          <w:p w14:paraId="747A6942">
            <w:r>
              <w:rPr>
                <w:rFonts w:hint="eastAsia"/>
              </w:rPr>
              <w:t>财务薪资</w:t>
            </w:r>
          </w:p>
        </w:tc>
        <w:tc>
          <w:tcPr>
            <w:tcW w:w="2768" w:type="dxa"/>
          </w:tcPr>
          <w:p w14:paraId="3968B86A">
            <w:r>
              <w:t>payment_record / refund_record / teacher_course / salary_rule / teacher_salary / salary_adjustment</w:t>
            </w:r>
          </w:p>
        </w:tc>
        <w:tc>
          <w:tcPr>
            <w:tcW w:w="2768" w:type="dxa"/>
          </w:tcPr>
          <w:p w14:paraId="4B5C052E">
            <w:r>
              <w:rPr>
                <w:rFonts w:hint="eastAsia"/>
              </w:rPr>
              <w:t>收费、退费与薪资</w:t>
            </w:r>
          </w:p>
        </w:tc>
      </w:tr>
      <w:tr>
        <w:trPr/>
        <w:tc>
          <w:tcPr>
            <w:tcW w:w="2768" w:type="dxa"/>
          </w:tcPr>
          <w:p w14:paraId="27D41D90">
            <w:r>
              <w:rPr>
                <w:rFonts w:hint="eastAsia"/>
              </w:rPr>
              <w:t>考级通知</w:t>
            </w:r>
          </w:p>
        </w:tc>
        <w:tc>
          <w:tcPr>
            <w:tcW w:w="2768" w:type="dxa"/>
          </w:tcPr>
          <w:p w14:paraId="0E82EB45">
            <w:r>
              <w:t>exam_level / exam_signup / notice / notification</w:t>
            </w:r>
          </w:p>
        </w:tc>
        <w:tc>
          <w:tcPr>
            <w:tcW w:w="2768" w:type="dxa"/>
          </w:tcPr>
          <w:p w14:paraId="7263C94F">
            <w:r>
              <w:rPr>
                <w:rFonts w:hint="eastAsia"/>
              </w:rPr>
              <w:t>考级、公告与站内信</w:t>
            </w:r>
          </w:p>
        </w:tc>
      </w:tr>
      <w:tr>
        <w:trPr/>
        <w:tc>
          <w:tcPr>
            <w:tcW w:w="2768" w:type="dxa"/>
          </w:tcPr>
          <w:p w14:paraId="2EE2BA38">
            <w:r>
              <w:rPr>
                <w:rFonts w:hint="eastAsia"/>
              </w:rPr>
              <w:t>运营管理</w:t>
            </w:r>
          </w:p>
        </w:tc>
        <w:tc>
          <w:tcPr>
            <w:tcW w:w="2768" w:type="dxa"/>
          </w:tcPr>
          <w:p w14:paraId="27AB9454">
            <w:r>
              <w:t>statistics_snapshot / student_risk_followup / operation_log / organization</w:t>
            </w:r>
          </w:p>
        </w:tc>
        <w:tc>
          <w:tcPr>
            <w:tcW w:w="2768" w:type="dxa"/>
          </w:tcPr>
          <w:p w14:paraId="2E70EA20">
            <w:r>
              <w:rPr>
                <w:rFonts w:hint="eastAsia"/>
              </w:rPr>
              <w:t>统计、预警、日志与机构</w:t>
            </w:r>
          </w:p>
        </w:tc>
      </w:tr>
    </w:tbl>
    <w:p w14:paraId="5FD986B7">
      <w:r>
        <w:rPr>
          <w:rFonts w:hint="eastAsia"/>
        </w:rPr>
        <w:t>在数据库设计中遵循以下约定：用户表等核心表启用逻辑删除（is_deleted 字段），业务查询默认过滤已删除数据，同时为财务历史流水等场景提供绕过逻辑删除的数据访问接口；退费记录等关键表通过数据库生成列与唯一索引实现"同一报名仅允许一条待审核退费"的约束；课程、班级、课次等高频查询场景建立组合索引。数据库结构变更由 Flyway 版本化迁移管理，已包含 V6（高价值查询索引）、V7（单待审核退费约束）与 V8（流失预警跟进表）等迁移脚本。</w:t>
      </w:r>
    </w:p>
    <w:p w14:paraId="556B89E9">
      <w:r>
        <w:rPr>
          <w:rFonts w:hint="eastAsia"/>
        </w:rPr>
        <w:t>系统核心数据实体关系如图 2.8 所示。</w:t>
      </w:r>
    </w:p>
    <w:p w14:paraId="1759D334">
      <w:pPr>
        <w:jc w:val="center"/>
      </w:pPr>
      <w:r>
        <w:rPr>
          <w:rFonts w:hint="eastAsia"/>
          <w:b w:val="1"/>
        </w:rPr>
        <w:t>图 2.8 核心实体关系（E-R）图</w:t>
      </w:r>
    </w:p>
    <w:p w14:paraId="0891D2BB"/>
    <w:p w14:paraId="4C219A98">
      <w:r>
        <w:br w:type="page"/>
      </w:r>
    </w:p>
    <w:p w14:paraId="7C3CE30E">
      <w:pPr>
        <w:pStyle w:val="Heading1"/>
        <w:keepNext w:val="1"/>
        <w:keepLines w:val="1"/>
        <w:spacing w:before="100" w:beforeAutospacing="1" w:after="100" w:afterAutospacing="1"/>
        <w:outlineLvl w:val="0"/>
        <w:rPr>
          <w:kern w:val="44"/>
          <w:sz w:val="44"/>
          <w:szCs w:val="44"/>
        </w:rPr>
      </w:pPr>
      <w:r>
        <w:rPr>
          <w:rFonts w:hint="eastAsia"/>
          <w:b w:val="1"/>
          <w:sz w:val="44"/>
        </w:rPr>
        <w:t>3 系统功能实现</w:t>
      </w:r>
    </w:p>
    <w:p w14:paraId="054C2227">
      <w:pPr>
        <w:pStyle w:val="Heading3"/>
        <w:keepNext w:val="1"/>
        <w:keepLines w:val="1"/>
        <w:spacing w:before="100" w:beforeAutospacing="1" w:after="100" w:afterAutospacing="1"/>
        <w:outlineLvl w:val="1"/>
        <w:rPr>
          <w:sz w:val="32"/>
          <w:szCs w:val="32"/>
        </w:rPr>
      </w:pPr>
      <w:r>
        <w:rPr>
          <w:rFonts w:hint="eastAsia"/>
          <w:b w:val="1"/>
          <w:sz w:val="32"/>
        </w:rPr>
        <w:t>3.1 招生报名与退费管理</w:t>
      </w:r>
    </w:p>
    <w:p w14:paraId="25B98DDF">
      <w:pPr>
        <w:pStyle w:val="Heading4"/>
        <w:keepNext w:val="1"/>
        <w:keepLines w:val="1"/>
        <w:spacing w:before="100" w:beforeAutospacing="1" w:after="100" w:afterAutospacing="1"/>
        <w:outlineLvl w:val="2"/>
        <w:rPr>
          <w:sz w:val="32"/>
          <w:szCs w:val="32"/>
        </w:rPr>
      </w:pPr>
      <w:r>
        <w:rPr>
          <w:rFonts w:hint="eastAsia"/>
          <w:b w:val="1"/>
          <w:sz w:val="32"/>
        </w:rPr>
        <w:t>3.1.1 报名决策快照与在线报名</w:t>
      </w:r>
    </w:p>
    <w:p w14:paraId="62BAB2B1">
      <w:r>
        <w:rPr>
          <w:rFonts w:hint="eastAsia"/>
        </w:rPr>
        <w:t>家长端报名页面早期版本存在"逐课程串行加载班级并检查报名状态"导致的请求扇出问题：页面需遍历多个课程、逐个请求班级信息与报名状态，不仅响应慢，且用户基于不同时间点的数据做决策容易产生误判。系统在迭代优化中将报名页重构为"一次决策快照"模式。</w:t>
      </w:r>
    </w:p>
    <w:p w14:paraId="0AD8A4B4">
      <w:r>
        <w:rPr>
          <w:rFonts w:hint="eastAsia"/>
        </w:rPr>
        <w:t>后端新增报名决策快照服务：一次请求内聚合返回课程列表、可选班级、实时名额、当前报名状态、学员时间冲突与占位到期时间，并为快照生成版本令牌（versionToken）。快照以 5 分钟 TTL 缓存在内存中，前端提交报名时通过 If-Match 请求头携带快照版本，后端校验版本仍有效且决策数据未变化后才创建报名记录。核心实现如下：</w:t>
      </w:r>
    </w:p>
    <w:p w14:paraId="62349B87">
      <w:pPr>
        <w:shd w:fill="f5f5f5"/>
        <w:spacing w:line="276"/>
      </w:pPr>
      <w:r>
        <w:rPr>
          <w:rFonts w:hint="eastAsia" w:ascii="Consolas" w:hAnsi="Consolas" w:eastAsia="Consolas" w:cs="Consolas"/>
          <w:sz w:val="18"/>
        </w:rPr>
        <w:t>// 聚合读模型：一次返回课程+班级+名额+冲突的决策快照 public ParentEnrollmentSnapshotVO getParentEnrollmentSnapshot(Long parentUserId, Long studentId) { LocalDateTime snapshotAt = LocalDateTime.now(parentSnapshotClock); LocalDateTime snapshotExpiresAt = snapshotAt.plus(PARENT_SNAPSHOT_TTL); List&lt;CourseDecision&gt; decisions = buildParentEnrollmentDecisions(studentId); String versionToken = snapshotFingerprint(decisions); // 对决策数据生成指纹 parentSnapshotRecords.put(versionToken, new ParentSnapshotRecord(decisions, snapshotExpiresAt)); return new ParentEnrollmentSnapshotVO(snapshotAt, snapshotExpiresAt, versionToken, decisions); }</w:t>
      </w:r>
    </w:p>
    <w:p w14:paraId="6C4CAA39">
      <w:r>
        <w:rPr>
          <w:rFonts w:hint="eastAsia"/>
        </w:rPr>
        <w:t>家长端首页与报名页面如图 3.1 所示。</w:t>
      </w:r>
    </w:p>
    <w:p w14:paraId="075C99C4">
      <w:pPr>
        <w:jc w:val="center"/>
      </w:pPr>
      <w:r>
        <w:rPr>
          <w:rFonts w:hint="eastAsia"/>
          <w:b w:val="1"/>
        </w:rPr>
        <w:t>图 3.1 家长端首页界面</w:t>
      </w:r>
    </w:p>
    <w:p w14:paraId="1ADA20EC">
      <w:pPr>
        <w:pStyle w:val="Heading4"/>
        <w:keepNext w:val="1"/>
        <w:keepLines w:val="1"/>
        <w:spacing w:before="100" w:beforeAutospacing="1" w:after="100" w:afterAutospacing="1"/>
        <w:outlineLvl w:val="2"/>
        <w:rPr>
          <w:sz w:val="32"/>
          <w:szCs w:val="32"/>
        </w:rPr>
      </w:pPr>
      <w:r>
        <w:rPr>
          <w:rFonts w:hint="eastAsia"/>
          <w:b w:val="1"/>
          <w:sz w:val="32"/>
        </w:rPr>
        <w:t>3.1.2 报名审核与退费审核</w:t>
      </w:r>
    </w:p>
    <w:p w14:paraId="3D7EE75B">
      <w:r>
        <w:rPr>
          <w:rFonts w:hint="eastAsia"/>
        </w:rPr>
        <w:t>教务管理员在报名管理页面对家长提交的报名进行审核，审核操作采用并发安全控制：后端通过乐观条件更新（CAS）保证只有处于"待审核"状态的报名才能被审核通过或驳回，重复操作返回冲突提示。退费审核同时具备数据库层约束兜底：退费记录表通过生成列与唯一索引保证同一笔报名至多存在一条待审核退费记录，从数据库层面杜绝重复退费。</w:t>
      </w:r>
    </w:p>
    <w:p w14:paraId="30E3C08B">
      <w:r>
        <w:rPr>
          <w:rFonts w:hint="eastAsia"/>
        </w:rPr>
        <w:t>管理后台报名管理页面与退费管理页面如图 3.2、图 3.3 所示。</w:t>
      </w:r>
    </w:p>
    <w:p w14:paraId="29A82A7D">
      <w:pPr>
        <w:jc w:val="center"/>
      </w:pPr>
      <w:r>
        <w:rPr>
          <w:rFonts w:hint="eastAsia"/>
          <w:b w:val="1"/>
        </w:rPr>
        <w:t>图 3.2 报名管理界面</w:t>
      </w:r>
    </w:p>
    <w:p w14:paraId="26917BA7">
      <w:pPr>
        <w:jc w:val="center"/>
      </w:pPr>
      <w:r>
        <w:rPr>
          <w:rFonts w:hint="eastAsia"/>
          <w:b w:val="1"/>
        </w:rPr>
        <w:t>图 3.3 退费管理界面</w:t>
      </w:r>
    </w:p>
    <w:p w14:paraId="3C075AFD">
      <w:pPr>
        <w:pStyle w:val="Heading3"/>
        <w:keepNext w:val="1"/>
        <w:keepLines w:val="1"/>
        <w:spacing w:before="100" w:beforeAutospacing="1" w:after="100" w:afterAutospacing="1"/>
        <w:outlineLvl w:val="1"/>
        <w:rPr>
          <w:sz w:val="32"/>
          <w:szCs w:val="32"/>
        </w:rPr>
      </w:pPr>
      <w:r>
        <w:rPr>
          <w:rFonts w:hint="eastAsia"/>
          <w:b w:val="1"/>
          <w:sz w:val="32"/>
        </w:rPr>
        <w:t>3.2 排课与调课管理</w:t>
      </w:r>
    </w:p>
    <w:p w14:paraId="10B11DF5">
      <w:pPr>
        <w:pStyle w:val="Heading4"/>
        <w:keepNext w:val="1"/>
        <w:keepLines w:val="1"/>
        <w:spacing w:before="100" w:beforeAutospacing="1" w:after="100" w:afterAutospacing="1"/>
        <w:outlineLvl w:val="2"/>
        <w:rPr>
          <w:sz w:val="32"/>
          <w:szCs w:val="32"/>
        </w:rPr>
      </w:pPr>
      <w:r>
        <w:rPr>
          <w:rFonts w:hint="eastAsia"/>
          <w:b w:val="1"/>
          <w:sz w:val="32"/>
        </w:rPr>
        <w:t>3.2.1 智能排课与冲突检测</w:t>
      </w:r>
    </w:p>
    <w:p w14:paraId="6E8CAC77">
      <w:r>
        <w:rPr>
          <w:rFonts w:hint="eastAsia"/>
        </w:rPr>
        <w:t>教务管理员创建课程、班级与课节时段后，可对班级执行批量排课（按班级上课频次批量生成课次）或自动排课（根据教室、教师、班级的空闲时间自动安排课次）。系统提供独立的冲突检测服务，从教师（同一教师同一时间冲突）、教室（同一教室同一时间冲突）、班级（同一班级同一时间冲突）与学员（学员跨班时间冲突）四个维度进行检测，冲突结果以中文提示返回前端即时展示。</w:t>
      </w:r>
    </w:p>
    <w:p w14:paraId="7ACBC201">
      <w:r>
        <w:rPr>
          <w:rFonts w:hint="eastAsia"/>
        </w:rPr>
        <w:t>排课管理页面与大课表页面如图 3.4、图 3.5 所示。</w:t>
      </w:r>
    </w:p>
    <w:p w14:paraId="7184B8F3">
      <w:pPr>
        <w:jc w:val="center"/>
      </w:pPr>
      <w:r>
        <w:rPr>
          <w:rFonts w:hint="eastAsia"/>
          <w:b w:val="1"/>
        </w:rPr>
        <w:t>图 3.4 排课管理界面</w:t>
      </w:r>
    </w:p>
    <w:p w14:paraId="4E7653BD">
      <w:pPr>
        <w:jc w:val="center"/>
      </w:pPr>
      <w:r>
        <w:rPr>
          <w:rFonts w:hint="eastAsia"/>
          <w:b w:val="1"/>
        </w:rPr>
        <w:t>图 3.5 大课表界面</w:t>
      </w:r>
    </w:p>
    <w:p w14:paraId="6E77E0C1">
      <w:pPr>
        <w:pStyle w:val="Heading4"/>
        <w:keepNext w:val="1"/>
        <w:keepLines w:val="1"/>
        <w:spacing w:before="100" w:beforeAutospacing="1" w:after="100" w:afterAutospacing="1"/>
        <w:outlineLvl w:val="2"/>
        <w:rPr>
          <w:sz w:val="32"/>
          <w:szCs w:val="32"/>
        </w:rPr>
      </w:pPr>
      <w:r>
        <w:rPr>
          <w:rFonts w:hint="eastAsia"/>
          <w:b w:val="1"/>
          <w:sz w:val="32"/>
        </w:rPr>
        <w:t>3.2.2 拖拽快速调课与并发控制</w:t>
      </w:r>
    </w:p>
    <w:p w14:paraId="0B34BEF6">
      <w:r>
        <w:rPr>
          <w:rFonts w:hint="eastAsia"/>
        </w:rPr>
        <w:t>为实现"教务在大课表上直接拖拽课次、秒级完成日常调课"的体验，系统在周视图大课表提供编辑模式，使用原生 HTML5 拖放 API 实现课次拖拽（不引入第三方拖拽库）。拖动悬停目标时段时前端基于当前课次做本地预检（教师/教室/班级），将冲突格标红并就地提示；保存时后端以冲突检测结果为最终裁决。快速调课不改变课次的授课教师与教室归属，仅更新上课日期与起止时间，且只允许对"待上课且未开始"的课次操作。</w:t>
      </w:r>
    </w:p>
    <w:p w14:paraId="13D8294D">
      <w:r>
        <w:rPr>
          <w:rFonts w:hint="eastAsia"/>
        </w:rPr>
        <w:t>由于快速调课保持课次状态不变（不翻转状态字段），仅靠"状态等于待上课"的乐观条件无法拦截两名教务对同一课次的并发拖拽。为此后端在乐观更新条件中追加"原日期、原起止时间"三个条件：并发第二笔更新时旧时间已不匹配，更新行数为 0，接口返回冲突提示，从而防止一方改动被静默覆盖。核心实现如下：</w:t>
      </w:r>
    </w:p>
    <w:p w14:paraId="6EFD3F88">
      <w:pPr>
        <w:shd w:fill="f5f5f5"/>
        <w:spacing w:line="276"/>
      </w:pPr>
      <w:r>
        <w:rPr>
          <w:rFonts w:hint="eastAsia" w:ascii="Consolas" w:hAnsi="Consolas" w:eastAsia="Consolas" w:cs="Consolas"/>
          <w:sz w:val="18"/>
        </w:rPr>
        <w:t>// CAS：id + 状态 + 旧时间三条件 → 并发第二笔 updated=0 → 409 int updated = scheduleLessonMapper.update(null, new LambdaUpdateWrapper&lt;ScheduleLesson&gt;() .eq(ScheduleLesson::getId, id) .eq(ScheduleLesson::getStatus, 1) .eq(ScheduleLesson::getLessonDate, lesson.getLessonDate()) .eq(ScheduleLesson::getStartTime, lesson.getStartTime()) .eq(ScheduleLesson::getEndTime, lesson.getEndTime()) .set(ScheduleLesson::getLessonDate, request.getLessonDate()) .set(ScheduleLesson::getStartTime, request.getStartTime()) .set(ScheduleLesson::getEndTime, request.getEndTime())); if (updated == 0) { throw new BusinessException(409, "课次已被其他教务调整，请刷新后重试"); }</w:t>
      </w:r>
    </w:p>
    <w:p w14:paraId="62D51EDF">
      <w:r>
        <w:rPr>
          <w:rFonts w:hint="eastAsia"/>
        </w:rPr>
        <w:t>调课成功后，系统在事务提交后向该课次关联班级的家长与该课次教师发送调课通知，并记录操作日志。快速调课与教师发起的调课申请审批流（原课次标记已调课、生成新课次并关联来源）双轨并存：前者面向教务日常高频微调，后者面向教师个人冲突与留痕场景。</w:t>
      </w:r>
    </w:p>
    <w:p w14:paraId="7420FF51">
      <w:pPr>
        <w:pStyle w:val="Heading3"/>
        <w:keepNext w:val="1"/>
        <w:keepLines w:val="1"/>
        <w:spacing w:before="100" w:beforeAutospacing="1" w:after="100" w:afterAutospacing="1"/>
        <w:outlineLvl w:val="1"/>
        <w:rPr>
          <w:sz w:val="32"/>
          <w:szCs w:val="32"/>
        </w:rPr>
      </w:pPr>
      <w:r>
        <w:rPr>
          <w:rFonts w:hint="eastAsia"/>
          <w:b w:val="1"/>
          <w:sz w:val="32"/>
        </w:rPr>
        <w:t>3.3 考勤与课时管理</w:t>
      </w:r>
    </w:p>
    <w:p w14:paraId="2BDFE7A0">
      <w:pPr>
        <w:pStyle w:val="Heading4"/>
        <w:keepNext w:val="1"/>
        <w:keepLines w:val="1"/>
        <w:spacing w:before="100" w:beforeAutospacing="1" w:after="100" w:afterAutospacing="1"/>
        <w:outlineLvl w:val="2"/>
        <w:rPr>
          <w:sz w:val="32"/>
          <w:szCs w:val="32"/>
        </w:rPr>
      </w:pPr>
      <w:r>
        <w:rPr>
          <w:rFonts w:hint="eastAsia"/>
          <w:b w:val="1"/>
          <w:sz w:val="32"/>
        </w:rPr>
        <w:t>3.3.1 课堂考勤</w:t>
      </w:r>
    </w:p>
    <w:p w14:paraId="16B6154A">
      <w:r>
        <w:rPr>
          <w:rFonts w:hint="eastAsia"/>
        </w:rPr>
        <w:t>授课教师在移动端按课次对学员进行课堂考勤，支持到课、迟到、请假、缺勤四种状态，并可为请假学员关联审批记录。后端对考勤状态做严格校验：仅允许有效状态码写入，同一学员同一课次只保留一条有效考勤；存在已批准请假的学员不允许被覆盖为到课或迟到，除非先撤销请假审批，从而保证"请假不扣课时"的业务规则不被绕过。</w:t>
      </w:r>
    </w:p>
    <w:p w14:paraId="1D2E1AAA">
      <w:r>
        <w:rPr>
          <w:rFonts w:hint="eastAsia"/>
        </w:rPr>
        <w:t>管理后台考勤记录页面如图 3.6 所示。</w:t>
      </w:r>
    </w:p>
    <w:p w14:paraId="1221447A">
      <w:pPr>
        <w:jc w:val="center"/>
      </w:pPr>
      <w:r>
        <w:rPr>
          <w:rFonts w:hint="eastAsia"/>
          <w:b w:val="1"/>
        </w:rPr>
        <w:t>图 3.6 考勤管理界面</w:t>
      </w:r>
    </w:p>
    <w:p w14:paraId="2D214310">
      <w:pPr>
        <w:jc w:val="center"/>
      </w:pPr>
      <w:r>
        <w:rPr>
          <w:rFonts w:hint="eastAsia"/>
          <w:b w:val="1"/>
        </w:rPr>
        <w:t>图 3.7 教师端首页界面</w:t>
      </w:r>
    </w:p>
    <w:p w14:paraId="226BA2DF">
      <w:pPr>
        <w:pStyle w:val="Heading4"/>
        <w:keepNext w:val="1"/>
        <w:keepLines w:val="1"/>
        <w:spacing w:before="100" w:beforeAutospacing="1" w:after="100" w:afterAutospacing="1"/>
        <w:outlineLvl w:val="2"/>
        <w:rPr>
          <w:sz w:val="32"/>
          <w:szCs w:val="32"/>
        </w:rPr>
      </w:pPr>
      <w:r>
        <w:rPr>
          <w:rFonts w:hint="eastAsia"/>
          <w:b w:val="1"/>
          <w:sz w:val="32"/>
        </w:rPr>
        <w:t>3.3.2 课时自动扣减</w:t>
      </w:r>
    </w:p>
    <w:p w14:paraId="75F30678">
      <w:r>
        <w:rPr>
          <w:rFonts w:hint="eastAsia"/>
        </w:rPr>
        <w:t>考勤提交后系统自动执行课时扣减：到课、迟到状态扣减对应课时并写入课时流水；请假状态经审批通过不扣减；缺勤按机构规则处理。系统对扣减操作实现并发安全（乐观锁 + 行数校验）与幂等防护：重复提交同一考勤不会重复扣减；对已扣减记录的回冲（如撤销考勤）将课时扣减标记置零，防止重复回冲。家长端可实时查询剩余课时与消耗流水，财务端可导出课时消耗报表。</w:t>
      </w:r>
    </w:p>
    <w:p w14:paraId="27CD04AD">
      <w:r>
        <w:rPr>
          <w:rFonts w:hint="eastAsia"/>
        </w:rPr>
        <w:t>课时账户、课时流水页面如图 3.8、图 3.9 所示。</w:t>
      </w:r>
    </w:p>
    <w:p w14:paraId="5CF629FB">
      <w:pPr>
        <w:jc w:val="center"/>
      </w:pPr>
      <w:r>
        <w:rPr>
          <w:rFonts w:hint="eastAsia"/>
          <w:b w:val="1"/>
        </w:rPr>
        <w:t>图 3.8 课时账户界面</w:t>
      </w:r>
    </w:p>
    <w:p w14:paraId="55E0D0BA">
      <w:pPr>
        <w:jc w:val="center"/>
      </w:pPr>
      <w:r>
        <w:rPr>
          <w:rFonts w:hint="eastAsia"/>
          <w:b w:val="1"/>
        </w:rPr>
        <w:t>图 3.9 课时流水界面</w:t>
      </w:r>
    </w:p>
    <w:p w14:paraId="2A71FA7F">
      <w:pPr>
        <w:pStyle w:val="Heading3"/>
        <w:keepNext w:val="1"/>
        <w:keepLines w:val="1"/>
        <w:spacing w:before="100" w:beforeAutospacing="1" w:after="100" w:afterAutospacing="1"/>
        <w:outlineLvl w:val="1"/>
        <w:rPr>
          <w:sz w:val="32"/>
          <w:szCs w:val="32"/>
        </w:rPr>
      </w:pPr>
      <w:r>
        <w:rPr>
          <w:rFonts w:hint="eastAsia"/>
          <w:b w:val="1"/>
          <w:sz w:val="32"/>
        </w:rPr>
        <w:t>3.4 财务与薪资管理</w:t>
      </w:r>
    </w:p>
    <w:p w14:paraId="4392ABA6">
      <w:pPr>
        <w:pStyle w:val="Heading4"/>
        <w:keepNext w:val="1"/>
        <w:keepLines w:val="1"/>
        <w:spacing w:before="100" w:beforeAutospacing="1" w:after="100" w:afterAutospacing="1"/>
        <w:outlineLvl w:val="2"/>
        <w:rPr>
          <w:sz w:val="32"/>
          <w:szCs w:val="32"/>
        </w:rPr>
      </w:pPr>
      <w:r>
        <w:rPr>
          <w:rFonts w:hint="eastAsia"/>
          <w:b w:val="1"/>
          <w:sz w:val="32"/>
        </w:rPr>
        <w:t>3.4.1 收费与续费管理</w:t>
      </w:r>
    </w:p>
    <w:p w14:paraId="07B53E15">
      <w:r>
        <w:rPr>
          <w:rFonts w:hint="eastAsia"/>
        </w:rPr>
        <w:t>财务管理员可登记学费收费、办理续费并审核退费，收费记录关联报名与学员，形成收费台账。系统支持按日期、学员、课程等条件筛选并导出 Excel 台账。</w:t>
      </w:r>
    </w:p>
    <w:p w14:paraId="273B8DD2">
      <w:r>
        <w:rPr>
          <w:rFonts w:hint="eastAsia"/>
        </w:rPr>
        <w:t>收费管理页面如图 3.10 所示。</w:t>
      </w:r>
    </w:p>
    <w:p w14:paraId="402882C4">
      <w:pPr>
        <w:jc w:val="center"/>
      </w:pPr>
      <w:r>
        <w:rPr>
          <w:rFonts w:hint="eastAsia"/>
          <w:b w:val="1"/>
        </w:rPr>
        <w:t>图 3.10 收费管理界面</w:t>
      </w:r>
    </w:p>
    <w:p w14:paraId="7716646F">
      <w:pPr>
        <w:pStyle w:val="Heading4"/>
        <w:keepNext w:val="1"/>
        <w:keepLines w:val="1"/>
        <w:spacing w:before="100" w:beforeAutospacing="1" w:after="100" w:afterAutospacing="1"/>
        <w:outlineLvl w:val="2"/>
        <w:rPr>
          <w:sz w:val="32"/>
          <w:szCs w:val="32"/>
        </w:rPr>
      </w:pPr>
      <w:r>
        <w:rPr>
          <w:rFonts w:hint="eastAsia"/>
          <w:b w:val="1"/>
          <w:sz w:val="32"/>
        </w:rPr>
        <w:t>3.4.2 薪资自动核算</w:t>
      </w:r>
    </w:p>
    <w:p w14:paraId="16DF2168">
      <w:r>
        <w:rPr>
          <w:rFonts w:hint="eastAsia"/>
        </w:rPr>
        <w:t>系统按"课次 → 班级 → 课程 → 薪资规则"的映射关系实现教师薪资自动核算：每个课程可配置按课次或按课时的薪资规则，财务发起月度核算时，核算引擎统计每位教师当月实际完成课次并按规则单价计算应发薪资。薪资数据采用状态机管理（核算 → 确认 → 发放 → 撤销），关键状态流转均使用乐观条件更新，配合规则变更的历史留痕，保证薪资核算结果可追溯、防并发篡改。</w:t>
      </w:r>
    </w:p>
    <w:p w14:paraId="37289F7C">
      <w:r>
        <w:rPr>
          <w:rFonts w:hint="eastAsia"/>
        </w:rPr>
        <w:t>薪资管理页面如图 3.11 所示。</w:t>
      </w:r>
    </w:p>
    <w:p w14:paraId="4FD98F9B">
      <w:pPr>
        <w:jc w:val="center"/>
      </w:pPr>
      <w:r>
        <w:rPr>
          <w:rFonts w:hint="eastAsia"/>
          <w:b w:val="1"/>
        </w:rPr>
        <w:t>图 3.11 薪资管理界面</w:t>
      </w:r>
    </w:p>
    <w:p w14:paraId="257B2ED5">
      <w:pPr>
        <w:pStyle w:val="Heading3"/>
        <w:keepNext w:val="1"/>
        <w:keepLines w:val="1"/>
        <w:spacing w:before="100" w:beforeAutospacing="1" w:after="100" w:afterAutospacing="1"/>
        <w:outlineLvl w:val="1"/>
        <w:rPr>
          <w:sz w:val="32"/>
          <w:szCs w:val="32"/>
        </w:rPr>
      </w:pPr>
      <w:r>
        <w:rPr>
          <w:rFonts w:hint="eastAsia"/>
          <w:b w:val="1"/>
          <w:sz w:val="32"/>
        </w:rPr>
        <w:t>3.5 学情与考级管理</w:t>
      </w:r>
    </w:p>
    <w:p w14:paraId="7E4B5DCF">
      <w:pPr>
        <w:pStyle w:val="Heading4"/>
        <w:keepNext w:val="1"/>
        <w:keepLines w:val="1"/>
        <w:spacing w:before="100" w:beforeAutospacing="1" w:after="100" w:afterAutospacing="1"/>
        <w:outlineLvl w:val="2"/>
        <w:rPr>
          <w:sz w:val="32"/>
          <w:szCs w:val="32"/>
        </w:rPr>
      </w:pPr>
      <w:r>
        <w:rPr>
          <w:rFonts w:hint="eastAsia"/>
          <w:b w:val="1"/>
          <w:sz w:val="32"/>
        </w:rPr>
        <w:t>3.5.1 作业与成长档案</w:t>
      </w:r>
    </w:p>
    <w:p w14:paraId="448E47A2">
      <w:r>
        <w:rPr>
          <w:rFonts w:hint="eastAsia"/>
        </w:rPr>
        <w:t>教师可对课次发布作业，并在课后对学员课堂表现进行点评，点评与作业自动沉淀到学员成长档案。家长端可查看对应学员的作业内容、教师评语与阶段性成长记录，形成"上课 → 考勤 → 作业 → 点评 → 档案"的学情闭环。</w:t>
      </w:r>
    </w:p>
    <w:p w14:paraId="3B5F559F">
      <w:r>
        <w:rPr>
          <w:rFonts w:hint="eastAsia"/>
        </w:rPr>
        <w:t>学情相关页面由 LearningController 提供作业（homeworks）、点评（learning-records）与档案（archive）三类接口支撑，管理端与家长端分别展示。</w:t>
      </w:r>
    </w:p>
    <w:p w14:paraId="47F76E04">
      <w:pPr>
        <w:pStyle w:val="Heading4"/>
        <w:keepNext w:val="1"/>
        <w:keepLines w:val="1"/>
        <w:spacing w:before="100" w:beforeAutospacing="1" w:after="100" w:afterAutospacing="1"/>
        <w:outlineLvl w:val="2"/>
        <w:rPr>
          <w:sz w:val="32"/>
          <w:szCs w:val="32"/>
        </w:rPr>
      </w:pPr>
      <w:r>
        <w:rPr>
          <w:rFonts w:hint="eastAsia"/>
          <w:b w:val="1"/>
          <w:sz w:val="32"/>
        </w:rPr>
        <w:t>3.5.2 考级管理</w:t>
      </w:r>
    </w:p>
    <w:p w14:paraId="25F73A37">
      <w:r>
        <w:rPr>
          <w:rFonts w:hint="eastAsia"/>
        </w:rPr>
        <w:t>教务管理员可维护考级项目与费用，组织学员考级报名，录入考级成绩并对证书进行归档，家长可查看考级报名状态与成绩。考级管理页面如图 3.12 所示。</w:t>
      </w:r>
    </w:p>
    <w:p w14:paraId="0CD74B09">
      <w:pPr>
        <w:jc w:val="center"/>
      </w:pPr>
      <w:r>
        <w:rPr>
          <w:rFonts w:hint="eastAsia"/>
          <w:b w:val="1"/>
        </w:rPr>
        <w:t>图 3.12 考级管理界面</w:t>
      </w:r>
    </w:p>
    <w:p w14:paraId="73D5DCE2">
      <w:pPr>
        <w:pStyle w:val="Heading3"/>
        <w:keepNext w:val="1"/>
        <w:keepLines w:val="1"/>
        <w:spacing w:before="100" w:beforeAutospacing="1" w:after="100" w:afterAutospacing="1"/>
        <w:outlineLvl w:val="1"/>
        <w:rPr>
          <w:sz w:val="32"/>
          <w:szCs w:val="32"/>
        </w:rPr>
      </w:pPr>
      <w:r>
        <w:rPr>
          <w:rFonts w:hint="eastAsia"/>
          <w:b w:val="1"/>
          <w:sz w:val="32"/>
        </w:rPr>
        <w:t>3.6 运营看板与流失预警</w:t>
      </w:r>
    </w:p>
    <w:p w14:paraId="759271C8">
      <w:pPr>
        <w:pStyle w:val="Heading4"/>
        <w:keepNext w:val="1"/>
        <w:keepLines w:val="1"/>
        <w:spacing w:before="100" w:beforeAutospacing="1" w:after="100" w:afterAutospacing="1"/>
        <w:outlineLvl w:val="2"/>
        <w:rPr>
          <w:sz w:val="32"/>
          <w:szCs w:val="32"/>
        </w:rPr>
      </w:pPr>
      <w:r>
        <w:rPr>
          <w:rFonts w:hint="eastAsia"/>
          <w:b w:val="1"/>
          <w:sz w:val="32"/>
        </w:rPr>
        <w:t>3.6.1 多维统计与图表可视化</w:t>
      </w:r>
    </w:p>
    <w:p w14:paraId="38842756">
      <w:r>
        <w:rPr>
          <w:rFonts w:hint="eastAsia"/>
        </w:rPr>
        <w:t>运营看板面向财务与教务等角色提供多维运营分析：以统计卡片呈现在册学员、本月课次、本月营收与到课率；以 ECharts 图表呈现月度课时趋势、营收趋势与到课率趋势；以多维分析页签呈现教师工作量、学员流失率（月度）、班级活跃度、课程盈利与收费率等指标。看板接口按角色隔离，财务等只读角色可查看统计结果但不能执行管理操作。</w:t>
      </w:r>
    </w:p>
    <w:p w14:paraId="18A3F44E">
      <w:r>
        <w:rPr>
          <w:rFonts w:hint="eastAsia"/>
        </w:rPr>
        <w:t>运营看板页面如图 3.13 所示。</w:t>
      </w:r>
    </w:p>
    <w:p w14:paraId="41A09567">
      <w:pPr>
        <w:jc w:val="center"/>
      </w:pPr>
      <w:r>
        <w:rPr>
          <w:rFonts w:hint="eastAsia"/>
          <w:b w:val="1"/>
        </w:rPr>
        <w:t>图 3.13 运营看板界面</w:t>
      </w:r>
    </w:p>
    <w:p w14:paraId="04F6B20E">
      <w:pPr>
        <w:pStyle w:val="Heading4"/>
        <w:keepNext w:val="1"/>
        <w:keepLines w:val="1"/>
        <w:spacing w:before="100" w:beforeAutospacing="1" w:after="100" w:afterAutospacing="1"/>
        <w:outlineLvl w:val="2"/>
        <w:rPr>
          <w:sz w:val="32"/>
          <w:szCs w:val="32"/>
        </w:rPr>
      </w:pPr>
      <w:r>
        <w:rPr>
          <w:rFonts w:hint="eastAsia"/>
          <w:b w:val="1"/>
          <w:sz w:val="32"/>
        </w:rPr>
        <w:t>3.6.2 学员流失预警引擎</w:t>
      </w:r>
    </w:p>
    <w:p w14:paraId="7BDB3069">
      <w:r>
        <w:rPr>
          <w:rFonts w:hint="eastAsia"/>
        </w:rPr>
        <w:t>系统在月度流失率统计的基础上实现学员级流失预警：流失预警引擎以五类因子对在班学员进行打分，分别为到课沉寂度（距最近到课天数）、近期缺勤倾向（近 28 天缺勤占比）、课时余量不足、到期紧迫度与异常出勤加分，总分封顶 100，按分数划分为高风险（≥60）、中风险（30-59）与低风险（1-29）三档。</w:t>
      </w:r>
    </w:p>
    <w:p w14:paraId="317C4155">
      <w:r>
        <w:rPr>
          <w:rFonts w:hint="eastAsia"/>
        </w:rPr>
        <w:t>预警引擎采用可解释的多因子规则（非黑盒模型），每个学员的风险分均可还原为各因子得分与命中原因，便于教务人员理解并采取针对性行动。系统设置防误报规则：班级近期无排课的学员不因沉寂计分；已批准请假不计入缺勤；已退班学员不进名单。预警名单支持按班级/课程/风险档筛选、一键站内触达风险学员家长与 Excel 导出，并记录跟进状态形成闭环。</w:t>
      </w:r>
    </w:p>
    <w:p w14:paraId="1CA92DA4">
      <w:r>
        <w:rPr>
          <w:rFonts w:hint="eastAsia"/>
        </w:rPr>
        <w:t>核心打分逻辑如下：</w:t>
      </w:r>
    </w:p>
    <w:p w14:paraId="00F21632">
      <w:pPr>
        <w:shd w:fill="f5f5f5"/>
        <w:spacing w:line="276"/>
      </w:pPr>
      <w:r>
        <w:rPr>
          <w:rFonts w:hint="eastAsia" w:ascii="Consolas" w:hAnsi="Consolas" w:eastAsia="Consolas" w:cs="Consolas"/>
          <w:sz w:val="18"/>
        </w:rPr>
        <w:t>// F1 到课沉寂度：按距最近到课天数分档计分 private int scoreF1(RiskStudentFacts facts) { long days = Math.max(0, DAYS.between(facts.lastAttendanceDate(), LocalDate.now())); if (days &gt; 45) return 70; else if (days &gt; 30) return 50; else if (days &gt; 21) return 35; else if (days &gt; 14) return 20; else if (days &gt; 7) return 10; else return 0; }</w:t>
      </w:r>
    </w:p>
    <w:p w14:paraId="0A05A1DB">
      <w:r>
        <w:rPr>
          <w:rFonts w:hint="eastAsia"/>
        </w:rPr>
        <w:t>流失预警面板作为运营看板的独立页签呈现，与月度流失率统计口径分离、互为补充。教务与超管视角看板界面如图 3.14、图 3.15 所示。</w:t>
      </w:r>
    </w:p>
    <w:p w14:paraId="6A2050F3">
      <w:pPr>
        <w:jc w:val="center"/>
      </w:pPr>
      <w:r>
        <w:rPr>
          <w:rFonts w:hint="eastAsia"/>
          <w:b w:val="1"/>
        </w:rPr>
        <w:t>图 3.14 教务视角运营看板界面</w:t>
      </w:r>
    </w:p>
    <w:p w14:paraId="60605731">
      <w:pPr>
        <w:jc w:val="center"/>
      </w:pPr>
      <w:r>
        <w:rPr>
          <w:rFonts w:hint="eastAsia"/>
          <w:b w:val="1"/>
        </w:rPr>
        <w:t>图 3.15 超级管理员视角运营看板界面</w:t>
      </w:r>
    </w:p>
    <w:p w14:paraId="42A96FB6"/>
    <w:p w14:paraId="3D1D9F97">
      <w:r>
        <w:br w:type="page"/>
      </w:r>
    </w:p>
    <w:p w14:paraId="5285A400">
      <w:pPr>
        <w:pStyle w:val="Heading1"/>
        <w:keepNext w:val="1"/>
        <w:keepLines w:val="1"/>
        <w:spacing w:before="100" w:beforeAutospacing="1" w:after="100" w:afterAutospacing="1"/>
        <w:outlineLvl w:val="0"/>
        <w:rPr>
          <w:kern w:val="44"/>
          <w:sz w:val="44"/>
          <w:szCs w:val="44"/>
        </w:rPr>
      </w:pPr>
      <w:r>
        <w:rPr>
          <w:rFonts w:hint="eastAsia"/>
          <w:b w:val="1"/>
          <w:sz w:val="44"/>
        </w:rPr>
        <w:t>4 系统测试</w:t>
      </w:r>
    </w:p>
    <w:p w14:paraId="3B84652E">
      <w:pPr>
        <w:pStyle w:val="Heading3"/>
        <w:keepNext w:val="1"/>
        <w:keepLines w:val="1"/>
        <w:spacing w:before="100" w:beforeAutospacing="1" w:after="100" w:afterAutospacing="1"/>
        <w:outlineLvl w:val="1"/>
        <w:rPr>
          <w:sz w:val="32"/>
          <w:szCs w:val="32"/>
        </w:rPr>
      </w:pPr>
      <w:r>
        <w:rPr>
          <w:rFonts w:hint="eastAsia"/>
          <w:b w:val="1"/>
          <w:sz w:val="32"/>
        </w:rPr>
        <w:t>4.1 测试环境与测试方法</w:t>
      </w:r>
    </w:p>
    <w:p w14:paraId="07FBF267">
      <w:r>
        <w:rPr>
          <w:rFonts w:hint="eastAsia"/>
        </w:rPr>
        <w:t>本系统测试覆盖单元测试、组件测试、接口测试与浏览器验收四个层次。测试环境如表 4.1 所示。</w:t>
      </w:r>
    </w:p>
    <w:p w14:paraId="5212E0B2">
      <w:pPr>
        <w:jc w:val="center"/>
      </w:pPr>
      <w:r>
        <w:rPr>
          <w:rFonts w:hint="eastAsia"/>
          <w:b w:val="1"/>
        </w:rPr>
        <w:t>表 4.1 测试环境</w:t>
      </w:r>
    </w:p>
    <w:tbl>
      <w:tblPr>
        <w:tblW w:w="0" w:type="auto"/>
        <w:tblBorders>
          <w:top w:val="single" w:sz="8"/>
          <w:left w:val="single" w:sz="8"/>
          <w:bottom w:val="single" w:sz="8"/>
          <w:right w:val="single" w:sz="8"/>
        </w:tblBorders>
        <w:tblLayout w:type="autofit"/>
        <w:tblCellMar>
          <w:top w:w="15" w:type="dxa"/>
          <w:left w:w="15" w:type="dxa"/>
          <w:bottom w:w="15" w:type="dxa"/>
          <w:right w:w="15" w:type="dxa"/>
        </w:tblCellMar>
      </w:tblPr>
      <w:tblGrid>
        <w:gridCol w:w="4153"/>
        <w:gridCol w:w="4153"/>
      </w:tblGrid>
      <w:tr>
        <w:trPr/>
        <w:tc>
          <w:tcPr>
            <w:tcW w:w="4153" w:type="dxa"/>
          </w:tcPr>
          <w:p w14:paraId="4932928C">
            <w:r>
              <w:rPr>
                <w:rFonts w:hint="eastAsia"/>
                <w:b w:val="1"/>
              </w:rPr>
              <w:t>项目</w:t>
            </w:r>
          </w:p>
        </w:tc>
        <w:tc>
          <w:tcPr>
            <w:tcW w:w="4153" w:type="dxa"/>
          </w:tcPr>
          <w:p w14:paraId="41A93D8E">
            <w:r>
              <w:rPr>
                <w:rFonts w:hint="eastAsia"/>
                <w:b w:val="1"/>
              </w:rPr>
              <w:t>环境</w:t>
            </w:r>
          </w:p>
        </w:tc>
      </w:tr>
      <w:tr>
        <w:trPr/>
        <w:tc>
          <w:tcPr>
            <w:tcW w:w="4153" w:type="dxa"/>
          </w:tcPr>
          <w:p w14:paraId="1529051B">
            <w:r>
              <w:rPr>
                <w:rFonts w:hint="eastAsia"/>
              </w:rPr>
              <w:t>操作系统</w:t>
            </w:r>
          </w:p>
        </w:tc>
        <w:tc>
          <w:tcPr>
            <w:tcW w:w="4153" w:type="dxa"/>
          </w:tcPr>
          <w:p w14:paraId="38CD7FDB">
            <w:r>
              <w:rPr>
                <w:rFonts w:hint="eastAsia"/>
              </w:rPr>
              <w:t>Windows 11（开发）、Ubuntu 22.04（部署）</w:t>
            </w:r>
          </w:p>
        </w:tc>
      </w:tr>
      <w:tr>
        <w:trPr/>
        <w:tc>
          <w:tcPr>
            <w:tcW w:w="4153" w:type="dxa"/>
          </w:tcPr>
          <w:p w14:paraId="08E90047">
            <w:r>
              <w:rPr>
                <w:rFonts w:hint="eastAsia"/>
              </w:rPr>
              <w:t>后端运行环境</w:t>
            </w:r>
          </w:p>
        </w:tc>
        <w:tc>
          <w:tcPr>
            <w:tcW w:w="4153" w:type="dxa"/>
          </w:tcPr>
          <w:p w14:paraId="48202284">
            <w:r>
              <w:rPr>
                <w:rFonts w:hint="eastAsia"/>
              </w:rPr>
              <w:t>JDK 17、Spring Boot 3.2.5 内置 Tomcat</w:t>
            </w:r>
          </w:p>
        </w:tc>
      </w:tr>
      <w:tr>
        <w:trPr/>
        <w:tc>
          <w:tcPr>
            <w:tcW w:w="4153" w:type="dxa"/>
          </w:tcPr>
          <w:p w14:paraId="03D9048B">
            <w:r>
              <w:rPr>
                <w:rFonts w:hint="eastAsia"/>
              </w:rPr>
              <w:t>数据库</w:t>
            </w:r>
          </w:p>
        </w:tc>
        <w:tc>
          <w:tcPr>
            <w:tcW w:w="4153" w:type="dxa"/>
          </w:tcPr>
          <w:p w14:paraId="37849337">
            <w:r>
              <w:rPr>
                <w:rFonts w:hint="eastAsia"/>
              </w:rPr>
              <w:t>MySQL 8.0（生产）；H2（测试内存库）</w:t>
            </w:r>
          </w:p>
        </w:tc>
      </w:tr>
      <w:tr>
        <w:trPr/>
        <w:tc>
          <w:tcPr>
            <w:tcW w:w="4153" w:type="dxa"/>
          </w:tcPr>
          <w:p w14:paraId="08AECCF5">
            <w:r>
              <w:rPr>
                <w:rFonts w:hint="eastAsia"/>
              </w:rPr>
              <w:t>前端</w:t>
            </w:r>
          </w:p>
        </w:tc>
        <w:tc>
          <w:tcPr>
            <w:tcW w:w="4153" w:type="dxa"/>
          </w:tcPr>
          <w:p w14:paraId="4AD919D0">
            <w:r>
              <w:rPr>
                <w:rFonts w:hint="eastAsia"/>
              </w:rPr>
              <w:t>Node.js 22、Vite 5</w:t>
            </w:r>
          </w:p>
        </w:tc>
      </w:tr>
      <w:tr>
        <w:trPr/>
        <w:tc>
          <w:tcPr>
            <w:tcW w:w="4153" w:type="dxa"/>
          </w:tcPr>
          <w:p w14:paraId="5AAB4127">
            <w:r>
              <w:rPr>
                <w:rFonts w:hint="eastAsia"/>
              </w:rPr>
              <w:t>单元测试框架</w:t>
            </w:r>
          </w:p>
        </w:tc>
        <w:tc>
          <w:tcPr>
            <w:tcW w:w="4153" w:type="dxa"/>
          </w:tcPr>
          <w:p w14:paraId="0FA9154A">
            <w:r>
              <w:rPr>
                <w:rFonts w:hint="eastAsia"/>
              </w:rPr>
              <w:t>JUnit 5 + Mockito + AssertJ（后端）；Vitest + Vue Test Utils（前端）</w:t>
            </w:r>
          </w:p>
        </w:tc>
      </w:tr>
    </w:tbl>
    <w:p w14:paraId="63FB966B">
      <w:r>
        <w:rPr>
          <w:rFonts w:hint="eastAsia"/>
        </w:rPr>
        <w:t>系统采用分层测试策略：后端对 20 个核心业务 Service 类实现全覆盖的 Mockito 单元测试，并引入 H2 内存数据库执行 Spring 上下文加载冒烟测试；管理后台对各页面组件与纯逻辑模块（排课拖拽逻辑、流失预警面板等）进行组件测试；移动端对报名决策快照等核心纯逻辑进行单元测试；此外通过自动化接口测试覆盖五类角色的授权端点与越权拒绝场景，并通过浏览器自动化执行主要业务流验收。</w:t>
      </w:r>
    </w:p>
    <w:p w14:paraId="30601884">
      <w:pPr>
        <w:pStyle w:val="Heading3"/>
        <w:keepNext w:val="1"/>
        <w:keepLines w:val="1"/>
        <w:spacing w:before="100" w:beforeAutospacing="1" w:after="100" w:afterAutospacing="1"/>
        <w:outlineLvl w:val="1"/>
        <w:rPr>
          <w:sz w:val="32"/>
          <w:szCs w:val="32"/>
        </w:rPr>
      </w:pPr>
      <w:r>
        <w:rPr>
          <w:rFonts w:hint="eastAsia"/>
          <w:b w:val="1"/>
          <w:sz w:val="32"/>
        </w:rPr>
        <w:t>4.2 系统功能测试</w:t>
      </w:r>
    </w:p>
    <w:p w14:paraId="4F56E04A">
      <w:r>
        <w:rPr>
          <w:rFonts w:hint="eastAsia"/>
        </w:rPr>
        <w:t>针对各业务模块设计功能测试用例，选取代表性用例如表 4.2 至表 4.5 所示。</w:t>
      </w:r>
    </w:p>
    <w:p w14:paraId="2E8490AA">
      <w:pPr>
        <w:jc w:val="center"/>
      </w:pPr>
      <w:r>
        <w:rPr>
          <w:rFonts w:hint="eastAsia"/>
          <w:b w:val="1"/>
        </w:rPr>
        <w:t>表 4.2 报名与缴费功能测试用例</w:t>
      </w:r>
    </w:p>
    <w:tbl>
      <w:tblPr>
        <w:tblW w:w="0" w:type="auto"/>
        <w:tblBorders>
          <w:top w:val="single" w:sz="8"/>
          <w:left w:val="single" w:sz="8"/>
          <w:bottom w:val="single" w:sz="8"/>
          <w:right w:val="single" w:sz="8"/>
        </w:tblBorders>
        <w:tblLayout w:type="autofit"/>
        <w:tblCellMar>
          <w:top w:w="15" w:type="dxa"/>
          <w:left w:w="15" w:type="dxa"/>
          <w:bottom w:w="15" w:type="dxa"/>
          <w:right w:w="15" w:type="dxa"/>
        </w:tblCellMar>
      </w:tblPr>
      <w:tblGrid>
        <w:gridCol w:w="2076"/>
        <w:gridCol w:w="2076"/>
        <w:gridCol w:w="2076"/>
        <w:gridCol w:w="2076"/>
      </w:tblGrid>
      <w:tr>
        <w:trPr/>
        <w:tc>
          <w:tcPr>
            <w:tcW w:w="2076" w:type="dxa"/>
          </w:tcPr>
          <w:p w14:paraId="27A002E4">
            <w:r>
              <w:rPr>
                <w:rFonts w:hint="eastAsia"/>
                <w:b w:val="1"/>
              </w:rPr>
              <w:t>编号</w:t>
            </w:r>
          </w:p>
        </w:tc>
        <w:tc>
          <w:tcPr>
            <w:tcW w:w="2076" w:type="dxa"/>
          </w:tcPr>
          <w:p w14:paraId="1D6B6265">
            <w:r>
              <w:rPr>
                <w:rFonts w:hint="eastAsia"/>
                <w:b w:val="1"/>
              </w:rPr>
              <w:t>测试内容</w:t>
            </w:r>
          </w:p>
        </w:tc>
        <w:tc>
          <w:tcPr>
            <w:tcW w:w="2076" w:type="dxa"/>
          </w:tcPr>
          <w:p w14:paraId="28EB2310">
            <w:r>
              <w:rPr>
                <w:rFonts w:hint="eastAsia"/>
                <w:b w:val="1"/>
              </w:rPr>
              <w:t>输入/操作</w:t>
            </w:r>
          </w:p>
        </w:tc>
        <w:tc>
          <w:tcPr>
            <w:tcW w:w="2076" w:type="dxa"/>
          </w:tcPr>
          <w:p w14:paraId="6592C80F">
            <w:r>
              <w:rPr>
                <w:rFonts w:hint="eastAsia"/>
                <w:b w:val="1"/>
              </w:rPr>
              <w:t>预期结果</w:t>
            </w:r>
          </w:p>
        </w:tc>
      </w:tr>
      <w:tr>
        <w:trPr/>
        <w:tc>
          <w:tcPr>
            <w:tcW w:w="2076" w:type="dxa"/>
          </w:tcPr>
          <w:p w14:paraId="53449302">
            <w:r>
              <w:t>T01</w:t>
            </w:r>
          </w:p>
        </w:tc>
        <w:tc>
          <w:tcPr>
            <w:tcW w:w="2076" w:type="dxa"/>
          </w:tcPr>
          <w:p w14:paraId="08059215">
            <w:r>
              <w:rPr>
                <w:rFonts w:hint="eastAsia"/>
              </w:rPr>
              <w:t>正常报名</w:t>
            </w:r>
          </w:p>
        </w:tc>
        <w:tc>
          <w:tcPr>
            <w:tcW w:w="2076" w:type="dxa"/>
          </w:tcPr>
          <w:p w14:paraId="554C91A2">
            <w:r>
              <w:rPr>
                <w:rFonts w:hint="eastAsia"/>
              </w:rPr>
              <w:t>家长选择课程与班级提交报名</w:t>
            </w:r>
          </w:p>
        </w:tc>
        <w:tc>
          <w:tcPr>
            <w:tcW w:w="2076" w:type="dxa"/>
          </w:tcPr>
          <w:p w14:paraId="5E07745A">
            <w:r>
              <w:rPr>
                <w:rFonts w:hint="eastAsia"/>
              </w:rPr>
              <w:t>报名成功，状态为待审核</w:t>
            </w:r>
          </w:p>
        </w:tc>
      </w:tr>
      <w:tr>
        <w:trPr/>
        <w:tc>
          <w:tcPr>
            <w:tcW w:w="2076" w:type="dxa"/>
          </w:tcPr>
          <w:p w14:paraId="0B76C6C1">
            <w:r>
              <w:t>T02</w:t>
            </w:r>
          </w:p>
        </w:tc>
        <w:tc>
          <w:tcPr>
            <w:tcW w:w="2076" w:type="dxa"/>
          </w:tcPr>
          <w:p w14:paraId="05059775">
            <w:r>
              <w:rPr>
                <w:rFonts w:hint="eastAsia"/>
              </w:rPr>
              <w:t>时间冲突报名</w:t>
            </w:r>
          </w:p>
        </w:tc>
        <w:tc>
          <w:tcPr>
            <w:tcW w:w="2076" w:type="dxa"/>
          </w:tcPr>
          <w:p w14:paraId="07EB6F7D">
            <w:r>
              <w:rPr>
                <w:rFonts w:hint="eastAsia"/>
              </w:rPr>
              <w:t>学员所选班级与已有课次时间冲突</w:t>
            </w:r>
          </w:p>
        </w:tc>
        <w:tc>
          <w:tcPr>
            <w:tcW w:w="2076" w:type="dxa"/>
          </w:tcPr>
          <w:p w14:paraId="6EFB3E07">
            <w:r>
              <w:rPr>
                <w:rFonts w:hint="eastAsia"/>
              </w:rPr>
              <w:t>报名被拦截，提示冲突原因</w:t>
            </w:r>
          </w:p>
        </w:tc>
      </w:tr>
      <w:tr>
        <w:trPr/>
        <w:tc>
          <w:tcPr>
            <w:tcW w:w="2076" w:type="dxa"/>
          </w:tcPr>
          <w:p w14:paraId="5B12B104">
            <w:r>
              <w:t>T03</w:t>
            </w:r>
          </w:p>
        </w:tc>
        <w:tc>
          <w:tcPr>
            <w:tcW w:w="2076" w:type="dxa"/>
          </w:tcPr>
          <w:p w14:paraId="10459C0D">
            <w:r>
              <w:rPr>
                <w:rFonts w:hint="eastAsia"/>
              </w:rPr>
              <w:t>审核通过</w:t>
            </w:r>
          </w:p>
        </w:tc>
        <w:tc>
          <w:tcPr>
            <w:tcW w:w="2076" w:type="dxa"/>
          </w:tcPr>
          <w:p w14:paraId="7F448AE2">
            <w:r>
              <w:rPr>
                <w:rFonts w:hint="eastAsia"/>
              </w:rPr>
              <w:t>教务对待审核报名审核通过</w:t>
            </w:r>
          </w:p>
        </w:tc>
        <w:tc>
          <w:tcPr>
            <w:tcW w:w="2076" w:type="dxa"/>
          </w:tcPr>
          <w:p w14:paraId="4F2FF370">
            <w:r>
              <w:rPr>
                <w:rFonts w:hint="eastAsia"/>
              </w:rPr>
              <w:t>状态变为已通过</w:t>
            </w:r>
          </w:p>
        </w:tc>
      </w:tr>
      <w:tr>
        <w:trPr/>
        <w:tc>
          <w:tcPr>
            <w:tcW w:w="2076" w:type="dxa"/>
          </w:tcPr>
          <w:p w14:paraId="05FE53CB">
            <w:r>
              <w:t>T04</w:t>
            </w:r>
          </w:p>
        </w:tc>
        <w:tc>
          <w:tcPr>
            <w:tcW w:w="2076" w:type="dxa"/>
          </w:tcPr>
          <w:p w14:paraId="15E00B5F">
            <w:r>
              <w:rPr>
                <w:rFonts w:hint="eastAsia"/>
              </w:rPr>
              <w:t>缴费与课时到账</w:t>
            </w:r>
          </w:p>
        </w:tc>
        <w:tc>
          <w:tcPr>
            <w:tcW w:w="2076" w:type="dxa"/>
          </w:tcPr>
          <w:p w14:paraId="06392AD3">
            <w:r>
              <w:rPr>
                <w:rFonts w:hint="eastAsia"/>
              </w:rPr>
              <w:t>家长完成缴费</w:t>
            </w:r>
          </w:p>
        </w:tc>
        <w:tc>
          <w:tcPr>
            <w:tcW w:w="2076" w:type="dxa"/>
          </w:tcPr>
          <w:p w14:paraId="4CF2423A">
            <w:r>
              <w:rPr>
                <w:rFonts w:hint="eastAsia"/>
              </w:rPr>
              <w:t>生成缴费记录，课时账户到账</w:t>
            </w:r>
          </w:p>
        </w:tc>
      </w:tr>
      <w:tr>
        <w:trPr/>
        <w:tc>
          <w:tcPr>
            <w:tcW w:w="2076" w:type="dxa"/>
          </w:tcPr>
          <w:p w14:paraId="39AB191D">
            <w:r>
              <w:t>T05</w:t>
            </w:r>
          </w:p>
        </w:tc>
        <w:tc>
          <w:tcPr>
            <w:tcW w:w="2076" w:type="dxa"/>
          </w:tcPr>
          <w:p w14:paraId="76200C7C">
            <w:r>
              <w:rPr>
                <w:rFonts w:hint="eastAsia"/>
              </w:rPr>
              <w:t>退费审核</w:t>
            </w:r>
          </w:p>
        </w:tc>
        <w:tc>
          <w:tcPr>
            <w:tcW w:w="2076" w:type="dxa"/>
          </w:tcPr>
          <w:p w14:paraId="7F79D6B0">
            <w:r>
              <w:rPr>
                <w:rFonts w:hint="eastAsia"/>
              </w:rPr>
              <w:t>财务审核通过待审核退费</w:t>
            </w:r>
          </w:p>
        </w:tc>
        <w:tc>
          <w:tcPr>
            <w:tcW w:w="2076" w:type="dxa"/>
          </w:tcPr>
          <w:p w14:paraId="1BFF17B8">
            <w:r>
              <w:rPr>
                <w:rFonts w:hint="eastAsia"/>
              </w:rPr>
              <w:t>退费成功且不产生重复待审记录</w:t>
            </w:r>
          </w:p>
        </w:tc>
      </w:tr>
    </w:tbl>
    <w:p w14:paraId="1C991D78">
      <w:pPr>
        <w:jc w:val="center"/>
      </w:pPr>
      <w:r>
        <w:rPr>
          <w:rFonts w:hint="eastAsia"/>
          <w:b w:val="1"/>
        </w:rPr>
        <w:t>表 4.3 排课与调课功能测试用例</w:t>
      </w:r>
    </w:p>
    <w:tbl>
      <w:tblPr>
        <w:tblW w:w="0" w:type="auto"/>
        <w:tblBorders>
          <w:top w:val="single" w:sz="8"/>
          <w:left w:val="single" w:sz="8"/>
          <w:bottom w:val="single" w:sz="8"/>
          <w:right w:val="single" w:sz="8"/>
        </w:tblBorders>
        <w:tblLayout w:type="autofit"/>
        <w:tblCellMar>
          <w:top w:w="15" w:type="dxa"/>
          <w:left w:w="15" w:type="dxa"/>
          <w:bottom w:w="15" w:type="dxa"/>
          <w:right w:w="15" w:type="dxa"/>
        </w:tblCellMar>
      </w:tblPr>
      <w:tblGrid>
        <w:gridCol w:w="2076"/>
        <w:gridCol w:w="2076"/>
        <w:gridCol w:w="2076"/>
        <w:gridCol w:w="2076"/>
      </w:tblGrid>
      <w:tr>
        <w:trPr/>
        <w:tc>
          <w:tcPr>
            <w:tcW w:w="2076" w:type="dxa"/>
          </w:tcPr>
          <w:p w14:paraId="1775B9B2">
            <w:r>
              <w:rPr>
                <w:rFonts w:hint="eastAsia"/>
                <w:b w:val="1"/>
              </w:rPr>
              <w:t>编号</w:t>
            </w:r>
          </w:p>
        </w:tc>
        <w:tc>
          <w:tcPr>
            <w:tcW w:w="2076" w:type="dxa"/>
          </w:tcPr>
          <w:p w14:paraId="42C581D8">
            <w:r>
              <w:rPr>
                <w:rFonts w:hint="eastAsia"/>
                <w:b w:val="1"/>
              </w:rPr>
              <w:t>测试内容</w:t>
            </w:r>
          </w:p>
        </w:tc>
        <w:tc>
          <w:tcPr>
            <w:tcW w:w="2076" w:type="dxa"/>
          </w:tcPr>
          <w:p w14:paraId="1E4C816E">
            <w:r>
              <w:rPr>
                <w:rFonts w:hint="eastAsia"/>
                <w:b w:val="1"/>
              </w:rPr>
              <w:t>输入/操作</w:t>
            </w:r>
          </w:p>
        </w:tc>
        <w:tc>
          <w:tcPr>
            <w:tcW w:w="2076" w:type="dxa"/>
          </w:tcPr>
          <w:p w14:paraId="559B64EB">
            <w:r>
              <w:rPr>
                <w:rFonts w:hint="eastAsia"/>
                <w:b w:val="1"/>
              </w:rPr>
              <w:t>预期结果</w:t>
            </w:r>
          </w:p>
        </w:tc>
      </w:tr>
      <w:tr>
        <w:trPr/>
        <w:tc>
          <w:tcPr>
            <w:tcW w:w="2076" w:type="dxa"/>
          </w:tcPr>
          <w:p w14:paraId="00F3CB35">
            <w:r>
              <w:t>T06</w:t>
            </w:r>
          </w:p>
        </w:tc>
        <w:tc>
          <w:tcPr>
            <w:tcW w:w="2076" w:type="dxa"/>
          </w:tcPr>
          <w:p w14:paraId="7E3B1206">
            <w:r>
              <w:rPr>
                <w:rFonts w:hint="eastAsia"/>
              </w:rPr>
              <w:t>批量排课</w:t>
            </w:r>
          </w:p>
        </w:tc>
        <w:tc>
          <w:tcPr>
            <w:tcW w:w="2076" w:type="dxa"/>
          </w:tcPr>
          <w:p w14:paraId="46E0146E">
            <w:r>
              <w:rPr>
                <w:rFonts w:hint="eastAsia"/>
              </w:rPr>
              <w:t>按班级频次批量生成课次</w:t>
            </w:r>
          </w:p>
        </w:tc>
        <w:tc>
          <w:tcPr>
            <w:tcW w:w="2076" w:type="dxa"/>
          </w:tcPr>
          <w:p w14:paraId="370CAAE3">
            <w:r>
              <w:rPr>
                <w:rFonts w:hint="eastAsia"/>
              </w:rPr>
              <w:t>课次批量创建成功</w:t>
            </w:r>
          </w:p>
        </w:tc>
      </w:tr>
      <w:tr>
        <w:trPr/>
        <w:tc>
          <w:tcPr>
            <w:tcW w:w="2076" w:type="dxa"/>
          </w:tcPr>
          <w:p w14:paraId="625E5456">
            <w:r>
              <w:t>T07</w:t>
            </w:r>
          </w:p>
        </w:tc>
        <w:tc>
          <w:tcPr>
            <w:tcW w:w="2076" w:type="dxa"/>
          </w:tcPr>
          <w:p w14:paraId="59EF11B5">
            <w:r>
              <w:rPr>
                <w:rFonts w:hint="eastAsia"/>
              </w:rPr>
              <w:t>冲突检测</w:t>
            </w:r>
          </w:p>
        </w:tc>
        <w:tc>
          <w:tcPr>
            <w:tcW w:w="2076" w:type="dxa"/>
          </w:tcPr>
          <w:p w14:paraId="450D693D">
            <w:r>
              <w:rPr>
                <w:rFonts w:hint="eastAsia"/>
              </w:rPr>
              <w:t>构造教师/教室/班级冲突课次</w:t>
            </w:r>
          </w:p>
        </w:tc>
        <w:tc>
          <w:tcPr>
            <w:tcW w:w="2076" w:type="dxa"/>
          </w:tcPr>
          <w:p w14:paraId="2B594425">
            <w:r>
              <w:rPr>
                <w:rFonts w:hint="eastAsia"/>
              </w:rPr>
              <w:t>返回具体冲突原因</w:t>
            </w:r>
          </w:p>
        </w:tc>
      </w:tr>
      <w:tr>
        <w:trPr/>
        <w:tc>
          <w:tcPr>
            <w:tcW w:w="2076" w:type="dxa"/>
          </w:tcPr>
          <w:p w14:paraId="66F2E724">
            <w:r>
              <w:t>T08</w:t>
            </w:r>
          </w:p>
        </w:tc>
        <w:tc>
          <w:tcPr>
            <w:tcW w:w="2076" w:type="dxa"/>
          </w:tcPr>
          <w:p w14:paraId="102B4730">
            <w:r>
              <w:rPr>
                <w:rFonts w:hint="eastAsia"/>
              </w:rPr>
              <w:t>拖拽快速调课</w:t>
            </w:r>
          </w:p>
        </w:tc>
        <w:tc>
          <w:tcPr>
            <w:tcW w:w="2076" w:type="dxa"/>
          </w:tcPr>
          <w:p w14:paraId="3DA91508">
            <w:r>
              <w:rPr>
                <w:rFonts w:hint="eastAsia"/>
              </w:rPr>
              <w:t>拖拽待上课课次到新时段并确认</w:t>
            </w:r>
          </w:p>
        </w:tc>
        <w:tc>
          <w:tcPr>
            <w:tcW w:w="2076" w:type="dxa"/>
          </w:tcPr>
          <w:p w14:paraId="1D96A43C">
            <w:r>
              <w:rPr>
                <w:rFonts w:hint="eastAsia"/>
              </w:rPr>
              <w:t>课次时间更新，家长与教师收到通知</w:t>
            </w:r>
          </w:p>
        </w:tc>
      </w:tr>
      <w:tr>
        <w:trPr/>
        <w:tc>
          <w:tcPr>
            <w:tcW w:w="2076" w:type="dxa"/>
          </w:tcPr>
          <w:p w14:paraId="4B44995F">
            <w:r>
              <w:t>T09</w:t>
            </w:r>
          </w:p>
        </w:tc>
        <w:tc>
          <w:tcPr>
            <w:tcW w:w="2076" w:type="dxa"/>
          </w:tcPr>
          <w:p w14:paraId="7AB79ADB">
            <w:r>
              <w:rPr>
                <w:rFonts w:hint="eastAsia"/>
              </w:rPr>
              <w:t>并发快速调课</w:t>
            </w:r>
          </w:p>
        </w:tc>
        <w:tc>
          <w:tcPr>
            <w:tcW w:w="2076" w:type="dxa"/>
          </w:tcPr>
          <w:p w14:paraId="4DCC9BD5">
            <w:r>
              <w:rPr>
                <w:rFonts w:hint="eastAsia"/>
              </w:rPr>
              <w:t>两名教务同时拖同一课次</w:t>
            </w:r>
          </w:p>
        </w:tc>
        <w:tc>
          <w:tcPr>
            <w:tcW w:w="2076" w:type="dxa"/>
          </w:tcPr>
          <w:p w14:paraId="618CB11C">
            <w:r>
              <w:rPr>
                <w:rFonts w:hint="eastAsia"/>
              </w:rPr>
              <w:t>后提交方返回冲突提示，不覆盖先提交方</w:t>
            </w:r>
          </w:p>
        </w:tc>
      </w:tr>
      <w:tr>
        <w:trPr/>
        <w:tc>
          <w:tcPr>
            <w:tcW w:w="2076" w:type="dxa"/>
          </w:tcPr>
          <w:p w14:paraId="5F322A75">
            <w:r>
              <w:t>T10</w:t>
            </w:r>
          </w:p>
        </w:tc>
        <w:tc>
          <w:tcPr>
            <w:tcW w:w="2076" w:type="dxa"/>
          </w:tcPr>
          <w:p w14:paraId="0AEB0506">
            <w:r>
              <w:rPr>
                <w:rFonts w:hint="eastAsia"/>
              </w:rPr>
              <w:t>非法调课</w:t>
            </w:r>
          </w:p>
        </w:tc>
        <w:tc>
          <w:tcPr>
            <w:tcW w:w="2076" w:type="dxa"/>
          </w:tcPr>
          <w:p w14:paraId="1DE0609E">
            <w:r>
              <w:rPr>
                <w:rFonts w:hint="eastAsia"/>
              </w:rPr>
              <w:t>拖拽已开始/已完成课次</w:t>
            </w:r>
          </w:p>
        </w:tc>
        <w:tc>
          <w:tcPr>
            <w:tcW w:w="2076" w:type="dxa"/>
          </w:tcPr>
          <w:p w14:paraId="431D7CA3">
            <w:r>
              <w:rPr>
                <w:rFonts w:hint="eastAsia"/>
              </w:rPr>
              <w:t>被拒绝并提示原因</w:t>
            </w:r>
          </w:p>
        </w:tc>
      </w:tr>
    </w:tbl>
    <w:p w14:paraId="44877741">
      <w:pPr>
        <w:jc w:val="center"/>
      </w:pPr>
      <w:r>
        <w:rPr>
          <w:rFonts w:hint="eastAsia"/>
          <w:b w:val="1"/>
        </w:rPr>
        <w:t>表 4.4 考勤与课时功能测试用例</w:t>
      </w:r>
    </w:p>
    <w:tbl>
      <w:tblPr>
        <w:tblW w:w="0" w:type="auto"/>
        <w:tblBorders>
          <w:top w:val="single" w:sz="8"/>
          <w:left w:val="single" w:sz="8"/>
          <w:bottom w:val="single" w:sz="8"/>
          <w:right w:val="single" w:sz="8"/>
        </w:tblBorders>
        <w:tblLayout w:type="autofit"/>
        <w:tblCellMar>
          <w:top w:w="15" w:type="dxa"/>
          <w:left w:w="15" w:type="dxa"/>
          <w:bottom w:w="15" w:type="dxa"/>
          <w:right w:w="15" w:type="dxa"/>
        </w:tblCellMar>
      </w:tblPr>
      <w:tblGrid>
        <w:gridCol w:w="2076"/>
        <w:gridCol w:w="2076"/>
        <w:gridCol w:w="2076"/>
        <w:gridCol w:w="2076"/>
      </w:tblGrid>
      <w:tr>
        <w:trPr/>
        <w:tc>
          <w:tcPr>
            <w:tcW w:w="2076" w:type="dxa"/>
          </w:tcPr>
          <w:p w14:paraId="7C6024BF">
            <w:r>
              <w:rPr>
                <w:rFonts w:hint="eastAsia"/>
                <w:b w:val="1"/>
              </w:rPr>
              <w:t>编号</w:t>
            </w:r>
          </w:p>
        </w:tc>
        <w:tc>
          <w:tcPr>
            <w:tcW w:w="2076" w:type="dxa"/>
          </w:tcPr>
          <w:p w14:paraId="2AE958D0">
            <w:r>
              <w:rPr>
                <w:rFonts w:hint="eastAsia"/>
                <w:b w:val="1"/>
              </w:rPr>
              <w:t>测试内容</w:t>
            </w:r>
          </w:p>
        </w:tc>
        <w:tc>
          <w:tcPr>
            <w:tcW w:w="2076" w:type="dxa"/>
          </w:tcPr>
          <w:p w14:paraId="4769C965">
            <w:r>
              <w:rPr>
                <w:rFonts w:hint="eastAsia"/>
                <w:b w:val="1"/>
              </w:rPr>
              <w:t>输入/操作</w:t>
            </w:r>
          </w:p>
        </w:tc>
        <w:tc>
          <w:tcPr>
            <w:tcW w:w="2076" w:type="dxa"/>
          </w:tcPr>
          <w:p w14:paraId="3DB29DE4">
            <w:r>
              <w:rPr>
                <w:rFonts w:hint="eastAsia"/>
                <w:b w:val="1"/>
              </w:rPr>
              <w:t>预期结果</w:t>
            </w:r>
          </w:p>
        </w:tc>
      </w:tr>
      <w:tr>
        <w:trPr/>
        <w:tc>
          <w:tcPr>
            <w:tcW w:w="2076" w:type="dxa"/>
          </w:tcPr>
          <w:p w14:paraId="68CCAD33">
            <w:r>
              <w:t>T11</w:t>
            </w:r>
          </w:p>
        </w:tc>
        <w:tc>
          <w:tcPr>
            <w:tcW w:w="2076" w:type="dxa"/>
          </w:tcPr>
          <w:p w14:paraId="271BB81E">
            <w:r>
              <w:rPr>
                <w:rFonts w:hint="eastAsia"/>
              </w:rPr>
              <w:t>到课扣减</w:t>
            </w:r>
          </w:p>
        </w:tc>
        <w:tc>
          <w:tcPr>
            <w:tcW w:w="2076" w:type="dxa"/>
          </w:tcPr>
          <w:p w14:paraId="51C47C02">
            <w:r>
              <w:rPr>
                <w:rFonts w:hint="eastAsia"/>
              </w:rPr>
              <w:t>学员标记到课</w:t>
            </w:r>
          </w:p>
        </w:tc>
        <w:tc>
          <w:tcPr>
            <w:tcW w:w="2076" w:type="dxa"/>
          </w:tcPr>
          <w:p w14:paraId="656903B7">
            <w:r>
              <w:rPr>
                <w:rFonts w:hint="eastAsia"/>
              </w:rPr>
              <w:t>扣减课时并生成流水</w:t>
            </w:r>
          </w:p>
        </w:tc>
      </w:tr>
      <w:tr>
        <w:trPr/>
        <w:tc>
          <w:tcPr>
            <w:tcW w:w="2076" w:type="dxa"/>
          </w:tcPr>
          <w:p w14:paraId="53A1EBA4">
            <w:r>
              <w:t>T12</w:t>
            </w:r>
          </w:p>
        </w:tc>
        <w:tc>
          <w:tcPr>
            <w:tcW w:w="2076" w:type="dxa"/>
          </w:tcPr>
          <w:p w14:paraId="0EA9537A">
            <w:r>
              <w:rPr>
                <w:rFonts w:hint="eastAsia"/>
              </w:rPr>
              <w:t>请假保护</w:t>
            </w:r>
          </w:p>
        </w:tc>
        <w:tc>
          <w:tcPr>
            <w:tcW w:w="2076" w:type="dxa"/>
          </w:tcPr>
          <w:p w14:paraId="77BFF25B">
            <w:r>
              <w:rPr>
                <w:rFonts w:hint="eastAsia"/>
              </w:rPr>
              <w:t>对已批准请假学员标记到课</w:t>
            </w:r>
          </w:p>
        </w:tc>
        <w:tc>
          <w:tcPr>
            <w:tcW w:w="2076" w:type="dxa"/>
          </w:tcPr>
          <w:p w14:paraId="326055B2">
            <w:r>
              <w:rPr>
                <w:rFonts w:hint="eastAsia"/>
              </w:rPr>
              <w:t>被拒绝，提示先撤销请假审批</w:t>
            </w:r>
          </w:p>
        </w:tc>
      </w:tr>
      <w:tr>
        <w:trPr/>
        <w:tc>
          <w:tcPr>
            <w:tcW w:w="2076" w:type="dxa"/>
          </w:tcPr>
          <w:p w14:paraId="68D9D15D">
            <w:r>
              <w:t>T13</w:t>
            </w:r>
          </w:p>
        </w:tc>
        <w:tc>
          <w:tcPr>
            <w:tcW w:w="2076" w:type="dxa"/>
          </w:tcPr>
          <w:p w14:paraId="279274FC">
            <w:r>
              <w:rPr>
                <w:rFonts w:hint="eastAsia"/>
              </w:rPr>
              <w:t>重复考勤</w:t>
            </w:r>
          </w:p>
        </w:tc>
        <w:tc>
          <w:tcPr>
            <w:tcW w:w="2076" w:type="dxa"/>
          </w:tcPr>
          <w:p w14:paraId="0CB3B787">
            <w:r>
              <w:rPr>
                <w:rFonts w:hint="eastAsia"/>
              </w:rPr>
              <w:t>同一学员同一课次重复提交</w:t>
            </w:r>
          </w:p>
        </w:tc>
        <w:tc>
          <w:tcPr>
            <w:tcW w:w="2076" w:type="dxa"/>
          </w:tcPr>
          <w:p w14:paraId="1CA05F1B">
            <w:r>
              <w:rPr>
                <w:rFonts w:hint="eastAsia"/>
              </w:rPr>
              <w:t>不重复扣减课时</w:t>
            </w:r>
          </w:p>
        </w:tc>
      </w:tr>
      <w:tr>
        <w:trPr/>
        <w:tc>
          <w:tcPr>
            <w:tcW w:w="2076" w:type="dxa"/>
          </w:tcPr>
          <w:p w14:paraId="4B7AAE30">
            <w:r>
              <w:t>T14</w:t>
            </w:r>
          </w:p>
        </w:tc>
        <w:tc>
          <w:tcPr>
            <w:tcW w:w="2076" w:type="dxa"/>
          </w:tcPr>
          <w:p w14:paraId="0615B919">
            <w:r>
              <w:rPr>
                <w:rFonts w:hint="eastAsia"/>
              </w:rPr>
              <w:t>迟到扣减</w:t>
            </w:r>
          </w:p>
        </w:tc>
        <w:tc>
          <w:tcPr>
            <w:tcW w:w="2076" w:type="dxa"/>
          </w:tcPr>
          <w:p w14:paraId="30697D5A">
            <w:r>
              <w:rPr>
                <w:rFonts w:hint="eastAsia"/>
              </w:rPr>
              <w:t>学员标记迟到</w:t>
            </w:r>
          </w:p>
        </w:tc>
        <w:tc>
          <w:tcPr>
            <w:tcW w:w="2076" w:type="dxa"/>
          </w:tcPr>
          <w:p w14:paraId="006F15D5">
            <w:r>
              <w:rPr>
                <w:rFonts w:hint="eastAsia"/>
              </w:rPr>
              <w:t>按规则扣减课时</w:t>
            </w:r>
          </w:p>
        </w:tc>
      </w:tr>
    </w:tbl>
    <w:p w14:paraId="27E03352">
      <w:pPr>
        <w:jc w:val="center"/>
      </w:pPr>
      <w:r>
        <w:rPr>
          <w:rFonts w:hint="eastAsia"/>
          <w:b w:val="1"/>
        </w:rPr>
        <w:t>表 4.5 流失预警功能测试用例</w:t>
      </w:r>
    </w:p>
    <w:tbl>
      <w:tblPr>
        <w:tblW w:w="0" w:type="auto"/>
        <w:tblBorders>
          <w:top w:val="single" w:sz="8"/>
          <w:left w:val="single" w:sz="8"/>
          <w:bottom w:val="single" w:sz="8"/>
          <w:right w:val="single" w:sz="8"/>
        </w:tblBorders>
        <w:tblLayout w:type="autofit"/>
        <w:tblCellMar>
          <w:top w:w="15" w:type="dxa"/>
          <w:left w:w="15" w:type="dxa"/>
          <w:bottom w:w="15" w:type="dxa"/>
          <w:right w:w="15" w:type="dxa"/>
        </w:tblCellMar>
      </w:tblPr>
      <w:tblGrid>
        <w:gridCol w:w="2076"/>
        <w:gridCol w:w="2076"/>
        <w:gridCol w:w="2076"/>
        <w:gridCol w:w="2076"/>
      </w:tblGrid>
      <w:tr>
        <w:trPr/>
        <w:tc>
          <w:tcPr>
            <w:tcW w:w="2076" w:type="dxa"/>
          </w:tcPr>
          <w:p w14:paraId="5CCC6358">
            <w:r>
              <w:rPr>
                <w:rFonts w:hint="eastAsia"/>
                <w:b w:val="1"/>
              </w:rPr>
              <w:t>编号</w:t>
            </w:r>
          </w:p>
        </w:tc>
        <w:tc>
          <w:tcPr>
            <w:tcW w:w="2076" w:type="dxa"/>
          </w:tcPr>
          <w:p w14:paraId="161DC3E7">
            <w:r>
              <w:rPr>
                <w:rFonts w:hint="eastAsia"/>
                <w:b w:val="1"/>
              </w:rPr>
              <w:t>测试内容</w:t>
            </w:r>
          </w:p>
        </w:tc>
        <w:tc>
          <w:tcPr>
            <w:tcW w:w="2076" w:type="dxa"/>
          </w:tcPr>
          <w:p w14:paraId="2584CB94">
            <w:r>
              <w:rPr>
                <w:rFonts w:hint="eastAsia"/>
                <w:b w:val="1"/>
              </w:rPr>
              <w:t>输入/操作</w:t>
            </w:r>
          </w:p>
        </w:tc>
        <w:tc>
          <w:tcPr>
            <w:tcW w:w="2076" w:type="dxa"/>
          </w:tcPr>
          <w:p w14:paraId="1EF21ABD">
            <w:r>
              <w:rPr>
                <w:rFonts w:hint="eastAsia"/>
                <w:b w:val="1"/>
              </w:rPr>
              <w:t>预期结果</w:t>
            </w:r>
          </w:p>
        </w:tc>
      </w:tr>
      <w:tr>
        <w:trPr/>
        <w:tc>
          <w:tcPr>
            <w:tcW w:w="2076" w:type="dxa"/>
          </w:tcPr>
          <w:p w14:paraId="482B129E">
            <w:r>
              <w:t>T15</w:t>
            </w:r>
          </w:p>
        </w:tc>
        <w:tc>
          <w:tcPr>
            <w:tcW w:w="2076" w:type="dxa"/>
          </w:tcPr>
          <w:p w14:paraId="67AB110B">
            <w:r>
              <w:rPr>
                <w:rFonts w:hint="eastAsia"/>
              </w:rPr>
              <w:t>五因子评分</w:t>
            </w:r>
          </w:p>
        </w:tc>
        <w:tc>
          <w:tcPr>
            <w:tcW w:w="2076" w:type="dxa"/>
          </w:tcPr>
          <w:p w14:paraId="47B5BE5C">
            <w:r>
              <w:rPr>
                <w:rFonts w:hint="eastAsia"/>
              </w:rPr>
              <w:t>构造示例学员（沉寂 20 天等）</w:t>
            </w:r>
          </w:p>
        </w:tc>
        <w:tc>
          <w:tcPr>
            <w:tcW w:w="2076" w:type="dxa"/>
          </w:tcPr>
          <w:p w14:paraId="7A1F87C4">
            <w:r>
              <w:rPr>
                <w:rFonts w:hint="eastAsia"/>
              </w:rPr>
              <w:t>风险分 68，判为高风险并给出建议动作</w:t>
            </w:r>
          </w:p>
        </w:tc>
      </w:tr>
      <w:tr>
        <w:trPr/>
        <w:tc>
          <w:tcPr>
            <w:tcW w:w="2076" w:type="dxa"/>
          </w:tcPr>
          <w:p w14:paraId="374CA735">
            <w:r>
              <w:t>T16</w:t>
            </w:r>
          </w:p>
        </w:tc>
        <w:tc>
          <w:tcPr>
            <w:tcW w:w="2076" w:type="dxa"/>
          </w:tcPr>
          <w:p w14:paraId="19E048DD">
            <w:r>
              <w:rPr>
                <w:rFonts w:hint="eastAsia"/>
              </w:rPr>
              <w:t>班级无排课防误报</w:t>
            </w:r>
          </w:p>
        </w:tc>
        <w:tc>
          <w:tcPr>
            <w:tcW w:w="2076" w:type="dxa"/>
          </w:tcPr>
          <w:p w14:paraId="671B4D96">
            <w:r>
              <w:rPr>
                <w:rFonts w:hint="eastAsia"/>
              </w:rPr>
              <w:t>学员所在班级近 45 天无排课</w:t>
            </w:r>
          </w:p>
        </w:tc>
        <w:tc>
          <w:tcPr>
            <w:tcW w:w="2076" w:type="dxa"/>
          </w:tcPr>
          <w:p w14:paraId="77138504">
            <w:r>
              <w:rPr>
                <w:rFonts w:hint="eastAsia"/>
              </w:rPr>
              <w:t>沉寂因子不计分</w:t>
            </w:r>
          </w:p>
        </w:tc>
      </w:tr>
      <w:tr>
        <w:trPr/>
        <w:tc>
          <w:tcPr>
            <w:tcW w:w="2076" w:type="dxa"/>
          </w:tcPr>
          <w:p w14:paraId="20C4A80D">
            <w:r>
              <w:t>T17</w:t>
            </w:r>
          </w:p>
        </w:tc>
        <w:tc>
          <w:tcPr>
            <w:tcW w:w="2076" w:type="dxa"/>
          </w:tcPr>
          <w:p w14:paraId="5E12842E">
            <w:r>
              <w:rPr>
                <w:rFonts w:hint="eastAsia"/>
              </w:rPr>
              <w:t>退班学员过滤</w:t>
            </w:r>
          </w:p>
        </w:tc>
        <w:tc>
          <w:tcPr>
            <w:tcW w:w="2076" w:type="dxa"/>
          </w:tcPr>
          <w:p w14:paraId="62CE73F6">
            <w:r>
              <w:rPr>
                <w:rFonts w:hint="eastAsia"/>
              </w:rPr>
              <w:t>已退班学员参与计算</w:t>
            </w:r>
          </w:p>
        </w:tc>
        <w:tc>
          <w:tcPr>
            <w:tcW w:w="2076" w:type="dxa"/>
          </w:tcPr>
          <w:p w14:paraId="54BE8A4A">
            <w:r>
              <w:rPr>
                <w:rFonts w:hint="eastAsia"/>
              </w:rPr>
              <w:t>不出现在预警名单</w:t>
            </w:r>
          </w:p>
        </w:tc>
      </w:tr>
      <w:tr>
        <w:trPr/>
        <w:tc>
          <w:tcPr>
            <w:tcW w:w="2076" w:type="dxa"/>
          </w:tcPr>
          <w:p w14:paraId="0E4FFACD">
            <w:r>
              <w:t>T18</w:t>
            </w:r>
          </w:p>
        </w:tc>
        <w:tc>
          <w:tcPr>
            <w:tcW w:w="2076" w:type="dxa"/>
          </w:tcPr>
          <w:p w14:paraId="7B1F704C">
            <w:r>
              <w:rPr>
                <w:rFonts w:hint="eastAsia"/>
              </w:rPr>
              <w:t>一键触达</w:t>
            </w:r>
          </w:p>
        </w:tc>
        <w:tc>
          <w:tcPr>
            <w:tcW w:w="2076" w:type="dxa"/>
          </w:tcPr>
          <w:p w14:paraId="04C5EDA7">
            <w:r>
              <w:rPr>
                <w:rFonts w:hint="eastAsia"/>
              </w:rPr>
              <w:t>选择多名高风险学员发送提醒</w:t>
            </w:r>
          </w:p>
        </w:tc>
        <w:tc>
          <w:tcPr>
            <w:tcW w:w="2076" w:type="dxa"/>
          </w:tcPr>
          <w:p w14:paraId="641B1C8E">
            <w:r>
              <w:rPr>
                <w:rFonts w:hint="eastAsia"/>
              </w:rPr>
              <w:t>家长收到站内通知且当日不重复发送</w:t>
            </w:r>
          </w:p>
        </w:tc>
      </w:tr>
    </w:tbl>
    <w:p w14:paraId="4F28EF97">
      <w:pPr>
        <w:pStyle w:val="Heading3"/>
        <w:keepNext w:val="1"/>
        <w:keepLines w:val="1"/>
        <w:spacing w:before="100" w:beforeAutospacing="1" w:after="100" w:afterAutospacing="1"/>
        <w:outlineLvl w:val="1"/>
        <w:rPr>
          <w:sz w:val="32"/>
          <w:szCs w:val="32"/>
        </w:rPr>
      </w:pPr>
      <w:r>
        <w:rPr>
          <w:rFonts w:hint="eastAsia"/>
          <w:b w:val="1"/>
          <w:sz w:val="32"/>
        </w:rPr>
        <w:t>4.3 非功能性测试</w:t>
      </w:r>
    </w:p>
    <w:p w14:paraId="36393EF9">
      <w:pPr>
        <w:pStyle w:val="Heading4"/>
        <w:keepNext w:val="1"/>
        <w:keepLines w:val="1"/>
        <w:spacing w:before="100" w:beforeAutospacing="1" w:after="100" w:afterAutospacing="1"/>
        <w:outlineLvl w:val="2"/>
        <w:rPr>
          <w:sz w:val="32"/>
          <w:szCs w:val="32"/>
        </w:rPr>
      </w:pPr>
      <w:r>
        <w:rPr>
          <w:rFonts w:hint="eastAsia"/>
          <w:b w:val="1"/>
          <w:sz w:val="32"/>
        </w:rPr>
        <w:t>4.3.1 并发一致性测试</w:t>
      </w:r>
    </w:p>
    <w:p w14:paraId="6405646F">
      <w:r>
        <w:rPr>
          <w:rFonts w:hint="eastAsia"/>
        </w:rPr>
        <w:t>针对系统核心并发操作设计并发测试，重点验证乐观并发控制的有效性。测试覆盖快速调课"同状态并发编辑"场景（T09）：由于快速调课不翻转状态字段，仅凭状态条件无法拦截同状态并发，系统在乐观更新条件中追加旧时间条件，使并发第二笔更新失败并返回 409。回归测试还捕获更新条件参数，防止将来被改回仅有"id + 状态"的弱并发保护。退费审核、薪资确认/发放/撤销、课时扣减等操作同样以乐观更新行数校验保证并发正确性。</w:t>
      </w:r>
    </w:p>
    <w:p w14:paraId="28606D12">
      <w:pPr>
        <w:pStyle w:val="Heading4"/>
        <w:keepNext w:val="1"/>
        <w:keepLines w:val="1"/>
        <w:spacing w:before="100" w:beforeAutospacing="1" w:after="100" w:afterAutospacing="1"/>
        <w:outlineLvl w:val="2"/>
        <w:rPr>
          <w:sz w:val="32"/>
          <w:szCs w:val="32"/>
        </w:rPr>
      </w:pPr>
      <w:r>
        <w:rPr>
          <w:rFonts w:hint="eastAsia"/>
          <w:b w:val="1"/>
          <w:sz w:val="32"/>
        </w:rPr>
        <w:t>4.3.2 安全测试</w:t>
      </w:r>
    </w:p>
    <w:p w14:paraId="411BCCB4">
      <w:r>
        <w:rPr>
          <w:rFonts w:hint="eastAsia"/>
        </w:rPr>
        <w:t>系统安全性测试覆盖以下方面：其一，越权访问防护——通过自动化接口测试验证五类角色共 32 个授权端点可用、6 类未授权/越权请求被正确拒绝（匿名用户、跨角色访问用户管理/机构配置/操作日志等），角色间数据不可越权访问；其二，身份认证安全——接口统一要求 JWT 令牌，登录失败、令牌过期与用户被禁用场景下均正确拒绝；其三，输入与上传安全——上传文件同时校验扩展名、Content-Type 与文件头魔数签名，防止伪装文件上传；其四，生产配置校验——系统在生产环境启动时校验数据库密码、JWT 密钥强度与 CORS 来源白名单，拒绝默认弱配置启动。</w:t>
      </w:r>
    </w:p>
    <w:p w14:paraId="76BA8E6A">
      <w:pPr>
        <w:pStyle w:val="Heading4"/>
        <w:keepNext w:val="1"/>
        <w:keepLines w:val="1"/>
        <w:spacing w:before="100" w:beforeAutospacing="1" w:after="100" w:afterAutospacing="1"/>
        <w:outlineLvl w:val="2"/>
        <w:rPr>
          <w:sz w:val="32"/>
          <w:szCs w:val="32"/>
        </w:rPr>
      </w:pPr>
      <w:r>
        <w:rPr>
          <w:rFonts w:hint="eastAsia"/>
          <w:b w:val="1"/>
          <w:sz w:val="32"/>
        </w:rPr>
        <w:t>4.3.3 可靠性测试</w:t>
      </w:r>
    </w:p>
    <w:p w14:paraId="3DDAA08A">
      <w:r>
        <w:rPr>
          <w:rFonts w:hint="eastAsia"/>
        </w:rPr>
        <w:t>可靠性方面：其一，数据库结构一致性——引入 Flyway 版本化迁移后，迁移脚本具备幂等性，支持存量数据库平滑升级，并通过高价值数据不变量检查（孤儿收费/退费记录）作为部署硬门禁；其二，数据可恢复性——建立 MySQL 与上传附件的加密备份与恢复演练机制，可验证备份可用；其三，发布可验证性——部署流水线设置后端与前端测试门禁、登录接口冒烟探测与容器健康检查，失败即阻止发布；其四，系统可观测性——提供健康/就绪探针、业务指标与请求关联日志，便于线上问题定位。</w:t>
      </w:r>
    </w:p>
    <w:p w14:paraId="0D2B59FC">
      <w:pPr>
        <w:pStyle w:val="Heading3"/>
        <w:keepNext w:val="1"/>
        <w:keepLines w:val="1"/>
        <w:spacing w:before="100" w:beforeAutospacing="1" w:after="100" w:afterAutospacing="1"/>
        <w:outlineLvl w:val="1"/>
        <w:rPr>
          <w:sz w:val="32"/>
          <w:szCs w:val="32"/>
        </w:rPr>
      </w:pPr>
      <w:r>
        <w:rPr>
          <w:rFonts w:hint="eastAsia"/>
          <w:b w:val="1"/>
          <w:sz w:val="32"/>
        </w:rPr>
        <w:t>4.4 测试结论</w:t>
      </w:r>
    </w:p>
    <w:p w14:paraId="4BFA66D7">
      <w:r>
        <w:rPr>
          <w:rFonts w:hint="eastAsia"/>
        </w:rPr>
        <w:t>系统测试结果汇总如表 4.6 所示。</w:t>
      </w:r>
    </w:p>
    <w:p w14:paraId="44155FCD">
      <w:pPr>
        <w:jc w:val="center"/>
      </w:pPr>
      <w:r>
        <w:rPr>
          <w:rFonts w:hint="eastAsia"/>
          <w:b w:val="1"/>
        </w:rPr>
        <w:t>表 4.6 测试结果汇总</w:t>
      </w:r>
    </w:p>
    <w:tbl>
      <w:tblPr>
        <w:tblW w:w="0" w:type="auto"/>
        <w:tblBorders>
          <w:top w:val="single" w:sz="8"/>
          <w:left w:val="single" w:sz="8"/>
          <w:bottom w:val="single" w:sz="8"/>
          <w:right w:val="single" w:sz="8"/>
        </w:tblBorders>
        <w:tblLayout w:type="autofit"/>
        <w:tblCellMar>
          <w:top w:w="15" w:type="dxa"/>
          <w:left w:w="15" w:type="dxa"/>
          <w:bottom w:w="15" w:type="dxa"/>
          <w:right w:w="15" w:type="dxa"/>
        </w:tblCellMar>
      </w:tblPr>
      <w:tblGrid>
        <w:gridCol w:w="2076"/>
        <w:gridCol w:w="2076"/>
        <w:gridCol w:w="2076"/>
        <w:gridCol w:w="2076"/>
      </w:tblGrid>
      <w:tr>
        <w:trPr/>
        <w:tc>
          <w:tcPr>
            <w:tcW w:w="2076" w:type="dxa"/>
          </w:tcPr>
          <w:p w14:paraId="09C42C4E">
            <w:r>
              <w:rPr>
                <w:rFonts w:hint="eastAsia"/>
                <w:b w:val="1"/>
              </w:rPr>
              <w:t>测试层次</w:t>
            </w:r>
          </w:p>
        </w:tc>
        <w:tc>
          <w:tcPr>
            <w:tcW w:w="2076" w:type="dxa"/>
          </w:tcPr>
          <w:p w14:paraId="32F76E6C">
            <w:r>
              <w:rPr>
                <w:rFonts w:hint="eastAsia"/>
                <w:b w:val="1"/>
              </w:rPr>
              <w:t>范围</w:t>
            </w:r>
          </w:p>
        </w:tc>
        <w:tc>
          <w:tcPr>
            <w:tcW w:w="2076" w:type="dxa"/>
          </w:tcPr>
          <w:p w14:paraId="3B17C8AA">
            <w:r>
              <w:rPr>
                <w:rFonts w:hint="eastAsia"/>
                <w:b w:val="1"/>
              </w:rPr>
              <w:t>数量</w:t>
            </w:r>
          </w:p>
        </w:tc>
        <w:tc>
          <w:tcPr>
            <w:tcW w:w="2076" w:type="dxa"/>
          </w:tcPr>
          <w:p w14:paraId="24364EE0">
            <w:r>
              <w:rPr>
                <w:rFonts w:hint="eastAsia"/>
                <w:b w:val="1"/>
              </w:rPr>
              <w:t>结果</w:t>
            </w:r>
          </w:p>
        </w:tc>
      </w:tr>
      <w:tr>
        <w:trPr/>
        <w:tc>
          <w:tcPr>
            <w:tcW w:w="2076" w:type="dxa"/>
          </w:tcPr>
          <w:p w14:paraId="34BC1612">
            <w:r>
              <w:rPr>
                <w:rFonts w:hint="eastAsia"/>
              </w:rPr>
              <w:t>后端单元测试</w:t>
            </w:r>
          </w:p>
        </w:tc>
        <w:tc>
          <w:tcPr>
            <w:tcW w:w="2076" w:type="dxa"/>
          </w:tcPr>
          <w:p w14:paraId="1D933511">
            <w:r>
              <w:rPr>
                <w:rFonts w:hint="eastAsia"/>
              </w:rPr>
              <w:t>20 个核心业务 Service 全覆盖</w:t>
            </w:r>
          </w:p>
        </w:tc>
        <w:tc>
          <w:tcPr>
            <w:tcW w:w="2076" w:type="dxa"/>
          </w:tcPr>
          <w:p w14:paraId="648B2CB7">
            <w:r>
              <w:t>464</w:t>
            </w:r>
          </w:p>
        </w:tc>
        <w:tc>
          <w:tcPr>
            <w:tcW w:w="2076" w:type="dxa"/>
          </w:tcPr>
          <w:p w14:paraId="29F23A60">
            <w:r>
              <w:rPr>
                <w:rFonts w:hint="eastAsia"/>
              </w:rPr>
              <w:t>全部通过</w:t>
            </w:r>
          </w:p>
        </w:tc>
      </w:tr>
      <w:tr>
        <w:trPr/>
        <w:tc>
          <w:tcPr>
            <w:tcW w:w="2076" w:type="dxa"/>
          </w:tcPr>
          <w:p w14:paraId="655AB83F">
            <w:r>
              <w:rPr>
                <w:rFonts w:hint="eastAsia"/>
              </w:rPr>
              <w:t>管理后台组件测试</w:t>
            </w:r>
          </w:p>
        </w:tc>
        <w:tc>
          <w:tcPr>
            <w:tcW w:w="2076" w:type="dxa"/>
          </w:tcPr>
          <w:p w14:paraId="5351CCC0">
            <w:r>
              <w:rPr>
                <w:rFonts w:hint="eastAsia"/>
              </w:rPr>
              <w:t>26 个测试文件</w:t>
            </w:r>
          </w:p>
        </w:tc>
        <w:tc>
          <w:tcPr>
            <w:tcW w:w="2076" w:type="dxa"/>
          </w:tcPr>
          <w:p w14:paraId="3BA084C8">
            <w:r>
              <w:t>118</w:t>
            </w:r>
          </w:p>
        </w:tc>
        <w:tc>
          <w:tcPr>
            <w:tcW w:w="2076" w:type="dxa"/>
          </w:tcPr>
          <w:p w14:paraId="60FEBA71">
            <w:r>
              <w:rPr>
                <w:rFonts w:hint="eastAsia"/>
              </w:rPr>
              <w:t>全部通过</w:t>
            </w:r>
          </w:p>
        </w:tc>
      </w:tr>
      <w:tr>
        <w:trPr/>
        <w:tc>
          <w:tcPr>
            <w:tcW w:w="2076" w:type="dxa"/>
          </w:tcPr>
          <w:p w14:paraId="5ECFC520">
            <w:r>
              <w:rPr>
                <w:rFonts w:hint="eastAsia"/>
              </w:rPr>
              <w:t>移动端逻辑测试</w:t>
            </w:r>
          </w:p>
        </w:tc>
        <w:tc>
          <w:tcPr>
            <w:tcW w:w="2076" w:type="dxa"/>
          </w:tcPr>
          <w:p w14:paraId="2EC4FC92">
            <w:r>
              <w:rPr>
                <w:rFonts w:hint="eastAsia"/>
              </w:rPr>
              <w:t>报名决策快照等</w:t>
            </w:r>
          </w:p>
        </w:tc>
        <w:tc>
          <w:tcPr>
            <w:tcW w:w="2076" w:type="dxa"/>
          </w:tcPr>
          <w:p w14:paraId="49A08913">
            <w:r>
              <w:t>6</w:t>
            </w:r>
          </w:p>
        </w:tc>
        <w:tc>
          <w:tcPr>
            <w:tcW w:w="2076" w:type="dxa"/>
          </w:tcPr>
          <w:p w14:paraId="3ED9D404">
            <w:r>
              <w:rPr>
                <w:rFonts w:hint="eastAsia"/>
              </w:rPr>
              <w:t>全部通过</w:t>
            </w:r>
          </w:p>
        </w:tc>
      </w:tr>
      <w:tr>
        <w:trPr/>
        <w:tc>
          <w:tcPr>
            <w:tcW w:w="2076" w:type="dxa"/>
          </w:tcPr>
          <w:p w14:paraId="6C52C70B">
            <w:r>
              <w:rPr>
                <w:rFonts w:hint="eastAsia"/>
              </w:rPr>
              <w:t>接口与权限测试</w:t>
            </w:r>
          </w:p>
        </w:tc>
        <w:tc>
          <w:tcPr>
            <w:tcW w:w="2076" w:type="dxa"/>
          </w:tcPr>
          <w:p w14:paraId="7C441F9F">
            <w:r>
              <w:rPr>
                <w:rFonts w:hint="eastAsia"/>
              </w:rPr>
              <w:t>五角色授权矩阵</w:t>
            </w:r>
          </w:p>
        </w:tc>
        <w:tc>
          <w:tcPr>
            <w:tcW w:w="2076" w:type="dxa"/>
          </w:tcPr>
          <w:p w14:paraId="5CB8AE74">
            <w:r>
              <w:rPr>
                <w:rFonts w:hint="eastAsia"/>
              </w:rPr>
              <w:t>38（32 授权 + 6 越权）</w:t>
            </w:r>
          </w:p>
        </w:tc>
        <w:tc>
          <w:tcPr>
            <w:tcW w:w="2076" w:type="dxa"/>
          </w:tcPr>
          <w:p w14:paraId="01619DC3">
            <w:r>
              <w:rPr>
                <w:rFonts w:hint="eastAsia"/>
              </w:rPr>
              <w:t>全部通过</w:t>
            </w:r>
          </w:p>
        </w:tc>
      </w:tr>
      <w:tr>
        <w:trPr/>
        <w:tc>
          <w:tcPr>
            <w:tcW w:w="2076" w:type="dxa"/>
          </w:tcPr>
          <w:p w14:paraId="33A8994F">
            <w:r>
              <w:rPr>
                <w:rFonts w:hint="eastAsia"/>
              </w:rPr>
              <w:t>浏览器验收</w:t>
            </w:r>
          </w:p>
        </w:tc>
        <w:tc>
          <w:tcPr>
            <w:tcW w:w="2076" w:type="dxa"/>
          </w:tcPr>
          <w:p w14:paraId="25CE5D2A">
            <w:r>
              <w:rPr>
                <w:rFonts w:hint="eastAsia"/>
              </w:rPr>
              <w:t>主要业务流程</w:t>
            </w:r>
          </w:p>
        </w:tc>
        <w:tc>
          <w:tcPr>
            <w:tcW w:w="2076" w:type="dxa"/>
          </w:tcPr>
          <w:p w14:paraId="4F375AFA">
            <w:r>
              <w:t>—</w:t>
            </w:r>
          </w:p>
        </w:tc>
        <w:tc>
          <w:tcPr>
            <w:tcW w:w="2076" w:type="dxa"/>
          </w:tcPr>
          <w:p w14:paraId="3D176B96">
            <w:r>
              <w:rPr>
                <w:rFonts w:hint="eastAsia"/>
              </w:rPr>
              <w:t>通过，无阻断问题</w:t>
            </w:r>
          </w:p>
        </w:tc>
      </w:tr>
    </w:tbl>
    <w:p w14:paraId="57216BC3">
      <w:r>
        <w:rPr>
          <w:rFonts w:hint="eastAsia"/>
        </w:rPr>
        <w:t>测试结果表明：系统功能完整覆盖任务书要求，报名审核、排课调课、考勤课时扣减、薪资核算与流失预警等核心业务正确；快速调课、退费、薪资流转等并发路径防护有效；五类角色权限隔离正确，越权访问被拒绝；系统可靠性机制（迁移、备份、发布门禁、可观测性）完备。系统达到可交付运行状态。</w:t>
      </w:r>
    </w:p>
    <w:p w14:paraId="5FBC0A3C">
      <w:pPr>
        <w:pStyle w:val="Heading1"/>
        <w:keepNext w:val="1"/>
        <w:keepLines w:val="1"/>
        <w:spacing w:before="100" w:beforeAutospacing="1" w:after="100" w:afterAutospacing="1"/>
        <w:outlineLvl w:val="0"/>
        <w:rPr>
          <w:kern w:val="44"/>
          <w:sz w:val="44"/>
          <w:szCs w:val="44"/>
        </w:rPr>
      </w:pPr>
      <w:r>
        <w:rPr>
          <w:rFonts w:hint="eastAsia"/>
          <w:b w:val="1"/>
          <w:sz w:val="44"/>
        </w:rPr>
        <w:t>总 结</w:t>
      </w:r>
    </w:p>
    <w:p w14:paraId="1777FFF6">
      <w:r>
        <w:rPr>
          <w:rFonts w:hint="eastAsia"/>
        </w:rPr>
        <w:t>本次课程设计完成了基于 Vue 3 + uni-app + Spring Boot + MySQL 架构的艺术培训机构全流程教务管理平台的设计与实现。系统覆盖招生报名、课程班级、智能排课与调课、课堂考勤、课时自动扣减、收费退费、教师薪资自动核算、学情考级与运营数据统计的完整业务闭环，支持家长、教师、教务、财务与超级管理员五类角色协同工作，满足了艺术培训机构数字化教务管理的实际需求。</w:t>
      </w:r>
    </w:p>
    <w:p w14:paraId="381508DD">
      <w:r>
        <w:rPr>
          <w:rFonts w:hint="eastAsia"/>
        </w:rPr>
        <w:t>在系统设计与实现过程中，主要解决了以下几方面问题：其一，针对移动端报名场景的多接口串行请求与决策数据不一致问题，设计了"报名决策快照 + If-Match 版本校验"的一致性方案；其二，针对教务排课的易用性问题，实现了大课表拖拽快速调课，并通过"状态 + 旧时间"复合乐观条件解决了同状态并发编辑相互覆盖的问题；其三，针对教师薪资人工核算易错问题，建立了按课程薪资规则自动核算并配合状态机与并发控制的核算体系；其四，针对机构运营"只看历史、难防流失"的问题，实现了可解释的多因子流失预警引擎，将统计升级为决策；其五，引入 Flyway 版本化迁移、加密备份恢复、发布门禁与业务可观测性等手段，提升了系统的可靠性与可维护性。</w:t>
      </w:r>
    </w:p>
    <w:p w14:paraId="36C44A4F">
      <w:r>
        <w:rPr>
          <w:rFonts w:hint="eastAsia"/>
        </w:rPr>
        <w:t>同时，系统仍存在一些不足之处。首先，在功能层面，当前支付与短信通知为模拟实现，尚未接入真实支付网关与短信服务商；其次，在性能层面，系统当前为单机部署，未引入缓存层，面对较大并发时存在优化空间；最后，在智能化层面，流失预警采用规则打分而非机器学习模型，后续可基于积累数据引入更精细的流失预测算法。上述不足将作为后续改进方向，不断完善系统功能与性能。</w:t>
      </w:r>
    </w:p>
    <w:p w14:paraId="19D1843A">
      <w:pPr>
        <w:pStyle w:val="Heading1"/>
        <w:keepNext w:val="1"/>
        <w:keepLines w:val="1"/>
        <w:spacing w:before="100" w:beforeAutospacing="1" w:after="100" w:afterAutospacing="1"/>
        <w:outlineLvl w:val="0"/>
        <w:rPr>
          <w:kern w:val="44"/>
          <w:sz w:val="44"/>
          <w:szCs w:val="44"/>
        </w:rPr>
      </w:pPr>
      <w:r>
        <w:rPr>
          <w:rFonts w:hint="eastAsia"/>
          <w:b w:val="1"/>
          <w:sz w:val="44"/>
        </w:rPr>
        <w:t>参考文献</w:t>
      </w:r>
    </w:p>
    <w:p w14:paraId="02F36D50">
      <w:r>
        <w:rPr>
          <w:rFonts w:hint="eastAsia"/>
        </w:rPr>
        <w:t>[1] 任杰.教培机构智能排课与课时自动扣减系统开发[J].计算机系统应用,2024,33(10):132-138.</w:t>
      </w:r>
    </w:p>
    <w:p w14:paraId="4F763AB9">
      <w:r>
        <w:rPr>
          <w:rFonts w:hint="eastAsia"/>
        </w:rPr>
        <w:t>[2] 温雅.基于 Vue+ECharts 的培训机构经营数据可视化开发[M].北京:人民邮电出版社,2023.</w:t>
      </w:r>
    </w:p>
    <w:p w14:paraId="520D9F65">
      <w:r>
        <w:rPr>
          <w:rFonts w:hint="eastAsia"/>
        </w:rPr>
        <w:t>[3] 石峰.学员学情多维度大数据分析模型设计与实现[J].计算机技术与发展,2024,34(07):173-179.</w:t>
      </w:r>
    </w:p>
    <w:p w14:paraId="68DA0449">
      <w:r>
        <w:rPr>
          <w:rFonts w:hint="eastAsia"/>
        </w:rPr>
        <w:t>[4] 贺敏.SpringBoot 教师课时薪资自动核算模块设计[J].计算机工程与应用,2025,61(04):229-236.</w:t>
      </w:r>
    </w:p>
    <w:p w14:paraId="3799C7E0">
      <w:r>
        <w:rPr>
          <w:rFonts w:hint="eastAsia"/>
        </w:rPr>
        <w:t>[5] 周佳.家长端小程序课表查询、上课消息推送功能开发[J].软件工程,2026,29(03):108-113.</w:t>
      </w:r>
    </w:p>
    <w:p w14:paraId="6D216817">
      <w:r>
        <w:rPr>
          <w:rFonts w:hint="eastAsia"/>
        </w:rPr>
        <w:t>[6] 刘畅.培训机构学员报名、转班、退费流程闭环设计[M].北京:机械工业出版社,2024.</w:t>
      </w:r>
    </w:p>
    <w:p w14:paraId="5233D64A">
      <w:r>
        <w:rPr>
          <w:rFonts w:hint="eastAsia"/>
        </w:rPr>
        <w:t>[7] 陈瑶.考级信息归档与学员成长档案数据库建模[J].计算机工程与设计,2023,44(11):3325-3331.</w:t>
      </w:r>
    </w:p>
    <w:p w14:paraId="3118F42D">
      <w:r>
        <w:rPr>
          <w:rFonts w:hint="eastAsia"/>
        </w:rPr>
        <w:t>[8] 黄莉.教室资源预约冲突检测算法与调度方案[J].信息技术,2025,49(09):84-89.</w:t>
      </w:r>
    </w:p>
    <w:p w14:paraId="39FD45EF">
      <w:pPr>
        <w:pStyle w:val="Heading1"/>
        <w:keepNext w:val="1"/>
        <w:keepLines w:val="1"/>
        <w:spacing w:before="100" w:beforeAutospacing="1" w:after="100" w:afterAutospacing="1"/>
        <w:outlineLvl w:val="0"/>
        <w:rPr>
          <w:kern w:val="44"/>
          <w:sz w:val="44"/>
          <w:szCs w:val="44"/>
        </w:rPr>
      </w:pPr>
      <w:r>
        <w:rPr>
          <w:rFonts w:hint="eastAsia"/>
          <w:b w:val="1"/>
          <w:sz w:val="44"/>
        </w:rPr>
        <w:t>致 谢</w:t>
      </w:r>
    </w:p>
    <w:p w14:paraId="5B6FE539">
      <w:r>
        <w:rPr>
          <w:rFonts w:hint="eastAsia"/>
        </w:rPr>
        <w:t>时光荏苒，本次课程设计即将画上句号。回顾整个设计过程，从需求分析、架构设计到编码实现、测试验收，每一步都离不开老师、同学与家人的支持与帮助。</w:t>
      </w:r>
    </w:p>
    <w:p w14:paraId="33DD947C">
      <w:r>
        <w:rPr>
          <w:rFonts w:hint="eastAsia"/>
        </w:rPr>
        <w:t>首先，衷心感谢我的指导老师。从课题选题、方案论证到论文撰写，老师始终给予耐心的指导与细致的建议，帮助我理清思路、规范论文表达，使本次课程设计得以顺利完成。老师严谨的治学态度与务实的工程作风，使我受益匪浅。</w:t>
      </w:r>
    </w:p>
    <w:p w14:paraId="3E1AB858">
      <w:r>
        <w:rPr>
          <w:rFonts w:hint="eastAsia"/>
        </w:rPr>
        <w:t>其次，感谢学院提供的实训平台与教学资源，让我有机会将课堂所学的软件工程、数据库与 Web 开发等理论应用到实际系统中；感谢一同学习交流的同学们，在系统设计讨论与问题排查中给予我许多启发与帮助。</w:t>
      </w:r>
    </w:p>
    <w:p w14:paraId="2E8E9D28">
      <w:r>
        <w:rPr>
          <w:rFonts w:hint="eastAsia"/>
        </w:rPr>
        <w:t>最后，感谢我的家人一直以来的理解与支持。在系统开发与文档撰写的日日夜夜里，正是他们的默默付出，支撑我专注地完成本次课程设计。</w:t>
      </w:r>
    </w:p>
    <w:p w14:paraId="4B6837CD">
      <w:r>
        <w:rPr>
          <w:rFonts w:hint="eastAsia"/>
        </w:rPr>
        <w:t>由于本人水平有限，系统中难免存在不足之处，恳请各位老师批评指正。</w:t>
      </w:r>
    </w:p>
    <w:p w14:paraId="2953CFBC"/>
    <w:p w14:paraId="6EC3FF5F">
      <w:r>
        <w:br w:type="page"/>
      </w:r>
    </w:p>
    <w:p w14:paraId="660AA125">
      <w:pPr>
        <w:pStyle w:val="Heading1"/>
        <w:keepNext w:val="1"/>
        <w:keepLines w:val="1"/>
        <w:spacing w:before="100" w:beforeAutospacing="1" w:after="100" w:afterAutospacing="1"/>
        <w:outlineLvl w:val="0"/>
        <w:rPr>
          <w:kern w:val="44"/>
          <w:sz w:val="44"/>
          <w:szCs w:val="44"/>
        </w:rPr>
      </w:pPr>
      <w:r>
        <w:rPr>
          <w:rFonts w:hint="eastAsia"/>
          <w:b w:val="1"/>
          <w:sz w:val="44"/>
        </w:rPr>
        <w:t>附录 A 软件使用说明书</w:t>
      </w:r>
    </w:p>
    <w:p w14:paraId="7615E9B1">
      <w:pPr>
        <w:keepNext w:val="1"/>
        <w:keepLines w:val="1"/>
        <w:spacing w:before="100" w:beforeAutospacing="1" w:after="100" w:afterAutospacing="1"/>
        <w:outlineLvl w:val="1"/>
        <w:rPr>
          <w:sz w:val="32"/>
          <w:szCs w:val="32"/>
        </w:rPr>
      </w:pPr>
      <w:r>
        <w:rPr>
          <w:rFonts w:hint="eastAsia"/>
          <w:b w:val="1"/>
          <w:sz w:val="32"/>
        </w:rPr>
        <w:t>A.1 运行环境</w:t>
      </w:r>
    </w:p>
    <w:p w14:paraId="0A4EC91E">
      <w:pPr>
        <w:keepNext w:val="1"/>
        <w:keepLines w:val="1"/>
        <w:spacing w:before="100" w:beforeAutospacing="1" w:after="100" w:afterAutospacing="1"/>
        <w:outlineLvl w:val="2"/>
        <w:rPr>
          <w:sz w:val="32"/>
          <w:szCs w:val="32"/>
        </w:rPr>
      </w:pPr>
      <w:r>
        <w:rPr>
          <w:rFonts w:hint="eastAsia"/>
          <w:b w:val="1"/>
          <w:sz w:val="32"/>
        </w:rPr>
        <w:t>A.1.1 硬件环境</w:t>
      </w:r>
    </w:p>
    <w:tbl>
      <w:tblPr>
        <w:tblW w:w="0" w:type="auto"/>
        <w:tblBorders>
          <w:top w:val="single" w:sz="8"/>
          <w:left w:val="single" w:sz="8"/>
          <w:bottom w:val="single" w:sz="8"/>
          <w:right w:val="single" w:sz="8"/>
        </w:tblBorders>
        <w:tblLayout w:type="autofit"/>
        <w:tblCellMar>
          <w:top w:w="15" w:type="dxa"/>
          <w:left w:w="15" w:type="dxa"/>
          <w:bottom w:w="15" w:type="dxa"/>
          <w:right w:w="15" w:type="dxa"/>
        </w:tblCellMar>
      </w:tblPr>
      <w:tblGrid>
        <w:gridCol w:w="2768"/>
        <w:gridCol w:w="2768"/>
        <w:gridCol w:w="2768"/>
      </w:tblGrid>
      <w:tr>
        <w:trPr/>
        <w:tc>
          <w:tcPr>
            <w:tcW w:w="2768" w:type="dxa"/>
          </w:tcPr>
          <w:p w14:paraId="0D2E7518">
            <w:r>
              <w:rPr>
                <w:rFonts w:hint="eastAsia"/>
                <w:b w:val="1"/>
              </w:rPr>
              <w:t>项目</w:t>
            </w:r>
          </w:p>
        </w:tc>
        <w:tc>
          <w:tcPr>
            <w:tcW w:w="2768" w:type="dxa"/>
          </w:tcPr>
          <w:p w14:paraId="787FFAF3">
            <w:r>
              <w:rPr>
                <w:rFonts w:hint="eastAsia"/>
                <w:b w:val="1"/>
              </w:rPr>
              <w:t>最低配置</w:t>
            </w:r>
          </w:p>
        </w:tc>
        <w:tc>
          <w:tcPr>
            <w:tcW w:w="2768" w:type="dxa"/>
          </w:tcPr>
          <w:p w14:paraId="27CC8326">
            <w:r>
              <w:rPr>
                <w:rFonts w:hint="eastAsia"/>
                <w:b w:val="1"/>
              </w:rPr>
              <w:t>推荐配置</w:t>
            </w:r>
          </w:p>
        </w:tc>
      </w:tr>
      <w:tr>
        <w:trPr/>
        <w:tc>
          <w:tcPr>
            <w:tcW w:w="2768" w:type="dxa"/>
          </w:tcPr>
          <w:p w14:paraId="6D1EA425">
            <w:r>
              <w:t>CPU</w:t>
            </w:r>
          </w:p>
        </w:tc>
        <w:tc>
          <w:tcPr>
            <w:tcW w:w="2768" w:type="dxa"/>
          </w:tcPr>
          <w:p w14:paraId="07B8324F">
            <w:r>
              <w:rPr>
                <w:rFonts w:hint="eastAsia"/>
              </w:rPr>
              <w:t>双核 2.0 GHz</w:t>
            </w:r>
          </w:p>
        </w:tc>
        <w:tc>
          <w:tcPr>
            <w:tcW w:w="2768" w:type="dxa"/>
          </w:tcPr>
          <w:p w14:paraId="233BBA56">
            <w:r>
              <w:rPr>
                <w:rFonts w:hint="eastAsia"/>
              </w:rPr>
              <w:t>四核 2.5 GHz 及以上</w:t>
            </w:r>
          </w:p>
        </w:tc>
      </w:tr>
      <w:tr>
        <w:trPr/>
        <w:tc>
          <w:tcPr>
            <w:tcW w:w="2768" w:type="dxa"/>
          </w:tcPr>
          <w:p w14:paraId="08183035">
            <w:r>
              <w:rPr>
                <w:rFonts w:hint="eastAsia"/>
              </w:rPr>
              <w:t>内存</w:t>
            </w:r>
          </w:p>
        </w:tc>
        <w:tc>
          <w:tcPr>
            <w:tcW w:w="2768" w:type="dxa"/>
          </w:tcPr>
          <w:p w14:paraId="77A335E3">
            <w:r>
              <w:t>4 GB</w:t>
            </w:r>
          </w:p>
        </w:tc>
        <w:tc>
          <w:tcPr>
            <w:tcW w:w="2768" w:type="dxa"/>
          </w:tcPr>
          <w:p w14:paraId="259DB82E">
            <w:r>
              <w:rPr>
                <w:rFonts w:hint="eastAsia"/>
              </w:rPr>
              <w:t>8 GB 及以上</w:t>
            </w:r>
          </w:p>
        </w:tc>
      </w:tr>
      <w:tr>
        <w:trPr/>
        <w:tc>
          <w:tcPr>
            <w:tcW w:w="2768" w:type="dxa"/>
          </w:tcPr>
          <w:p w14:paraId="32E80EFB">
            <w:r>
              <w:rPr>
                <w:rFonts w:hint="eastAsia"/>
              </w:rPr>
              <w:t>磁盘</w:t>
            </w:r>
          </w:p>
        </w:tc>
        <w:tc>
          <w:tcPr>
            <w:tcW w:w="2768" w:type="dxa"/>
          </w:tcPr>
          <w:p w14:paraId="27564F88">
            <w:r>
              <w:rPr>
                <w:rFonts w:hint="eastAsia"/>
              </w:rPr>
              <w:t>20 GB 可用空间</w:t>
            </w:r>
          </w:p>
        </w:tc>
        <w:tc>
          <w:tcPr>
            <w:tcW w:w="2768" w:type="dxa"/>
          </w:tcPr>
          <w:p w14:paraId="7BFE5618">
            <w:r>
              <w:rPr>
                <w:rFonts w:hint="eastAsia"/>
              </w:rPr>
              <w:t>40 GB 及以上</w:t>
            </w:r>
          </w:p>
        </w:tc>
      </w:tr>
      <w:tr>
        <w:trPr/>
        <w:tc>
          <w:tcPr>
            <w:tcW w:w="2768" w:type="dxa"/>
          </w:tcPr>
          <w:p w14:paraId="40980CA0">
            <w:r>
              <w:rPr>
                <w:rFonts w:hint="eastAsia"/>
              </w:rPr>
              <w:t>网络</w:t>
            </w:r>
          </w:p>
        </w:tc>
        <w:tc>
          <w:tcPr>
            <w:tcW w:w="2768" w:type="dxa"/>
          </w:tcPr>
          <w:p w14:paraId="177DA651">
            <w:r>
              <w:rPr>
                <w:rFonts w:hint="eastAsia"/>
              </w:rPr>
              <w:t>可访问局域网/公网</w:t>
            </w:r>
          </w:p>
        </w:tc>
        <w:tc>
          <w:tcPr>
            <w:tcW w:w="2768" w:type="dxa"/>
          </w:tcPr>
          <w:p w14:paraId="42CD9946">
            <w:r>
              <w:rPr>
                <w:rFonts w:hint="eastAsia"/>
              </w:rPr>
              <w:t>宽带接入</w:t>
            </w:r>
          </w:p>
        </w:tc>
      </w:tr>
    </w:tbl>
    <w:p w14:paraId="3BC3884F">
      <w:pPr>
        <w:keepNext w:val="1"/>
        <w:keepLines w:val="1"/>
        <w:spacing w:before="100" w:beforeAutospacing="1" w:after="100" w:afterAutospacing="1"/>
        <w:outlineLvl w:val="2"/>
        <w:rPr>
          <w:sz w:val="32"/>
          <w:szCs w:val="32"/>
        </w:rPr>
      </w:pPr>
      <w:r>
        <w:rPr>
          <w:rFonts w:hint="eastAsia"/>
          <w:b w:val="1"/>
          <w:sz w:val="32"/>
        </w:rPr>
        <w:t>A.1.2 软件环境</w:t>
      </w:r>
    </w:p>
    <w:tbl>
      <w:tblPr>
        <w:tblW w:w="0" w:type="auto"/>
        <w:tblBorders>
          <w:top w:val="single" w:sz="8"/>
          <w:left w:val="single" w:sz="8"/>
          <w:bottom w:val="single" w:sz="8"/>
          <w:right w:val="single" w:sz="8"/>
        </w:tblBorders>
        <w:tblLayout w:type="autofit"/>
        <w:tblCellMar>
          <w:top w:w="15" w:type="dxa"/>
          <w:left w:w="15" w:type="dxa"/>
          <w:bottom w:w="15" w:type="dxa"/>
          <w:right w:w="15" w:type="dxa"/>
        </w:tblCellMar>
      </w:tblPr>
      <w:tblGrid>
        <w:gridCol w:w="2768"/>
        <w:gridCol w:w="2768"/>
        <w:gridCol w:w="2768"/>
      </w:tblGrid>
      <w:tr>
        <w:trPr/>
        <w:tc>
          <w:tcPr>
            <w:tcW w:w="2768" w:type="dxa"/>
          </w:tcPr>
          <w:p w14:paraId="22380AAD">
            <w:r>
              <w:rPr>
                <w:rFonts w:hint="eastAsia"/>
                <w:b w:val="1"/>
              </w:rPr>
              <w:t>类别</w:t>
            </w:r>
          </w:p>
        </w:tc>
        <w:tc>
          <w:tcPr>
            <w:tcW w:w="2768" w:type="dxa"/>
          </w:tcPr>
          <w:p w14:paraId="251364EC">
            <w:r>
              <w:rPr>
                <w:rFonts w:hint="eastAsia"/>
                <w:b w:val="1"/>
              </w:rPr>
              <w:t>软件</w:t>
            </w:r>
          </w:p>
        </w:tc>
        <w:tc>
          <w:tcPr>
            <w:tcW w:w="2768" w:type="dxa"/>
          </w:tcPr>
          <w:p w14:paraId="2C72D2A2">
            <w:r>
              <w:rPr>
                <w:rFonts w:hint="eastAsia"/>
                <w:b w:val="1"/>
              </w:rPr>
              <w:t>版本</w:t>
            </w:r>
          </w:p>
        </w:tc>
      </w:tr>
      <w:tr>
        <w:trPr/>
        <w:tc>
          <w:tcPr>
            <w:tcW w:w="2768" w:type="dxa"/>
          </w:tcPr>
          <w:p w14:paraId="79F17334">
            <w:r>
              <w:rPr>
                <w:rFonts w:hint="eastAsia"/>
              </w:rPr>
              <w:t>操作系统</w:t>
            </w:r>
          </w:p>
        </w:tc>
        <w:tc>
          <w:tcPr>
            <w:tcW w:w="2768" w:type="dxa"/>
          </w:tcPr>
          <w:p w14:paraId="6577C2B2">
            <w:r>
              <w:t>Windows / Linux / macOS</w:t>
            </w:r>
          </w:p>
        </w:tc>
        <w:tc>
          <w:tcPr>
            <w:tcW w:w="2768" w:type="dxa"/>
          </w:tcPr>
          <w:p w14:paraId="3BAA4CCD">
            <w:r>
              <w:rPr>
                <w:rFonts w:hint="eastAsia"/>
              </w:rPr>
              <w:t>Windows 10+ 或 Ubuntu 22.04</w:t>
            </w:r>
          </w:p>
        </w:tc>
      </w:tr>
      <w:tr>
        <w:trPr/>
        <w:tc>
          <w:tcPr>
            <w:tcW w:w="2768" w:type="dxa"/>
          </w:tcPr>
          <w:p w14:paraId="442AC758">
            <w:r>
              <w:rPr>
                <w:rFonts w:hint="eastAsia"/>
              </w:rPr>
              <w:t>后端运行</w:t>
            </w:r>
          </w:p>
        </w:tc>
        <w:tc>
          <w:tcPr>
            <w:tcW w:w="2768" w:type="dxa"/>
          </w:tcPr>
          <w:p w14:paraId="2D438F57">
            <w:r>
              <w:t>JDK</w:t>
            </w:r>
          </w:p>
        </w:tc>
        <w:tc>
          <w:tcPr>
            <w:tcW w:w="2768" w:type="dxa"/>
          </w:tcPr>
          <w:p w14:paraId="54280FD6">
            <w:r>
              <w:t>17</w:t>
            </w:r>
          </w:p>
        </w:tc>
      </w:tr>
      <w:tr>
        <w:trPr/>
        <w:tc>
          <w:tcPr>
            <w:tcW w:w="2768" w:type="dxa"/>
          </w:tcPr>
          <w:p w14:paraId="03637E23">
            <w:r>
              <w:rPr>
                <w:rFonts w:hint="eastAsia"/>
              </w:rPr>
              <w:t>数据库</w:t>
            </w:r>
          </w:p>
        </w:tc>
        <w:tc>
          <w:tcPr>
            <w:tcW w:w="2768" w:type="dxa"/>
          </w:tcPr>
          <w:p w14:paraId="2FE126AF">
            <w:r>
              <w:t>MySQL</w:t>
            </w:r>
          </w:p>
        </w:tc>
        <w:tc>
          <w:tcPr>
            <w:tcW w:w="2768" w:type="dxa"/>
          </w:tcPr>
          <w:p w14:paraId="6A280100">
            <w:r>
              <w:rPr>
                <w:rFonts w:hint="eastAsia"/>
              </w:rPr>
              <w:t>8.0+（端口 3306）</w:t>
            </w:r>
          </w:p>
        </w:tc>
      </w:tr>
      <w:tr>
        <w:trPr/>
        <w:tc>
          <w:tcPr>
            <w:tcW w:w="2768" w:type="dxa"/>
          </w:tcPr>
          <w:p w14:paraId="36A801F5">
            <w:r>
              <w:rPr>
                <w:rFonts w:hint="eastAsia"/>
              </w:rPr>
              <w:t>构建工具</w:t>
            </w:r>
          </w:p>
        </w:tc>
        <w:tc>
          <w:tcPr>
            <w:tcW w:w="2768" w:type="dxa"/>
          </w:tcPr>
          <w:p w14:paraId="4318006A">
            <w:r>
              <w:t>Maven</w:t>
            </w:r>
          </w:p>
        </w:tc>
        <w:tc>
          <w:tcPr>
            <w:tcW w:w="2768" w:type="dxa"/>
          </w:tcPr>
          <w:p w14:paraId="09AF6D2F">
            <w:r>
              <w:t>3.9+</w:t>
            </w:r>
          </w:p>
        </w:tc>
      </w:tr>
      <w:tr>
        <w:trPr/>
        <w:tc>
          <w:tcPr>
            <w:tcW w:w="2768" w:type="dxa"/>
          </w:tcPr>
          <w:p w14:paraId="5A26EABB">
            <w:r>
              <w:rPr>
                <w:rFonts w:hint="eastAsia"/>
              </w:rPr>
              <w:t>前端运行</w:t>
            </w:r>
          </w:p>
        </w:tc>
        <w:tc>
          <w:tcPr>
            <w:tcW w:w="2768" w:type="dxa"/>
          </w:tcPr>
          <w:p w14:paraId="117803C0">
            <w:r>
              <w:t>Node.js / npm</w:t>
            </w:r>
          </w:p>
        </w:tc>
        <w:tc>
          <w:tcPr>
            <w:tcW w:w="2768" w:type="dxa"/>
          </w:tcPr>
          <w:p w14:paraId="47436ABF">
            <w:r>
              <w:t>18+ / 9+</w:t>
            </w:r>
          </w:p>
        </w:tc>
      </w:tr>
      <w:tr>
        <w:trPr/>
        <w:tc>
          <w:tcPr>
            <w:tcW w:w="2768" w:type="dxa"/>
          </w:tcPr>
          <w:p w14:paraId="0DFBFAD9">
            <w:r>
              <w:rPr>
                <w:rFonts w:hint="eastAsia"/>
              </w:rPr>
              <w:t>浏览器</w:t>
            </w:r>
          </w:p>
        </w:tc>
        <w:tc>
          <w:tcPr>
            <w:tcW w:w="2768" w:type="dxa"/>
          </w:tcPr>
          <w:p w14:paraId="14C5E98A">
            <w:r>
              <w:rPr>
                <w:rFonts w:hint="eastAsia"/>
              </w:rPr>
              <w:t>Chrome / Edge 等现代浏览器</w:t>
            </w:r>
          </w:p>
        </w:tc>
        <w:tc>
          <w:tcPr>
            <w:tcW w:w="2768" w:type="dxa"/>
          </w:tcPr>
          <w:p w14:paraId="215CA81F">
            <w:r>
              <w:rPr>
                <w:rFonts w:hint="eastAsia"/>
              </w:rPr>
              <w:t>最新稳定版</w:t>
            </w:r>
          </w:p>
        </w:tc>
      </w:tr>
    </w:tbl>
    <w:p w14:paraId="5AFF2E19">
      <w:pPr>
        <w:keepNext w:val="1"/>
        <w:keepLines w:val="1"/>
        <w:spacing w:before="100" w:beforeAutospacing="1" w:after="100" w:afterAutospacing="1"/>
        <w:outlineLvl w:val="1"/>
        <w:rPr>
          <w:sz w:val="32"/>
          <w:szCs w:val="32"/>
        </w:rPr>
      </w:pPr>
      <w:r>
        <w:rPr>
          <w:rFonts w:hint="eastAsia"/>
          <w:b w:val="1"/>
          <w:sz w:val="32"/>
        </w:rPr>
        <w:t>A.2 系统配置</w:t>
      </w:r>
    </w:p>
    <w:p w14:paraId="5218F85B">
      <w:pPr>
        <w:keepNext w:val="1"/>
        <w:keepLines w:val="1"/>
        <w:spacing w:before="100" w:beforeAutospacing="1" w:after="100" w:afterAutospacing="1"/>
        <w:outlineLvl w:val="2"/>
        <w:rPr>
          <w:sz w:val="32"/>
          <w:szCs w:val="32"/>
        </w:rPr>
      </w:pPr>
      <w:r>
        <w:rPr>
          <w:rFonts w:hint="eastAsia"/>
          <w:b w:val="1"/>
          <w:sz w:val="32"/>
        </w:rPr>
        <w:t>A.2.1 数据库初始化</w:t>
      </w:r>
    </w:p>
    <w:p w14:paraId="4775D6DD">
      <w:r>
        <w:rPr>
          <w:rFonts w:hint="eastAsia"/>
        </w:rPr>
        <w:t>创建数据库并导入脚本：</w:t>
      </w:r>
    </w:p>
    <w:p w14:paraId="31614DD4">
      <w:pPr>
        <w:shd w:fill="f5f5f5"/>
        <w:spacing w:line="276"/>
      </w:pPr>
      <w:r>
        <w:rPr>
          <w:rFonts w:hint="eastAsia" w:ascii="Consolas" w:hAnsi="Consolas" w:eastAsia="Consolas" w:cs="Consolas"/>
          <w:sz w:val="18"/>
        </w:rPr>
        <w:t>mysql -u root -p &lt; sql/schema.sql # 建表 mysql -u root -p &lt; sql/data.sql # 演示数据</w:t>
      </w:r>
    </w:p>
    <w:p w14:paraId="1CF8760A">
      <w:r>
        <w:rPr>
          <w:rFonts w:hint="eastAsia"/>
        </w:rPr>
        <w:t>数据库名 edu_admin。数据库结构升级由 Flyway 在应用启动时自动执行。</w:t>
      </w:r>
    </w:p>
    <w:p w14:paraId="5115809F">
      <w:pPr>
        <w:keepNext w:val="1"/>
        <w:keepLines w:val="1"/>
        <w:spacing w:before="100" w:beforeAutospacing="1" w:after="100" w:afterAutospacing="1"/>
        <w:outlineLvl w:val="2"/>
        <w:rPr>
          <w:sz w:val="32"/>
          <w:szCs w:val="32"/>
        </w:rPr>
      </w:pPr>
      <w:r>
        <w:rPr>
          <w:rFonts w:hint="eastAsia"/>
          <w:b w:val="1"/>
          <w:sz w:val="32"/>
        </w:rPr>
        <w:t>A.2.2 后端配置</w:t>
      </w:r>
    </w:p>
    <w:p w14:paraId="014CF930">
      <w:r>
        <w:rPr>
          <w:rFonts w:hint="eastAsia"/>
        </w:rPr>
        <w:t>后端通过环境变量注入关键配置，生产环境启动命令示例：</w:t>
      </w:r>
    </w:p>
    <w:p w14:paraId="1ED117D7">
      <w:pPr>
        <w:shd w:fill="f5f5f5"/>
        <w:spacing w:line="276"/>
      </w:pPr>
      <w:r>
        <w:rPr>
          <w:rFonts w:hint="eastAsia" w:ascii="Consolas" w:hAnsi="Consolas" w:eastAsia="Consolas" w:cs="Consolas"/>
          <w:sz w:val="18"/>
        </w:rPr>
        <w:t>JWT_SECRET=&lt;至少32字节的随机密钥&gt; DB_PASSWORD=&lt;数据库密码&gt; \ java -jar eduadmin.jar --server.port=8080</w:t>
      </w:r>
    </w:p>
    <w:p w14:paraId="40E2DE2C">
      <w:r>
        <w:rPr>
          <w:rFonts w:hint="eastAsia"/>
        </w:rPr>
        <w:t>关键环境变量说明如表 A.1 所示。</w:t>
      </w:r>
    </w:p>
    <w:p w14:paraId="59ABA998">
      <w:pPr>
        <w:jc w:val="center"/>
      </w:pPr>
      <w:r>
        <w:rPr>
          <w:rFonts w:hint="eastAsia"/>
          <w:b w:val="1"/>
        </w:rPr>
        <w:t>表 A.1 后端环境变量</w:t>
      </w:r>
    </w:p>
    <w:tbl>
      <w:tblPr>
        <w:tblW w:w="0" w:type="auto"/>
        <w:tblBorders>
          <w:top w:val="single" w:sz="8"/>
          <w:left w:val="single" w:sz="8"/>
          <w:bottom w:val="single" w:sz="8"/>
          <w:right w:val="single" w:sz="8"/>
        </w:tblBorders>
        <w:tblLayout w:type="autofit"/>
        <w:tblCellMar>
          <w:top w:w="15" w:type="dxa"/>
          <w:left w:w="15" w:type="dxa"/>
          <w:bottom w:w="15" w:type="dxa"/>
          <w:right w:w="15" w:type="dxa"/>
        </w:tblCellMar>
      </w:tblPr>
      <w:tblGrid>
        <w:gridCol w:w="2768"/>
        <w:gridCol w:w="2768"/>
        <w:gridCol w:w="2768"/>
      </w:tblGrid>
      <w:tr>
        <w:trPr/>
        <w:tc>
          <w:tcPr>
            <w:tcW w:w="2768" w:type="dxa"/>
          </w:tcPr>
          <w:p w14:paraId="5E8A3596">
            <w:r>
              <w:rPr>
                <w:rFonts w:hint="eastAsia"/>
                <w:b w:val="1"/>
              </w:rPr>
              <w:t>变量</w:t>
            </w:r>
          </w:p>
        </w:tc>
        <w:tc>
          <w:tcPr>
            <w:tcW w:w="2768" w:type="dxa"/>
          </w:tcPr>
          <w:p w14:paraId="4662C494">
            <w:r>
              <w:rPr>
                <w:rFonts w:hint="eastAsia"/>
                <w:b w:val="1"/>
              </w:rPr>
              <w:t>说明</w:t>
            </w:r>
          </w:p>
        </w:tc>
        <w:tc>
          <w:tcPr>
            <w:tcW w:w="2768" w:type="dxa"/>
          </w:tcPr>
          <w:p w14:paraId="4F45728A">
            <w:r>
              <w:rPr>
                <w:rFonts w:hint="eastAsia"/>
                <w:b w:val="1"/>
              </w:rPr>
              <w:t>默认</w:t>
            </w:r>
          </w:p>
        </w:tc>
      </w:tr>
      <w:tr>
        <w:trPr/>
        <w:tc>
          <w:tcPr>
            <w:tcW w:w="2768" w:type="dxa"/>
          </w:tcPr>
          <w:p w14:paraId="2644B390">
            <w:r>
              <w:t>DB_PASSWORD</w:t>
            </w:r>
          </w:p>
        </w:tc>
        <w:tc>
          <w:tcPr>
            <w:tcW w:w="2768" w:type="dxa"/>
          </w:tcPr>
          <w:p w14:paraId="72CF53E6">
            <w:r>
              <w:rPr>
                <w:rFonts w:hint="eastAsia"/>
              </w:rPr>
              <w:t>数据库密码</w:t>
            </w:r>
          </w:p>
        </w:tc>
        <w:tc>
          <w:tcPr>
            <w:tcW w:w="2768" w:type="dxa"/>
          </w:tcPr>
          <w:p w14:paraId="42F7BB58">
            <w:r>
              <w:rPr>
                <w:rFonts w:hint="eastAsia"/>
              </w:rPr>
              <w:t>无（生产必填）</w:t>
            </w:r>
          </w:p>
        </w:tc>
      </w:tr>
      <w:tr>
        <w:trPr/>
        <w:tc>
          <w:tcPr>
            <w:tcW w:w="2768" w:type="dxa"/>
          </w:tcPr>
          <w:p w14:paraId="5B9C704C">
            <w:r>
              <w:t>JWT_SECRET</w:t>
            </w:r>
          </w:p>
        </w:tc>
        <w:tc>
          <w:tcPr>
            <w:tcW w:w="2768" w:type="dxa"/>
          </w:tcPr>
          <w:p w14:paraId="649824E3">
            <w:r>
              <w:rPr>
                <w:rFonts w:hint="eastAsia"/>
              </w:rPr>
              <w:t>JWT 签名密钥（≥32 UTF-8 字节）</w:t>
            </w:r>
          </w:p>
        </w:tc>
        <w:tc>
          <w:tcPr>
            <w:tcW w:w="2768" w:type="dxa"/>
          </w:tcPr>
          <w:p w14:paraId="749A6C6E">
            <w:r>
              <w:rPr>
                <w:rFonts w:hint="eastAsia"/>
              </w:rPr>
              <w:t>无（生产必填）</w:t>
            </w:r>
          </w:p>
        </w:tc>
      </w:tr>
      <w:tr>
        <w:trPr/>
        <w:tc>
          <w:tcPr>
            <w:tcW w:w="2768" w:type="dxa"/>
          </w:tcPr>
          <w:p w14:paraId="24F706E9">
            <w:r>
              <w:t>APP_CORS_ALLOWED_ORIGINS</w:t>
            </w:r>
          </w:p>
        </w:tc>
        <w:tc>
          <w:tcPr>
            <w:tcW w:w="2768" w:type="dxa"/>
          </w:tcPr>
          <w:p w14:paraId="1FD705D3">
            <w:r>
              <w:rPr>
                <w:rFonts w:hint="eastAsia"/>
              </w:rPr>
              <w:t>CORS 允许来源白名单</w:t>
            </w:r>
          </w:p>
        </w:tc>
        <w:tc>
          <w:tcPr>
            <w:tcW w:w="2768" w:type="dxa"/>
          </w:tcPr>
          <w:p w14:paraId="6FCCBD47">
            <w:r>
              <w:rPr>
                <w:rFonts w:hint="eastAsia"/>
              </w:rPr>
              <w:t>无（生产必填）</w:t>
            </w:r>
          </w:p>
        </w:tc>
      </w:tr>
      <w:tr>
        <w:trPr/>
        <w:tc>
          <w:tcPr>
            <w:tcW w:w="2768" w:type="dxa"/>
          </w:tcPr>
          <w:p w14:paraId="46DD4C50">
            <w:r>
              <w:t>SERVER_PORT</w:t>
            </w:r>
          </w:p>
        </w:tc>
        <w:tc>
          <w:tcPr>
            <w:tcW w:w="2768" w:type="dxa"/>
          </w:tcPr>
          <w:p w14:paraId="338AE3A9">
            <w:r>
              <w:rPr>
                <w:rFonts w:hint="eastAsia"/>
              </w:rPr>
              <w:t>服务端口</w:t>
            </w:r>
          </w:p>
        </w:tc>
        <w:tc>
          <w:tcPr>
            <w:tcW w:w="2768" w:type="dxa"/>
          </w:tcPr>
          <w:p w14:paraId="7C330BE2">
            <w:r>
              <w:t>8080</w:t>
            </w:r>
          </w:p>
        </w:tc>
      </w:tr>
    </w:tbl>
    <w:p w14:paraId="76A1F7CA">
      <w:r>
        <w:rPr>
          <w:rFonts w:hint="eastAsia"/>
        </w:rPr>
        <w:t>生产环境由 ProductionConfigurationValidator 在启动时校验上述配置，弱密钥或默认密码将拒绝启动。</w:t>
      </w:r>
    </w:p>
    <w:p w14:paraId="0ACCCCA5">
      <w:pPr>
        <w:keepNext w:val="1"/>
        <w:keepLines w:val="1"/>
        <w:spacing w:before="100" w:beforeAutospacing="1" w:after="100" w:afterAutospacing="1"/>
        <w:outlineLvl w:val="2"/>
        <w:rPr>
          <w:sz w:val="32"/>
          <w:szCs w:val="32"/>
        </w:rPr>
      </w:pPr>
      <w:r>
        <w:rPr>
          <w:rFonts w:hint="eastAsia"/>
          <w:b w:val="1"/>
          <w:sz w:val="32"/>
        </w:rPr>
        <w:t>A.2.3 前端配置</w:t>
      </w:r>
    </w:p>
    <w:p w14:paraId="3F44C9ED">
      <w:r>
        <w:rPr>
          <w:rFonts w:hint="eastAsia"/>
        </w:rPr>
        <w:t>管理后台开发模式通过 Vite 代理将 /api 转发至后端 8080 端口；生产模式由 Nginx/Caddy 反向代理。移动端 H5 产物由 Web 服务器托管。</w:t>
      </w:r>
    </w:p>
    <w:p w14:paraId="0F6B8178">
      <w:pPr>
        <w:keepNext w:val="1"/>
        <w:keepLines w:val="1"/>
        <w:spacing w:before="100" w:beforeAutospacing="1" w:after="100" w:afterAutospacing="1"/>
        <w:outlineLvl w:val="1"/>
        <w:rPr>
          <w:sz w:val="32"/>
          <w:szCs w:val="32"/>
        </w:rPr>
      </w:pPr>
      <w:r>
        <w:rPr>
          <w:rFonts w:hint="eastAsia"/>
          <w:b w:val="1"/>
          <w:sz w:val="32"/>
        </w:rPr>
        <w:t>A.3 登录方式</w:t>
      </w:r>
    </w:p>
    <w:p w14:paraId="7879C61D">
      <w:r>
        <w:rPr>
          <w:rFonts w:hint="eastAsia"/>
        </w:rPr>
        <w:t>系统提供 Web 管理后台与移动端两个入口：</w:t>
      </w:r>
    </w:p>
    <w:tbl>
      <w:tblPr>
        <w:tblW w:w="0" w:type="auto"/>
        <w:tblBorders>
          <w:top w:val="single" w:sz="8"/>
          <w:left w:val="single" w:sz="8"/>
          <w:bottom w:val="single" w:sz="8"/>
          <w:right w:val="single" w:sz="8"/>
        </w:tblBorders>
        <w:tblLayout w:type="autofit"/>
        <w:tblCellMar>
          <w:top w:w="15" w:type="dxa"/>
          <w:left w:w="15" w:type="dxa"/>
          <w:bottom w:w="15" w:type="dxa"/>
          <w:right w:w="15" w:type="dxa"/>
        </w:tblCellMar>
      </w:tblPr>
      <w:tblGrid>
        <w:gridCol w:w="2768"/>
        <w:gridCol w:w="2768"/>
        <w:gridCol w:w="2768"/>
      </w:tblGrid>
      <w:tr>
        <w:trPr/>
        <w:tc>
          <w:tcPr>
            <w:tcW w:w="2768" w:type="dxa"/>
          </w:tcPr>
          <w:p w14:paraId="609DB812">
            <w:r>
              <w:rPr>
                <w:rFonts w:hint="eastAsia"/>
                <w:b w:val="1"/>
              </w:rPr>
              <w:t>终端</w:t>
            </w:r>
          </w:p>
        </w:tc>
        <w:tc>
          <w:tcPr>
            <w:tcW w:w="2768" w:type="dxa"/>
          </w:tcPr>
          <w:p w14:paraId="2A4CD765">
            <w:r>
              <w:rPr>
                <w:rFonts w:hint="eastAsia"/>
                <w:b w:val="1"/>
              </w:rPr>
              <w:t>访问方式</w:t>
            </w:r>
          </w:p>
        </w:tc>
        <w:tc>
          <w:tcPr>
            <w:tcW w:w="2768" w:type="dxa"/>
          </w:tcPr>
          <w:p w14:paraId="5168C727">
            <w:r>
              <w:rPr>
                <w:rFonts w:hint="eastAsia"/>
                <w:b w:val="1"/>
              </w:rPr>
              <w:t>说明</w:t>
            </w:r>
          </w:p>
        </w:tc>
      </w:tr>
      <w:tr>
        <w:trPr/>
        <w:tc>
          <w:tcPr>
            <w:tcW w:w="2768" w:type="dxa"/>
          </w:tcPr>
          <w:p w14:paraId="7EE7DCDB">
            <w:r>
              <w:rPr>
                <w:rFonts w:hint="eastAsia"/>
              </w:rPr>
              <w:t>管理后台</w:t>
            </w:r>
          </w:p>
        </w:tc>
        <w:tc>
          <w:tcPr>
            <w:tcW w:w="2768" w:type="dxa"/>
          </w:tcPr>
          <w:p w14:paraId="13B6FDDE">
            <w:r>
              <w:rPr>
                <w:rFonts w:hint="eastAsia"/>
              </w:rPr>
              <w:t>浏览器访问管理端地址</w:t>
            </w:r>
          </w:p>
        </w:tc>
        <w:tc>
          <w:tcPr>
            <w:tcW w:w="2768" w:type="dxa"/>
          </w:tcPr>
          <w:p w14:paraId="0945D050">
            <w:r>
              <w:rPr>
                <w:rFonts w:hint="eastAsia"/>
              </w:rPr>
              <w:t>教务/财务/超管使用</w:t>
            </w:r>
          </w:p>
        </w:tc>
      </w:tr>
      <w:tr>
        <w:trPr/>
        <w:tc>
          <w:tcPr>
            <w:tcW w:w="2768" w:type="dxa"/>
          </w:tcPr>
          <w:p w14:paraId="192A88A2">
            <w:r>
              <w:rPr>
                <w:rFonts w:hint="eastAsia"/>
              </w:rPr>
              <w:t>移动端 H5</w:t>
            </w:r>
          </w:p>
        </w:tc>
        <w:tc>
          <w:tcPr>
            <w:tcW w:w="2768" w:type="dxa"/>
          </w:tcPr>
          <w:p w14:paraId="0EC3D390">
            <w:r>
              <w:rPr>
                <w:rFonts w:hint="eastAsia"/>
              </w:rPr>
              <w:t>浏览器访问移动端地址</w:t>
            </w:r>
          </w:p>
        </w:tc>
        <w:tc>
          <w:tcPr>
            <w:tcW w:w="2768" w:type="dxa"/>
          </w:tcPr>
          <w:p w14:paraId="1EEA8B02">
            <w:r>
              <w:rPr>
                <w:rFonts w:hint="eastAsia"/>
              </w:rPr>
              <w:t>家长/教师使用</w:t>
            </w:r>
          </w:p>
        </w:tc>
      </w:tr>
    </w:tbl>
    <w:p w14:paraId="7E9E1879">
      <w:r>
        <w:rPr>
          <w:rFonts w:hint="eastAsia"/>
        </w:rPr>
        <w:t>演示账号如表 A.2 所示。</w:t>
      </w:r>
    </w:p>
    <w:p w14:paraId="322799AA">
      <w:pPr>
        <w:jc w:val="center"/>
      </w:pPr>
      <w:r>
        <w:rPr>
          <w:rFonts w:hint="eastAsia"/>
          <w:b w:val="1"/>
        </w:rPr>
        <w:t>表 A.2 演示账号</w:t>
      </w:r>
    </w:p>
    <w:tbl>
      <w:tblPr>
        <w:tblW w:w="0" w:type="auto"/>
        <w:tblBorders>
          <w:top w:val="single" w:sz="8"/>
          <w:left w:val="single" w:sz="8"/>
          <w:bottom w:val="single" w:sz="8"/>
          <w:right w:val="single" w:sz="8"/>
        </w:tblBorders>
        <w:tblLayout w:type="autofit"/>
        <w:tblCellMar>
          <w:top w:w="15" w:type="dxa"/>
          <w:left w:w="15" w:type="dxa"/>
          <w:bottom w:w="15" w:type="dxa"/>
          <w:right w:w="15" w:type="dxa"/>
        </w:tblCellMar>
      </w:tblPr>
      <w:tblGrid>
        <w:gridCol w:w="2768"/>
        <w:gridCol w:w="2768"/>
        <w:gridCol w:w="2768"/>
      </w:tblGrid>
      <w:tr>
        <w:trPr/>
        <w:tc>
          <w:tcPr>
            <w:tcW w:w="2768" w:type="dxa"/>
          </w:tcPr>
          <w:p w14:paraId="39C7FD50">
            <w:r>
              <w:rPr>
                <w:rFonts w:hint="eastAsia"/>
                <w:b w:val="1"/>
              </w:rPr>
              <w:t>角色</w:t>
            </w:r>
          </w:p>
        </w:tc>
        <w:tc>
          <w:tcPr>
            <w:tcW w:w="2768" w:type="dxa"/>
          </w:tcPr>
          <w:p w14:paraId="023F6638">
            <w:r>
              <w:rPr>
                <w:rFonts w:hint="eastAsia"/>
                <w:b w:val="1"/>
              </w:rPr>
              <w:t>用户名</w:t>
            </w:r>
          </w:p>
        </w:tc>
        <w:tc>
          <w:tcPr>
            <w:tcW w:w="2768" w:type="dxa"/>
          </w:tcPr>
          <w:p w14:paraId="09DE94C6">
            <w:r>
              <w:rPr>
                <w:rFonts w:hint="eastAsia"/>
                <w:b w:val="1"/>
              </w:rPr>
              <w:t>密码</w:t>
            </w:r>
          </w:p>
        </w:tc>
      </w:tr>
      <w:tr>
        <w:trPr/>
        <w:tc>
          <w:tcPr>
            <w:tcW w:w="2768" w:type="dxa"/>
          </w:tcPr>
          <w:p w14:paraId="37E1984A">
            <w:r>
              <w:rPr>
                <w:rFonts w:hint="eastAsia"/>
              </w:rPr>
              <w:t>超级管理员</w:t>
            </w:r>
          </w:p>
        </w:tc>
        <w:tc>
          <w:tcPr>
            <w:tcW w:w="2768" w:type="dxa"/>
          </w:tcPr>
          <w:p w14:paraId="4461BFDF">
            <w:r>
              <w:t>admin</w:t>
            </w:r>
          </w:p>
        </w:tc>
        <w:tc>
          <w:tcPr>
            <w:tcW w:w="2768" w:type="dxa"/>
          </w:tcPr>
          <w:p w14:paraId="72A8FF23">
            <w:r>
              <w:t>123456</w:t>
            </w:r>
          </w:p>
        </w:tc>
      </w:tr>
      <w:tr>
        <w:trPr/>
        <w:tc>
          <w:tcPr>
            <w:tcW w:w="2768" w:type="dxa"/>
          </w:tcPr>
          <w:p w14:paraId="60D33F17">
            <w:r>
              <w:rPr>
                <w:rFonts w:hint="eastAsia"/>
              </w:rPr>
              <w:t>教务管理员</w:t>
            </w:r>
          </w:p>
        </w:tc>
        <w:tc>
          <w:tcPr>
            <w:tcW w:w="2768" w:type="dxa"/>
          </w:tcPr>
          <w:p w14:paraId="49E3B695">
            <w:r>
              <w:t>edu</w:t>
            </w:r>
          </w:p>
        </w:tc>
        <w:tc>
          <w:tcPr>
            <w:tcW w:w="2768" w:type="dxa"/>
          </w:tcPr>
          <w:p w14:paraId="7838C981">
            <w:r>
              <w:t>123456</w:t>
            </w:r>
          </w:p>
        </w:tc>
      </w:tr>
      <w:tr>
        <w:trPr/>
        <w:tc>
          <w:tcPr>
            <w:tcW w:w="2768" w:type="dxa"/>
          </w:tcPr>
          <w:p w14:paraId="6671259D">
            <w:r>
              <w:rPr>
                <w:rFonts w:hint="eastAsia"/>
              </w:rPr>
              <w:t>财务管理员</w:t>
            </w:r>
          </w:p>
        </w:tc>
        <w:tc>
          <w:tcPr>
            <w:tcW w:w="2768" w:type="dxa"/>
          </w:tcPr>
          <w:p w14:paraId="767D6A25">
            <w:r>
              <w:t>finance</w:t>
            </w:r>
          </w:p>
        </w:tc>
        <w:tc>
          <w:tcPr>
            <w:tcW w:w="2768" w:type="dxa"/>
          </w:tcPr>
          <w:p w14:paraId="64BC4AD9">
            <w:r>
              <w:t>123456</w:t>
            </w:r>
          </w:p>
        </w:tc>
      </w:tr>
      <w:tr>
        <w:trPr/>
        <w:tc>
          <w:tcPr>
            <w:tcW w:w="2768" w:type="dxa"/>
          </w:tcPr>
          <w:p w14:paraId="4D860073">
            <w:r>
              <w:rPr>
                <w:rFonts w:hint="eastAsia"/>
              </w:rPr>
              <w:t>教师</w:t>
            </w:r>
          </w:p>
        </w:tc>
        <w:tc>
          <w:tcPr>
            <w:tcW w:w="2768" w:type="dxa"/>
          </w:tcPr>
          <w:p w14:paraId="3F76B3CE">
            <w:r>
              <w:t>teacher1</w:t>
            </w:r>
          </w:p>
        </w:tc>
        <w:tc>
          <w:tcPr>
            <w:tcW w:w="2768" w:type="dxa"/>
          </w:tcPr>
          <w:p w14:paraId="2DA1734A">
            <w:r>
              <w:t>123456</w:t>
            </w:r>
          </w:p>
        </w:tc>
      </w:tr>
      <w:tr>
        <w:trPr/>
        <w:tc>
          <w:tcPr>
            <w:tcW w:w="2768" w:type="dxa"/>
          </w:tcPr>
          <w:p w14:paraId="369DC8D6">
            <w:r>
              <w:rPr>
                <w:rFonts w:hint="eastAsia"/>
              </w:rPr>
              <w:t>家长</w:t>
            </w:r>
          </w:p>
        </w:tc>
        <w:tc>
          <w:tcPr>
            <w:tcW w:w="2768" w:type="dxa"/>
          </w:tcPr>
          <w:p w14:paraId="06A2B063">
            <w:r>
              <w:t>parent1</w:t>
            </w:r>
          </w:p>
        </w:tc>
        <w:tc>
          <w:tcPr>
            <w:tcW w:w="2768" w:type="dxa"/>
          </w:tcPr>
          <w:p w14:paraId="2B187C1C">
            <w:r>
              <w:t>123456</w:t>
            </w:r>
          </w:p>
        </w:tc>
      </w:tr>
    </w:tbl>
    <w:p w14:paraId="4E9AFC04">
      <w:pPr>
        <w:keepNext w:val="1"/>
        <w:keepLines w:val="1"/>
        <w:spacing w:before="100" w:beforeAutospacing="1" w:after="100" w:afterAutospacing="1"/>
        <w:outlineLvl w:val="1"/>
        <w:rPr>
          <w:sz w:val="32"/>
          <w:szCs w:val="32"/>
        </w:rPr>
      </w:pPr>
      <w:r>
        <w:rPr>
          <w:rFonts w:hint="eastAsia"/>
          <w:b w:val="1"/>
          <w:sz w:val="32"/>
        </w:rPr>
        <w:t>A.4 系统功能操作说明</w:t>
      </w:r>
    </w:p>
    <w:p w14:paraId="73C567BD">
      <w:r>
        <w:rPr>
          <w:rFonts w:hint="eastAsia"/>
        </w:rPr>
        <w:t>系统按角色提供如下主要操作：</w:t>
      </w:r>
    </w:p>
    <w:p w14:paraId="6AC51B90">
      <w:r>
        <w:t>1.</w:t>
      </w:r>
      <w:r>
        <w:rPr>
          <w:rFonts w:hint="eastAsia"/>
          <w:b w:val="1"/>
        </w:rPr>
        <w:t>学员家长（移动端）</w:t>
      </w:r>
      <w:r>
        <w:rPr>
          <w:rFonts w:hint="eastAsia"/>
        </w:rPr>
        <w:t>：查看课程套餐并在线报名、查看周课表与学情详情、查询剩余课时与消耗流水、接收上课提醒与调课通知、发起请假与退费申请、查看缴费记录。</w:t>
      </w:r>
    </w:p>
    <w:p w14:paraId="04B35E85">
      <w:r>
        <w:t>2.</w:t>
      </w:r>
      <w:r>
        <w:rPr>
          <w:rFonts w:hint="eastAsia"/>
          <w:b w:val="1"/>
        </w:rPr>
        <w:t>授课教师（移动端）</w:t>
      </w:r>
      <w:r>
        <w:rPr>
          <w:rFonts w:hint="eastAsia"/>
        </w:rPr>
        <w:t>：查看个人授课课表、对课次进行课堂考勤（到课/迟到/请假/缺勤）、发布作业并点评学员表现、查看个人月度课时统计、发起调课申请。</w:t>
      </w:r>
    </w:p>
    <w:p w14:paraId="6BC3150E">
      <w:r>
        <w:t>3.</w:t>
      </w:r>
      <w:r>
        <w:rPr>
          <w:rFonts w:hint="eastAsia"/>
          <w:b w:val="1"/>
        </w:rPr>
        <w:t>教务管理员（管理后台）</w:t>
      </w:r>
      <w:r>
        <w:rPr>
          <w:rFonts w:hint="eastAsia"/>
        </w:rPr>
        <w:t>：维护课程、班级与课节时段，执行批量/自动排课，在大课表拖拽快速调课并审核教师调课申请，审核报名，管理学员档案、分班与转班，维护考级项目与成绩。</w:t>
      </w:r>
    </w:p>
    <w:p w14:paraId="308A1D1F">
      <w:r>
        <w:t>4.</w:t>
      </w:r>
      <w:r>
        <w:rPr>
          <w:rFonts w:hint="eastAsia"/>
          <w:b w:val="1"/>
        </w:rPr>
        <w:t>财务管理员（管理后台）</w:t>
      </w:r>
      <w:r>
        <w:rPr>
          <w:rFonts w:hint="eastAsia"/>
        </w:rPr>
        <w:t>：登记收费与续费、审核退费、查看课时消耗报表、配置薪资规则并核算/确认/发放教师薪资、查看营收统计并导出报表。</w:t>
      </w:r>
    </w:p>
    <w:p w14:paraId="0368ADCC">
      <w:r>
        <w:t>5.</w:t>
      </w:r>
      <w:r>
        <w:rPr>
          <w:rFonts w:hint="eastAsia"/>
          <w:b w:val="1"/>
        </w:rPr>
        <w:t>超级管理员（管理后台）</w:t>
      </w:r>
      <w:r>
        <w:rPr>
          <w:rFonts w:hint="eastAsia"/>
        </w:rPr>
        <w:t>：管理用户、角色与权限、配置机构信息、发布公告、查看全局运营看板与流失预警清单、查看操作日志。</w:t>
      </w:r>
    </w:p>
    <w:p w14:paraId="6130C9DD"/>
    <w:p w14:paraId="3ECD05B0">
      <w:r>
        <w:br w:type="page"/>
      </w:r>
    </w:p>
    <w:p w14:paraId="37E8757F">
      <w:pPr>
        <w:pStyle w:val="Heading1"/>
        <w:keepNext w:val="1"/>
        <w:keepLines w:val="1"/>
        <w:spacing w:before="100" w:beforeAutospacing="1" w:after="100" w:afterAutospacing="1"/>
        <w:outlineLvl w:val="0"/>
        <w:rPr>
          <w:kern w:val="44"/>
          <w:sz w:val="44"/>
          <w:szCs w:val="44"/>
        </w:rPr>
      </w:pPr>
      <w:r>
        <w:rPr>
          <w:rFonts w:hint="eastAsia"/>
          <w:b w:val="1"/>
          <w:sz w:val="44"/>
        </w:rPr>
        <w:t>图 集</w:t>
      </w:r>
    </w:p>
    <w:p w14:paraId="1F18B494">
      <w:pPr>
        <w:jc w:val="center"/>
      </w:pPr>
      <w:r>
        <w:rPr>
          <w:rFonts w:hint="eastAsia"/>
          <w:b w:val="1"/>
        </w:rPr>
        <w:t>图 2.1 系统总体架构图</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5058060"/>
            <wp:docPr id="1" name="Picture 1"/>
            <wp:cNvGraphicFramePr>
              <a:graphicFrameLocks noChangeAspect="1"/>
            </wp:cNvGraphicFramePr>
            <a:graphic>
              <a:graphicData uri="http://schemas.openxmlformats.org/drawingml/2006/picture">
                <pic:pic>
                  <pic:nvPicPr>
                    <pic:cNvPr id="0" name="fig2-1.png"/>
                    <pic:cNvPicPr/>
                  </pic:nvPicPr>
                  <pic:blipFill>
                    <a:blip r:embed="rId4"/>
                    <a:stretch>
                      <a:fillRect/>
                    </a:stretch>
                  </pic:blipFill>
                  <pic:spPr>
                    <a:xfrm>
                      <a:off x="0" y="0"/>
                      <a:ext cx="5486400" cy="5058060"/>
                    </a:xfrm>
                    <a:prstGeom prst="rect"/>
                  </pic:spPr>
                </pic:pic>
              </a:graphicData>
            </a:graphic>
          </wp:inline>
        </w:drawing>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16858527"/>
            <wp:docPr id="2" name="Picture 2"/>
            <wp:cNvGraphicFramePr>
              <a:graphicFrameLocks noChangeAspect="1"/>
            </wp:cNvGraphicFramePr>
            <a:graphic>
              <a:graphicData uri="http://schemas.openxmlformats.org/drawingml/2006/picture">
                <pic:pic>
                  <pic:nvPicPr>
                    <pic:cNvPr id="0" name="fig2-2.png"/>
                    <pic:cNvPicPr/>
                  </pic:nvPicPr>
                  <pic:blipFill>
                    <a:blip r:embed="rId5"/>
                    <a:stretch>
                      <a:fillRect/>
                    </a:stretch>
                  </pic:blipFill>
                  <pic:spPr>
                    <a:xfrm>
                      <a:off x="0" y="0"/>
                      <a:ext cx="5486400" cy="16858527"/>
                    </a:xfrm>
                    <a:prstGeom prst="rect"/>
                  </pic:spPr>
                </pic:pic>
              </a:graphicData>
            </a:graphic>
          </wp:inline>
        </w:drawing>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3935186"/>
            <wp:docPr id="3" name="Picture 3"/>
            <wp:cNvGraphicFramePr>
              <a:graphicFrameLocks noChangeAspect="1"/>
            </wp:cNvGraphicFramePr>
            <a:graphic>
              <a:graphicData uri="http://schemas.openxmlformats.org/drawingml/2006/picture">
                <pic:pic>
                  <pic:nvPicPr>
                    <pic:cNvPr id="0" name="fig2-3.png"/>
                    <pic:cNvPicPr/>
                  </pic:nvPicPr>
                  <pic:blipFill>
                    <a:blip r:embed="rId6"/>
                    <a:stretch>
                      <a:fillRect/>
                    </a:stretch>
                  </pic:blipFill>
                  <pic:spPr>
                    <a:xfrm>
                      <a:off x="0" y="0"/>
                      <a:ext cx="5486400" cy="3935186"/>
                    </a:xfrm>
                    <a:prstGeom prst="rect"/>
                  </pic:spPr>
                </pic:pic>
              </a:graphicData>
            </a:graphic>
          </wp:inline>
        </w:drawing>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13243034"/>
            <wp:docPr id="4" name="Picture 4"/>
            <wp:cNvGraphicFramePr>
              <a:graphicFrameLocks noChangeAspect="1"/>
            </wp:cNvGraphicFramePr>
            <a:graphic>
              <a:graphicData uri="http://schemas.openxmlformats.org/drawingml/2006/picture">
                <pic:pic>
                  <pic:nvPicPr>
                    <pic:cNvPr id="0" name="fig2-4.png"/>
                    <pic:cNvPicPr/>
                  </pic:nvPicPr>
                  <pic:blipFill>
                    <a:blip r:embed="rId7"/>
                    <a:stretch>
                      <a:fillRect/>
                    </a:stretch>
                  </pic:blipFill>
                  <pic:spPr>
                    <a:xfrm>
                      <a:off x="0" y="0"/>
                      <a:ext cx="5486400" cy="13243034"/>
                    </a:xfrm>
                    <a:prstGeom prst="rect"/>
                  </pic:spPr>
                </pic:pic>
              </a:graphicData>
            </a:graphic>
          </wp:inline>
        </w:drawing>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10542896"/>
            <wp:docPr id="5" name="Picture 5"/>
            <wp:cNvGraphicFramePr>
              <a:graphicFrameLocks noChangeAspect="1"/>
            </wp:cNvGraphicFramePr>
            <a:graphic>
              <a:graphicData uri="http://schemas.openxmlformats.org/drawingml/2006/picture">
                <pic:pic>
                  <pic:nvPicPr>
                    <pic:cNvPr id="0" name="fig2-5.png"/>
                    <pic:cNvPicPr/>
                  </pic:nvPicPr>
                  <pic:blipFill>
                    <a:blip r:embed="rId8"/>
                    <a:stretch>
                      <a:fillRect/>
                    </a:stretch>
                  </pic:blipFill>
                  <pic:spPr>
                    <a:xfrm>
                      <a:off x="0" y="0"/>
                      <a:ext cx="5486400" cy="10542896"/>
                    </a:xfrm>
                    <a:prstGeom prst="rect"/>
                  </pic:spPr>
                </pic:pic>
              </a:graphicData>
            </a:graphic>
          </wp:inline>
        </w:drawing>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7694341"/>
            <wp:docPr id="6" name="Picture 6"/>
            <wp:cNvGraphicFramePr>
              <a:graphicFrameLocks noChangeAspect="1"/>
            </wp:cNvGraphicFramePr>
            <a:graphic>
              <a:graphicData uri="http://schemas.openxmlformats.org/drawingml/2006/picture">
                <pic:pic>
                  <pic:nvPicPr>
                    <pic:cNvPr id="0" name="fig2-6.png"/>
                    <pic:cNvPicPr/>
                  </pic:nvPicPr>
                  <pic:blipFill>
                    <a:blip r:embed="rId9"/>
                    <a:stretch>
                      <a:fillRect/>
                    </a:stretch>
                  </pic:blipFill>
                  <pic:spPr>
                    <a:xfrm>
                      <a:off x="0" y="0"/>
                      <a:ext cx="5486400" cy="7694341"/>
                    </a:xfrm>
                    <a:prstGeom prst="rect"/>
                  </pic:spPr>
                </pic:pic>
              </a:graphicData>
            </a:graphic>
          </wp:inline>
        </w:drawing>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1490525"/>
            <wp:docPr id="7" name="Picture 7"/>
            <wp:cNvGraphicFramePr>
              <a:graphicFrameLocks noChangeAspect="1"/>
            </wp:cNvGraphicFramePr>
            <a:graphic>
              <a:graphicData uri="http://schemas.openxmlformats.org/drawingml/2006/picture">
                <pic:pic>
                  <pic:nvPicPr>
                    <pic:cNvPr id="0" name="fig2-7.png"/>
                    <pic:cNvPicPr/>
                  </pic:nvPicPr>
                  <pic:blipFill>
                    <a:blip r:embed="rId10"/>
                    <a:stretch>
                      <a:fillRect/>
                    </a:stretch>
                  </pic:blipFill>
                  <pic:spPr>
                    <a:xfrm>
                      <a:off x="0" y="0"/>
                      <a:ext cx="5486400" cy="1490525"/>
                    </a:xfrm>
                    <a:prstGeom prst="rect"/>
                  </pic:spPr>
                </pic:pic>
              </a:graphicData>
            </a:graphic>
          </wp:inline>
        </w:drawing>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3337824"/>
            <wp:docPr id="8" name="Picture 8"/>
            <wp:cNvGraphicFramePr>
              <a:graphicFrameLocks noChangeAspect="1"/>
            </wp:cNvGraphicFramePr>
            <a:graphic>
              <a:graphicData uri="http://schemas.openxmlformats.org/drawingml/2006/picture">
                <pic:pic>
                  <pic:nvPicPr>
                    <pic:cNvPr id="0" name="fig2-8.png"/>
                    <pic:cNvPicPr/>
                  </pic:nvPicPr>
                  <pic:blipFill>
                    <a:blip r:embed="rId11"/>
                    <a:stretch>
                      <a:fillRect/>
                    </a:stretch>
                  </pic:blipFill>
                  <pic:spPr>
                    <a:xfrm>
                      <a:off x="0" y="0"/>
                      <a:ext cx="5486400" cy="3337824"/>
                    </a:xfrm>
                    <a:prstGeom prst="rect"/>
                  </pic:spPr>
                </pic:pic>
              </a:graphicData>
            </a:graphic>
          </wp:inline>
        </w:drawing>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3637344"/>
            <wp:docPr id="9" name="Picture 9"/>
            <wp:cNvGraphicFramePr>
              <a:graphicFrameLocks noChangeAspect="1"/>
            </wp:cNvGraphicFramePr>
            <a:graphic>
              <a:graphicData uri="http://schemas.openxmlformats.org/drawingml/2006/picture">
                <pic:pic>
                  <pic:nvPicPr>
                    <pic:cNvPr id="0" name="parent-home.png"/>
                    <pic:cNvPicPr/>
                  </pic:nvPicPr>
                  <pic:blipFill>
                    <a:blip r:embed="rId12"/>
                    <a:stretch>
                      <a:fillRect/>
                    </a:stretch>
                  </pic:blipFill>
                  <pic:spPr>
                    <a:xfrm>
                      <a:off x="0" y="0"/>
                      <a:ext cx="5486400" cy="3637344"/>
                    </a:xfrm>
                    <a:prstGeom prst="rect"/>
                  </pic:spPr>
                </pic:pic>
              </a:graphicData>
            </a:graphic>
          </wp:inline>
        </w:drawing>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3086100"/>
            <wp:docPr id="10" name="Picture 10"/>
            <wp:cNvGraphicFramePr>
              <a:graphicFrameLocks noChangeAspect="1"/>
            </wp:cNvGraphicFramePr>
            <a:graphic>
              <a:graphicData uri="http://schemas.openxmlformats.org/drawingml/2006/picture">
                <pic:pic>
                  <pic:nvPicPr>
                    <pic:cNvPr id="0" name="报名管理.png"/>
                    <pic:cNvPicPr/>
                  </pic:nvPicPr>
                  <pic:blipFill>
                    <a:blip r:embed="rId13"/>
                    <a:stretch>
                      <a:fillRect/>
                    </a:stretch>
                  </pic:blipFill>
                  <pic:spPr>
                    <a:xfrm>
                      <a:off x="0" y="0"/>
                      <a:ext cx="5486400" cy="3086100"/>
                    </a:xfrm>
                    <a:prstGeom prst="rect"/>
                  </pic:spPr>
                </pic:pic>
              </a:graphicData>
            </a:graphic>
          </wp:inline>
        </w:drawing>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3086100"/>
            <wp:docPr id="11" name="Picture 11"/>
            <wp:cNvGraphicFramePr>
              <a:graphicFrameLocks noChangeAspect="1"/>
            </wp:cNvGraphicFramePr>
            <a:graphic>
              <a:graphicData uri="http://schemas.openxmlformats.org/drawingml/2006/picture">
                <pic:pic>
                  <pic:nvPicPr>
                    <pic:cNvPr id="0" name="退费管理.png"/>
                    <pic:cNvPicPr/>
                  </pic:nvPicPr>
                  <pic:blipFill>
                    <a:blip r:embed="rId14"/>
                    <a:stretch>
                      <a:fillRect/>
                    </a:stretch>
                  </pic:blipFill>
                  <pic:spPr>
                    <a:xfrm>
                      <a:off x="0" y="0"/>
                      <a:ext cx="5486400" cy="3086100"/>
                    </a:xfrm>
                    <a:prstGeom prst="rect"/>
                  </pic:spPr>
                </pic:pic>
              </a:graphicData>
            </a:graphic>
          </wp:inline>
        </w:drawing>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3086100"/>
            <wp:docPr id="12" name="Picture 12"/>
            <wp:cNvGraphicFramePr>
              <a:graphicFrameLocks noChangeAspect="1"/>
            </wp:cNvGraphicFramePr>
            <a:graphic>
              <a:graphicData uri="http://schemas.openxmlformats.org/drawingml/2006/picture">
                <pic:pic>
                  <pic:nvPicPr>
                    <pic:cNvPr id="0" name="排课管理.png"/>
                    <pic:cNvPicPr/>
                  </pic:nvPicPr>
                  <pic:blipFill>
                    <a:blip r:embed="rId15"/>
                    <a:stretch>
                      <a:fillRect/>
                    </a:stretch>
                  </pic:blipFill>
                  <pic:spPr>
                    <a:xfrm>
                      <a:off x="0" y="0"/>
                      <a:ext cx="5486400" cy="3086100"/>
                    </a:xfrm>
                    <a:prstGeom prst="rect"/>
                  </pic:spPr>
                </pic:pic>
              </a:graphicData>
            </a:graphic>
          </wp:inline>
        </w:drawing>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3086100"/>
            <wp:docPr id="13" name="Picture 13"/>
            <wp:cNvGraphicFramePr>
              <a:graphicFrameLocks noChangeAspect="1"/>
            </wp:cNvGraphicFramePr>
            <a:graphic>
              <a:graphicData uri="http://schemas.openxmlformats.org/drawingml/2006/picture">
                <pic:pic>
                  <pic:nvPicPr>
                    <pic:cNvPr id="0" name="大课表.png"/>
                    <pic:cNvPicPr/>
                  </pic:nvPicPr>
                  <pic:blipFill>
                    <a:blip r:embed="rId16"/>
                    <a:stretch>
                      <a:fillRect/>
                    </a:stretch>
                  </pic:blipFill>
                  <pic:spPr>
                    <a:xfrm>
                      <a:off x="0" y="0"/>
                      <a:ext cx="5486400" cy="3086100"/>
                    </a:xfrm>
                    <a:prstGeom prst="rect"/>
                  </pic:spPr>
                </pic:pic>
              </a:graphicData>
            </a:graphic>
          </wp:inline>
        </w:drawing>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3086100"/>
            <wp:docPr id="14" name="Picture 14"/>
            <wp:cNvGraphicFramePr>
              <a:graphicFrameLocks noChangeAspect="1"/>
            </wp:cNvGraphicFramePr>
            <a:graphic>
              <a:graphicData uri="http://schemas.openxmlformats.org/drawingml/2006/picture">
                <pic:pic>
                  <pic:nvPicPr>
                    <pic:cNvPr id="0" name="考勤管理.png"/>
                    <pic:cNvPicPr/>
                  </pic:nvPicPr>
                  <pic:blipFill>
                    <a:blip r:embed="rId17"/>
                    <a:stretch>
                      <a:fillRect/>
                    </a:stretch>
                  </pic:blipFill>
                  <pic:spPr>
                    <a:xfrm>
                      <a:off x="0" y="0"/>
                      <a:ext cx="5486400" cy="3086100"/>
                    </a:xfrm>
                    <a:prstGeom prst="rect"/>
                  </pic:spPr>
                </pic:pic>
              </a:graphicData>
            </a:graphic>
          </wp:inline>
        </w:drawing>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3637344"/>
            <wp:docPr id="15" name="Picture 15"/>
            <wp:cNvGraphicFramePr>
              <a:graphicFrameLocks noChangeAspect="1"/>
            </wp:cNvGraphicFramePr>
            <a:graphic>
              <a:graphicData uri="http://schemas.openxmlformats.org/drawingml/2006/picture">
                <pic:pic>
                  <pic:nvPicPr>
                    <pic:cNvPr id="0" name="teacher-home.png"/>
                    <pic:cNvPicPr/>
                  </pic:nvPicPr>
                  <pic:blipFill>
                    <a:blip r:embed="rId18"/>
                    <a:stretch>
                      <a:fillRect/>
                    </a:stretch>
                  </pic:blipFill>
                  <pic:spPr>
                    <a:xfrm>
                      <a:off x="0" y="0"/>
                      <a:ext cx="5486400" cy="3637344"/>
                    </a:xfrm>
                    <a:prstGeom prst="rect"/>
                  </pic:spPr>
                </pic:pic>
              </a:graphicData>
            </a:graphic>
          </wp:inline>
        </w:drawing>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3086100"/>
            <wp:docPr id="16" name="Picture 16"/>
            <wp:cNvGraphicFramePr>
              <a:graphicFrameLocks noChangeAspect="1"/>
            </wp:cNvGraphicFramePr>
            <a:graphic>
              <a:graphicData uri="http://schemas.openxmlformats.org/drawingml/2006/picture">
                <pic:pic>
                  <pic:nvPicPr>
                    <pic:cNvPr id="0" name="课时账户.png"/>
                    <pic:cNvPicPr/>
                  </pic:nvPicPr>
                  <pic:blipFill>
                    <a:blip r:embed="rId19"/>
                    <a:stretch>
                      <a:fillRect/>
                    </a:stretch>
                  </pic:blipFill>
                  <pic:spPr>
                    <a:xfrm>
                      <a:off x="0" y="0"/>
                      <a:ext cx="5486400" cy="3086100"/>
                    </a:xfrm>
                    <a:prstGeom prst="rect"/>
                  </pic:spPr>
                </pic:pic>
              </a:graphicData>
            </a:graphic>
          </wp:inline>
        </w:drawing>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3086100"/>
            <wp:docPr id="17" name="Picture 17"/>
            <wp:cNvGraphicFramePr>
              <a:graphicFrameLocks noChangeAspect="1"/>
            </wp:cNvGraphicFramePr>
            <a:graphic>
              <a:graphicData uri="http://schemas.openxmlformats.org/drawingml/2006/picture">
                <pic:pic>
                  <pic:nvPicPr>
                    <pic:cNvPr id="0" name="课时流水.png"/>
                    <pic:cNvPicPr/>
                  </pic:nvPicPr>
                  <pic:blipFill>
                    <a:blip r:embed="rId20"/>
                    <a:stretch>
                      <a:fillRect/>
                    </a:stretch>
                  </pic:blipFill>
                  <pic:spPr>
                    <a:xfrm>
                      <a:off x="0" y="0"/>
                      <a:ext cx="5486400" cy="3086100"/>
                    </a:xfrm>
                    <a:prstGeom prst="rect"/>
                  </pic:spPr>
                </pic:pic>
              </a:graphicData>
            </a:graphic>
          </wp:inline>
        </w:drawing>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3086100"/>
            <wp:docPr id="18" name="Picture 18"/>
            <wp:cNvGraphicFramePr>
              <a:graphicFrameLocks noChangeAspect="1"/>
            </wp:cNvGraphicFramePr>
            <a:graphic>
              <a:graphicData uri="http://schemas.openxmlformats.org/drawingml/2006/picture">
                <pic:pic>
                  <pic:nvPicPr>
                    <pic:cNvPr id="0" name="收费管理.png"/>
                    <pic:cNvPicPr/>
                  </pic:nvPicPr>
                  <pic:blipFill>
                    <a:blip r:embed="rId21"/>
                    <a:stretch>
                      <a:fillRect/>
                    </a:stretch>
                  </pic:blipFill>
                  <pic:spPr>
                    <a:xfrm>
                      <a:off x="0" y="0"/>
                      <a:ext cx="5486400" cy="3086100"/>
                    </a:xfrm>
                    <a:prstGeom prst="rect"/>
                  </pic:spPr>
                </pic:pic>
              </a:graphicData>
            </a:graphic>
          </wp:inline>
        </w:drawing>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3086100"/>
            <wp:docPr id="19" name="Picture 19"/>
            <wp:cNvGraphicFramePr>
              <a:graphicFrameLocks noChangeAspect="1"/>
            </wp:cNvGraphicFramePr>
            <a:graphic>
              <a:graphicData uri="http://schemas.openxmlformats.org/drawingml/2006/picture">
                <pic:pic>
                  <pic:nvPicPr>
                    <pic:cNvPr id="0" name="薪资管理.png"/>
                    <pic:cNvPicPr/>
                  </pic:nvPicPr>
                  <pic:blipFill>
                    <a:blip r:embed="rId22"/>
                    <a:stretch>
                      <a:fillRect/>
                    </a:stretch>
                  </pic:blipFill>
                  <pic:spPr>
                    <a:xfrm>
                      <a:off x="0" y="0"/>
                      <a:ext cx="5486400" cy="3086100"/>
                    </a:xfrm>
                    <a:prstGeom prst="rect"/>
                  </pic:spPr>
                </pic:pic>
              </a:graphicData>
            </a:graphic>
          </wp:inline>
        </w:drawing>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3086100"/>
            <wp:docPr id="20" name="Picture 20"/>
            <wp:cNvGraphicFramePr>
              <a:graphicFrameLocks noChangeAspect="1"/>
            </wp:cNvGraphicFramePr>
            <a:graphic>
              <a:graphicData uri="http://schemas.openxmlformats.org/drawingml/2006/picture">
                <pic:pic>
                  <pic:nvPicPr>
                    <pic:cNvPr id="0" name="考级管理.png"/>
                    <pic:cNvPicPr/>
                  </pic:nvPicPr>
                  <pic:blipFill>
                    <a:blip r:embed="rId23"/>
                    <a:stretch>
                      <a:fillRect/>
                    </a:stretch>
                  </pic:blipFill>
                  <pic:spPr>
                    <a:xfrm>
                      <a:off x="0" y="0"/>
                      <a:ext cx="5486400" cy="3086100"/>
                    </a:xfrm>
                    <a:prstGeom prst="rect"/>
                  </pic:spPr>
                </pic:pic>
              </a:graphicData>
            </a:graphic>
          </wp:inline>
        </w:drawing>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3086100"/>
            <wp:docPr id="21" name="Picture 21"/>
            <wp:cNvGraphicFramePr>
              <a:graphicFrameLocks noChangeAspect="1"/>
            </wp:cNvGraphicFramePr>
            <a:graphic>
              <a:graphicData uri="http://schemas.openxmlformats.org/drawingml/2006/picture">
                <pic:pic>
                  <pic:nvPicPr>
                    <pic:cNvPr id="0" name="运营看板.png"/>
                    <pic:cNvPicPr/>
                  </pic:nvPicPr>
                  <pic:blipFill>
                    <a:blip r:embed="rId24"/>
                    <a:stretch>
                      <a:fillRect/>
                    </a:stretch>
                  </pic:blipFill>
                  <pic:spPr>
                    <a:xfrm>
                      <a:off x="0" y="0"/>
                      <a:ext cx="5486400" cy="3086100"/>
                    </a:xfrm>
                    <a:prstGeom prst="rect"/>
                  </pic:spPr>
                </pic:pic>
              </a:graphicData>
            </a:graphic>
          </wp:inline>
        </w:drawing>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3086100"/>
            <wp:docPr id="22" name="Picture 22"/>
            <wp:cNvGraphicFramePr>
              <a:graphicFrameLocks noChangeAspect="1"/>
            </wp:cNvGraphicFramePr>
            <a:graphic>
              <a:graphicData uri="http://schemas.openxmlformats.org/drawingml/2006/picture">
                <pic:pic>
                  <pic:nvPicPr>
                    <pic:cNvPr id="0" name="edu-admin-dashboard.png"/>
                    <pic:cNvPicPr/>
                  </pic:nvPicPr>
                  <pic:blipFill>
                    <a:blip r:embed="rId25"/>
                    <a:stretch>
                      <a:fillRect/>
                    </a:stretch>
                  </pic:blipFill>
                  <pic:spPr>
                    <a:xfrm>
                      <a:off x="0" y="0"/>
                      <a:ext cx="5486400" cy="3086100"/>
                    </a:xfrm>
                    <a:prstGeom prst="rect"/>
                  </pic:spPr>
                </pic:pic>
              </a:graphicData>
            </a:graphic>
          </wp:inline>
        </w:drawing>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3086100"/>
            <wp:docPr id="23" name="Picture 23"/>
            <wp:cNvGraphicFramePr>
              <a:graphicFrameLocks noChangeAspect="1"/>
            </wp:cNvGraphicFramePr>
            <a:graphic>
              <a:graphicData uri="http://schemas.openxmlformats.org/drawingml/2006/picture">
                <pic:pic>
                  <pic:nvPicPr>
                    <pic:cNvPr id="0" name="super-admin-dashboard.png"/>
                    <pic:cNvPicPr/>
                  </pic:nvPicPr>
                  <pic:blipFill>
                    <a:blip r:embed="rId26"/>
                    <a:stretch>
                      <a:fillRect/>
                    </a:stretch>
                  </pic:blipFill>
                  <pic:spPr>
                    <a:xfrm>
                      <a:off x="0" y="0"/>
                      <a:ext cx="5486400" cy="3086100"/>
                    </a:xfrm>
                    <a:prstGeom prst="rect"/>
                  </pic:spPr>
                </pic:pic>
              </a:graphicData>
            </a:graphic>
          </wp:inline>
        </w:drawing>
      </w:r>
    </w:p>
    <w:p w14:paraId="642B9781">
      <w:pPr>
        <w:jc w:val="center"/>
      </w:pPr>
      <w:r>
        <w:rPr>
          <w:rFonts w:hint="eastAsia"/>
          <w:b w:val="1"/>
        </w:rPr>
        <w:t>图 2.2 系统功能结构图</w:t>
      </w:r>
    </w:p>
    <w:p w14:paraId="0061F460">
      <w:pPr>
        <w:jc w:val="center"/>
      </w:pPr>
      <w:r>
        <w:rPr>
          <w:rFonts w:hint="eastAsia"/>
          <w:b w:val="1"/>
        </w:rPr>
        <w:t>图 2.3 报名-缴费-退费业务时序图</w:t>
      </w:r>
    </w:p>
    <w:p w14:paraId="020E694E">
      <w:pPr>
        <w:jc w:val="center"/>
      </w:pPr>
      <w:r>
        <w:rPr>
          <w:rFonts w:hint="eastAsia"/>
          <w:b w:val="1"/>
        </w:rPr>
        <w:t>图 2.4 排课-调课业务流程图</w:t>
      </w:r>
    </w:p>
    <w:p w14:paraId="40789257">
      <w:pPr>
        <w:jc w:val="center"/>
      </w:pPr>
      <w:r>
        <w:rPr>
          <w:rFonts w:hint="eastAsia"/>
          <w:b w:val="1"/>
        </w:rPr>
        <w:t>图 2.5 考勤与课时自动扣减流程图</w:t>
      </w:r>
    </w:p>
    <w:p w14:paraId="65FA2A6F">
      <w:pPr>
        <w:jc w:val="center"/>
      </w:pPr>
      <w:r>
        <w:rPr>
          <w:rFonts w:hint="eastAsia"/>
          <w:b w:val="1"/>
        </w:rPr>
        <w:t>图 2.6 薪资核算状态流转图</w:t>
      </w:r>
    </w:p>
    <w:p w14:paraId="239895B4">
      <w:pPr>
        <w:jc w:val="center"/>
      </w:pPr>
      <w:r>
        <w:rPr>
          <w:rFonts w:hint="eastAsia"/>
          <w:b w:val="1"/>
        </w:rPr>
        <w:t>图 2.7 运营统计与流失预警流程图</w:t>
      </w:r>
    </w:p>
    <w:p w14:paraId="61AD40D9">
      <w:pPr>
        <w:jc w:val="center"/>
      </w:pPr>
      <w:r>
        <w:rPr>
          <w:rFonts w:hint="eastAsia"/>
          <w:b w:val="1"/>
        </w:rPr>
        <w:t>图 2.8 核心实体关系（E-R）图</w:t>
      </w:r>
    </w:p>
    <w:p w14:paraId="495F4046">
      <w:pPr>
        <w:jc w:val="center"/>
      </w:pPr>
      <w:r>
        <w:rPr>
          <w:rFonts w:hint="eastAsia"/>
          <w:b w:val="1"/>
        </w:rPr>
        <w:t>图 3.1 家长端首页界面</w:t>
      </w:r>
    </w:p>
    <w:p w14:paraId="31B4E67E">
      <w:pPr>
        <w:jc w:val="center"/>
      </w:pPr>
      <w:r>
        <w:rPr>
          <w:rFonts w:hint="eastAsia"/>
          <w:b w:val="1"/>
        </w:rPr>
        <w:t>图 3.2 报名管理界面</w:t>
      </w:r>
    </w:p>
    <w:p w14:paraId="38CD1CAA">
      <w:pPr>
        <w:jc w:val="center"/>
      </w:pPr>
      <w:r>
        <w:rPr>
          <w:rFonts w:hint="eastAsia"/>
          <w:b w:val="1"/>
        </w:rPr>
        <w:t>图 3.3 退费管理界面</w:t>
      </w:r>
    </w:p>
    <w:p w14:paraId="230A510A">
      <w:pPr>
        <w:jc w:val="center"/>
      </w:pPr>
      <w:r>
        <w:rPr>
          <w:rFonts w:hint="eastAsia"/>
          <w:b w:val="1"/>
        </w:rPr>
        <w:t>图 3.4 排课管理界面</w:t>
      </w:r>
    </w:p>
    <w:p w14:paraId="4C6B850C">
      <w:pPr>
        <w:jc w:val="center"/>
      </w:pPr>
      <w:r>
        <w:rPr>
          <w:rFonts w:hint="eastAsia"/>
          <w:b w:val="1"/>
        </w:rPr>
        <w:t>图 3.5 大课表界面</w:t>
      </w:r>
    </w:p>
    <w:p w14:paraId="3461A360">
      <w:pPr>
        <w:jc w:val="center"/>
      </w:pPr>
      <w:r>
        <w:rPr>
          <w:rFonts w:hint="eastAsia"/>
          <w:b w:val="1"/>
        </w:rPr>
        <w:t>图 3.6 考勤管理界面</w:t>
      </w:r>
    </w:p>
    <w:p w14:paraId="1D66E24D">
      <w:pPr>
        <w:jc w:val="center"/>
      </w:pPr>
      <w:r>
        <w:rPr>
          <w:rFonts w:hint="eastAsia"/>
          <w:b w:val="1"/>
        </w:rPr>
        <w:t>图 3.7 教师端首页界面</w:t>
      </w:r>
    </w:p>
    <w:p w14:paraId="042FC8BB">
      <w:pPr>
        <w:jc w:val="center"/>
      </w:pPr>
      <w:r>
        <w:rPr>
          <w:rFonts w:hint="eastAsia"/>
          <w:b w:val="1"/>
        </w:rPr>
        <w:t>图 3.8 课时账户界面</w:t>
      </w:r>
    </w:p>
    <w:p w14:paraId="0F1415E5">
      <w:pPr>
        <w:jc w:val="center"/>
      </w:pPr>
      <w:r>
        <w:rPr>
          <w:rFonts w:hint="eastAsia"/>
          <w:b w:val="1"/>
        </w:rPr>
        <w:t>图 3.9 课时流水界面</w:t>
      </w:r>
    </w:p>
    <w:p w14:paraId="5434361E">
      <w:pPr>
        <w:jc w:val="center"/>
      </w:pPr>
      <w:r>
        <w:rPr>
          <w:rFonts w:hint="eastAsia"/>
          <w:b w:val="1"/>
        </w:rPr>
        <w:t>图 3.10 收费管理界面</w:t>
      </w:r>
    </w:p>
    <w:p w14:paraId="3D33F738">
      <w:pPr>
        <w:jc w:val="center"/>
      </w:pPr>
      <w:r>
        <w:rPr>
          <w:rFonts w:hint="eastAsia"/>
          <w:b w:val="1"/>
        </w:rPr>
        <w:t>图 3.11 薪资管理界面</w:t>
      </w:r>
    </w:p>
    <w:p w14:paraId="021C106D">
      <w:pPr>
        <w:jc w:val="center"/>
      </w:pPr>
      <w:r>
        <w:rPr>
          <w:rFonts w:hint="eastAsia"/>
          <w:b w:val="1"/>
        </w:rPr>
        <w:t>图 3.12 考级管理界面</w:t>
      </w:r>
    </w:p>
    <w:p w14:paraId="6B0C1152">
      <w:pPr>
        <w:jc w:val="center"/>
      </w:pPr>
      <w:r>
        <w:rPr>
          <w:rFonts w:hint="eastAsia"/>
          <w:b w:val="1"/>
        </w:rPr>
        <w:t>图 3.13 运营看板界面</w:t>
      </w:r>
    </w:p>
    <w:p w14:paraId="4B5FA072">
      <w:pPr>
        <w:jc w:val="center"/>
      </w:pPr>
      <w:r>
        <w:rPr>
          <w:rFonts w:hint="eastAsia"/>
          <w:b w:val="1"/>
        </w:rPr>
        <w:t>图 3.14 教务视角运营看板界面</w:t>
      </w:r>
    </w:p>
    <w:p w14:paraId="44F1A236">
      <w:pPr>
        <w:jc w:val="center"/>
      </w:pPr>
      <w:r>
        <w:rPr>
          <w:rFonts w:hint="eastAsia"/>
          <w:b w:val="1"/>
        </w:rPr>
        <w:t>图 3.15 超级管理员视角运营看板界面</w:t>
      </w:r>
    </w:p>
    <w:sectPr/>
  </w:body>
</w:document>
</file>

<file path=word/fontTable.xml><?xml version="1.0" encoding="utf-8"?>
<w:fonts xmlns:w="http://schemas.openxmlformats.org/wordprocessingml/2006/main">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w="http://schemas.openxmlformats.org/wordprocessingml/2006/main">
  <w:zoom w:val="bestFit" w:percent="100"/>
  <w:defaultTabStop w:val="420"/>
  <w:compat>
    <w:spaceForUL w:val="1"/>
    <w:balanceSingleByteDoubleByteWidth w:val="1"/>
    <w:doNotLeaveBackslashAlone w:val="1"/>
    <w:ulTrailSpace w:val="1"/>
    <w:doNotExpandShiftReturn w:val="1"/>
    <w:adjustLineHeightInTable w:val="1"/>
    <w:useFELayout w:val="1"/>
  </w:compat>
</w:settings>
</file>

<file path=word/styles.xml><?xml version="1.0" encoding="utf-8"?>
<w:styles xmlns:w="http://schemas.openxmlformats.org/wordprocessingml/2006/main">
  <w:style w:type="paragraph" w:customStyle="1" w:styleId="Heading1">
    <w:name w:val="heading 1"/>
    <w:pPr>
      <w:spacing w:before="360" w:after="200"/>
    </w:pPr>
    <w:rPr>
      <w:rFonts w:ascii="黑体" w:hAnsi="黑体"/>
      <w:b/>
      <w:sz w:val="36"/>
    </w:rPr>
  </w:style>
  <w:style w:type="paragraph" w:customStyle="1" w:styleId="Heading2">
    <w:name w:val="heading 2"/>
    <w:pPr>
      <w:spacing w:before="280" w:after="160"/>
    </w:pPr>
    <w:rPr>
      <w:rFonts w:ascii="黑体" w:hAnsi="黑体"/>
      <w:b/>
      <w:sz w:val="30"/>
    </w:rPr>
  </w:style>
  <w:style w:type="paragraph" w:customStyle="1" w:styleId="Heading3">
    <w:name w:val="heading 3"/>
    <w:pPr>
      <w:spacing w:before="200" w:after="120"/>
    </w:pPr>
    <w:rPr>
      <w:rFonts w:ascii="黑体" w:hAnsi="黑体"/>
      <w:b/>
      <w:sz w:val="26"/>
    </w:rPr>
  </w:style>
  <w:style w:type="paragraph" w:customStyle="1" w:styleId="Heading4">
    <w:name w:val="heading 4"/>
    <w:pPr>
      <w:spacing w:before="160" w:after="80"/>
    </w:pPr>
    <w:rPr>
      <w:rFonts w:ascii="黑体" w:hAnsi="黑体"/>
      <w:b/>
      <w:sz w:val="24"/>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0" Type="http://schemas.openxmlformats.org/officeDocument/2006/relationships/styles" Target="styles.xml"/><Relationship Id="rId3" Type="http://schemas.openxmlformats.org/officeDocument/2006/relationships/theme" Target="theme/theme1.xml"/><Relationship Id="rId2" Type="http://schemas.openxmlformats.org/officeDocument/2006/relationships/fontTable" Target="fontTable.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2026-09-07T14:22:18Z</dcterms:created>
  <dcterms:modified xsi:type="dcterms:W3CDTF">2026-09-07T14:22:18Z</dcterms:modified>
</cp:coreProperties>
</file>