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12: Fire Response Coverage, a Network Analysis</w:t>
      </w:r>
    </w:p>
    <w:p>
      <w:pPr>
        <w:spacing w:after="420"/>
        <w:jc w:val="center"/>
      </w:pPr>
      <w:r>
        <w:rPr>
          <w:color w:val="1F3864"/>
          <w:sz w:val="32"/>
          <w:szCs w:val="32"/>
        </w:rPr>
        <w:t xml:space="preserve">Who in Utah County lives more than four minutes’ drive from a fire station</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Data and Their Metadata</w:t>
      </w:r>
    </w:p>
    <w:p>
      <w:pPr>
        <w:spacing w:after="160" w:before="60"/>
      </w:pPr>
      <w:r>
        <w:rPr>
          <w:i/>
          <w:iCs/>
          <w:color w:val="767171"/>
          <w:sz w:val="19"/>
          <w:szCs w:val="19"/>
        </w:rPr>
        <w:t xml:space="preserve">Rubric: the three metadata values and what each means for your count (2 points). Read them yourself on the UGRC pages and services linked in the Data section and in READ-ME-FIRST.txt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count</w:t>
            </w:r>
          </w:p>
        </w:tc>
      </w:tr>
      <w:tr>
        <w:trPr>
          <w:cantSplit/>
        </w:trPr>
        <w:tc>
          <w:tcPr>
            <w:tcW w:type="dxa" w:w="2600"/>
            <w:tcMar>
              <w:top w:type="dxa" w:w="90"/>
              <w:left w:type="dxa" w:w="120"/>
              <w:bottom w:type="dxa" w:w="90"/>
              <w:right w:type="dxa" w:w="120"/>
            </w:tcMar>
          </w:tcPr>
          <w:p>
            <w:r>
              <w:rPr>
                <w:color w:val="000000"/>
                <w:sz w:val="19"/>
                <w:szCs w:val="19"/>
              </w:rPr>
              <w:t xml:space="preserve">Fire stations: the “Last Update” date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Road network: what UGRC’s minutes were estimated from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Census blocks: what the layer’s description says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fire stations, the road network and the Census blocks.</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and its settings (the cutoff, the travel direction, the polygon options, the search tolerance, the selection relationship and its inversion, the buffer distance and dissolve),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Make Service Area Analysis Layer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Add Locations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Solve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Select Data + Copy Features (Served_Area)</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Select Layer By Location (network)</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Copy Features + Summary Statistics (network)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Buffer (Crow_Area)</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Select Layer By Location (buffer)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Copy Features + Summary Statistics (buffer)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Upload your project’s toolbox (Lab12.atbx)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cutoff and the buffer distance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cutoff and the buffer distance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0 to 6 (1 point); they also show the model works (part of its 4 points). These come from the defaults, 4 minutes and 3.75 km.</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shd w:fill="D9E2F3" w:color="auto" w:val="clear"/>
            <w:tcMar>
              <w:top w:type="dxa" w:w="90"/>
              <w:left w:type="dxa" w:w="120"/>
              <w:bottom w:type="dxa" w:w="90"/>
              <w:right w:type="dxa" w:w="120"/>
            </w:tcMar>
          </w:tcPr>
          <w:p>
            <w:r>
              <w:rPr>
                <w:b/>
                <w:bCs/>
                <w:color w:val="1F3864"/>
                <w:sz w:val="19"/>
                <w:szCs w:val="19"/>
              </w:rPr>
              <w:t xml:space="preserve">Check</w:t>
            </w:r>
          </w:p>
        </w:tc>
        <w:tc>
          <w:tcPr>
            <w:tcW w:type="dxa" w:w="4000"/>
            <w:shd w:fill="D9E2F3" w:color="auto" w:val="clear"/>
            <w:tcMar>
              <w:top w:type="dxa" w:w="90"/>
              <w:left w:type="dxa" w:w="120"/>
              <w:bottom w:type="dxa" w:w="90"/>
              <w:right w:type="dxa" w:w="120"/>
            </w:tcMar>
          </w:tcPr>
          <w:p>
            <w:r>
              <w:rPr>
                <w:b/>
                <w:bCs/>
                <w:color w:val="1F3864"/>
                <w:sz w:val="19"/>
                <w:szCs w:val="19"/>
              </w:rPr>
              <w:t xml:space="preserve">Your value</w:t>
            </w:r>
          </w:p>
        </w:tc>
      </w:tr>
      <w:tr>
        <w:trPr>
          <w:cantSplit/>
        </w:trPr>
        <w:tc>
          <w:tcPr>
            <w:tcW w:type="dxa" w:w="5360"/>
            <w:tcMar>
              <w:top w:type="dxa" w:w="90"/>
              <w:left w:type="dxa" w:w="120"/>
              <w:bottom w:type="dxa" w:w="90"/>
              <w:right w:type="dxa" w:w="120"/>
            </w:tcMar>
          </w:tcPr>
          <w:p>
            <w:r>
              <w:rPr>
                <w:color w:val="000000"/>
                <w:sz w:val="19"/>
                <w:szCs w:val="19"/>
              </w:rPr>
              <w:t xml:space="preserve">Roads, junctions, stations, blocks (features)</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One-way segments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Served area at 4 minutes (km²)</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Blocks and people outside 4 minutes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Buffer area (km²) and people outside it</w:t>
            </w:r>
          </w:p>
        </w:tc>
        <w:tc>
          <w:tcPr>
            <w:tcW w:type="dxa" w:w="400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Check values at the defaults.</w:t>
      </w:r>
    </w:p>
    <w:p>
      <w:pPr>
        <w:pStyle w:val="Heading1"/>
        <w:spacing w:after="80" w:before="280"/>
      </w:pPr>
      <w:r>
        <w:rPr>
          <w:b/>
          <w:bCs/>
          <w:color w:val="1F3864"/>
          <w:sz w:val="28"/>
          <w:szCs w:val="28"/>
        </w:rPr>
        <w:t xml:space="preserve">5.  Where the Straight Line Is Wrong</w:t>
      </w:r>
    </w:p>
    <w:p>
      <w:pPr>
        <w:spacing w:after="160" w:before="60"/>
      </w:pPr>
      <w:r>
        <w:rPr>
          <w:i/>
          <w:iCs/>
          <w:color w:val="767171"/>
          <w:sz w:val="19"/>
          <w:szCs w:val="19"/>
        </w:rPr>
        <w:t xml:space="preserve">Rubric: two places on your map, each with coordinates, a cropped figure and the reason (3 points): places where the buffer counts people the roads do not reach in four minutes, and what the roads do there. A general paragraph about network distance earns nothing here.</w:t>
      </w:r>
    </w:p>
    <w:p>
      <w:pPr>
        <w:spacing w:after="160" w:before="60"/>
      </w:pPr>
      <w:r>
        <w:rPr>
          <w:i/>
          <w:iCs/>
          <w:color w:val="767171"/>
          <w:sz w:val="19"/>
          <w:szCs w:val="19"/>
        </w:rPr>
        <w:t xml:space="preserve">A crop of the buffer edge and the four-minute area on imagery, the coordinates labeled.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Place 1, where the buffer and the network disagree, close up.</w:t>
      </w:r>
    </w:p>
    <w:p>
      <w:pPr>
        <w:spacing w:after="160" w:before="60"/>
      </w:pPr>
      <w:r>
        <w:rPr>
          <w:i/>
          <w:iCs/>
          <w:color w:val="767171"/>
          <w:sz w:val="19"/>
          <w:szCs w:val="19"/>
        </w:rPr>
        <w:t xml:space="preserve">A second place, with a different reason if you can find one.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4. Place 2, close up.</w:t>
      </w:r>
    </w:p>
    <w:p>
      <w:r>
        <w:br w:type="page"/>
      </w:r>
    </w:p>
    <w:p>
      <w:pPr>
        <w:pStyle w:val="Heading1"/>
        <w:spacing w:after="80" w:before="280"/>
      </w:pPr>
      <w:r>
        <w:rPr>
          <w:b/>
          <w:bCs/>
          <w:color w:val="1F3864"/>
          <w:sz w:val="28"/>
          <w:szCs w:val="28"/>
        </w:rPr>
        <w:t xml:space="preserve">6.  Testing the Standard</w:t>
      </w:r>
    </w:p>
    <w:p>
      <w:pPr>
        <w:spacing w:after="160" w:before="60"/>
      </w:pPr>
      <w:r>
        <w:rPr>
          <w:i/>
          <w:iCs/>
          <w:color w:val="767171"/>
          <w:sz w:val="19"/>
          <w:szCs w:val="19"/>
        </w:rPr>
        <w:t xml:space="preserve">Rubric: one table with the baseline and at least five runs, including your BYU ID’s last two digits and cutoff, giving the cutoff, the buffer distance, the served area, the blocks and people outside and the share of the county (4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150"/>
        <w:gridCol w:w="1500"/>
        <w:gridCol w:w="1350"/>
        <w:gridCol w:w="1350"/>
        <w:gridCol w:w="1560"/>
      </w:tblGrid>
      <w:tr>
        <w:trPr>
          <w:cantSplit/>
          <w:tblHeader/>
        </w:trPr>
        <w:tc>
          <w:tcPr>
            <w:tcW w:type="dxa" w:w="1300"/>
            <w:shd w:fill="D9E2F3" w:color="auto" w:val="clear"/>
            <w:tcMar>
              <w:top w:type="dxa" w:w="90"/>
              <w:left w:type="dxa" w:w="120"/>
              <w:bottom w:type="dxa" w:w="90"/>
              <w:right w:type="dxa" w:w="120"/>
            </w:tcMar>
          </w:tcPr>
          <w:p>
            <w:r>
              <w:rPr>
                <w:b/>
                <w:bCs/>
                <w:color w:val="1F3864"/>
                <w:sz w:val="19"/>
                <w:szCs w:val="19"/>
              </w:rPr>
              <w:t xml:space="preserve">Run</w:t>
            </w:r>
          </w:p>
        </w:tc>
        <w:tc>
          <w:tcPr>
            <w:tcW w:type="dxa" w:w="1150"/>
            <w:shd w:fill="D9E2F3" w:color="auto" w:val="clear"/>
            <w:tcMar>
              <w:top w:type="dxa" w:w="90"/>
              <w:left w:type="dxa" w:w="120"/>
              <w:bottom w:type="dxa" w:w="90"/>
              <w:right w:type="dxa" w:w="120"/>
            </w:tcMar>
          </w:tcPr>
          <w:p>
            <w:r>
              <w:rPr>
                <w:b/>
                <w:bCs/>
                <w:color w:val="1F3864"/>
                <w:sz w:val="19"/>
                <w:szCs w:val="19"/>
              </w:rPr>
              <w:t xml:space="preserve">Cutoff (min)</w:t>
            </w:r>
          </w:p>
        </w:tc>
        <w:tc>
          <w:tcPr>
            <w:tcW w:type="dxa" w:w="1150"/>
            <w:shd w:fill="D9E2F3" w:color="auto" w:val="clear"/>
            <w:tcMar>
              <w:top w:type="dxa" w:w="90"/>
              <w:left w:type="dxa" w:w="120"/>
              <w:bottom w:type="dxa" w:w="90"/>
              <w:right w:type="dxa" w:w="120"/>
            </w:tcMar>
          </w:tcPr>
          <w:p>
            <w:r>
              <w:rPr>
                <w:b/>
                <w:bCs/>
                <w:color w:val="1F3864"/>
                <w:sz w:val="19"/>
                <w:szCs w:val="19"/>
              </w:rPr>
              <w:t xml:space="preserve">Buffer (km)</w:t>
            </w:r>
          </w:p>
        </w:tc>
        <w:tc>
          <w:tcPr>
            <w:tcW w:type="dxa" w:w="1500"/>
            <w:shd w:fill="D9E2F3" w:color="auto" w:val="clear"/>
            <w:tcMar>
              <w:top w:type="dxa" w:w="90"/>
              <w:left w:type="dxa" w:w="120"/>
              <w:bottom w:type="dxa" w:w="90"/>
              <w:right w:type="dxa" w:w="120"/>
            </w:tcMar>
          </w:tcPr>
          <w:p>
            <w:r>
              <w:rPr>
                <w:b/>
                <w:bCs/>
                <w:color w:val="1F3864"/>
                <w:sz w:val="19"/>
                <w:szCs w:val="19"/>
              </w:rPr>
              <w:t xml:space="preserve">Served area (km²)</w:t>
            </w:r>
          </w:p>
        </w:tc>
        <w:tc>
          <w:tcPr>
            <w:tcW w:type="dxa" w:w="1350"/>
            <w:shd w:fill="D9E2F3" w:color="auto" w:val="clear"/>
            <w:tcMar>
              <w:top w:type="dxa" w:w="90"/>
              <w:left w:type="dxa" w:w="120"/>
              <w:bottom w:type="dxa" w:w="90"/>
              <w:right w:type="dxa" w:w="120"/>
            </w:tcMar>
          </w:tcPr>
          <w:p>
            <w:r>
              <w:rPr>
                <w:b/>
                <w:bCs/>
                <w:color w:val="1F3864"/>
                <w:sz w:val="19"/>
                <w:szCs w:val="19"/>
              </w:rPr>
              <w:t xml:space="preserve">Blocks outside</w:t>
            </w:r>
          </w:p>
        </w:tc>
        <w:tc>
          <w:tcPr>
            <w:tcW w:type="dxa" w:w="1350"/>
            <w:shd w:fill="D9E2F3" w:color="auto" w:val="clear"/>
            <w:tcMar>
              <w:top w:type="dxa" w:w="90"/>
              <w:left w:type="dxa" w:w="120"/>
              <w:bottom w:type="dxa" w:w="90"/>
              <w:right w:type="dxa" w:w="120"/>
            </w:tcMar>
          </w:tcPr>
          <w:p>
            <w:r>
              <w:rPr>
                <w:b/>
                <w:bCs/>
                <w:color w:val="1F3864"/>
                <w:sz w:val="19"/>
                <w:szCs w:val="19"/>
              </w:rPr>
              <w:t xml:space="preserve">People outside</w:t>
            </w:r>
          </w:p>
        </w:tc>
        <w:tc>
          <w:tcPr>
            <w:tcW w:type="dxa" w:w="1560"/>
            <w:shd w:fill="D9E2F3" w:color="auto" w:val="clear"/>
            <w:tcMar>
              <w:top w:type="dxa" w:w="90"/>
              <w:left w:type="dxa" w:w="120"/>
              <w:bottom w:type="dxa" w:w="90"/>
              <w:right w:type="dxa" w:w="120"/>
            </w:tcMar>
          </w:tcPr>
          <w:p>
            <w:r>
              <w:rPr>
                <w:b/>
                <w:bCs/>
                <w:color w:val="1F3864"/>
                <w:sz w:val="19"/>
                <w:szCs w:val="19"/>
              </w:rPr>
              <w:t xml:space="preserve">Share of county (%)</w:t>
            </w:r>
          </w:p>
        </w:tc>
      </w:tr>
      <w:tr>
        <w:trPr>
          <w:cantSplit/>
        </w:trPr>
        <w:tc>
          <w:tcPr>
            <w:tcW w:type="dxa" w:w="1300"/>
            <w:tcMar>
              <w:top w:type="dxa" w:w="90"/>
              <w:left w:type="dxa" w:w="120"/>
              <w:bottom w:type="dxa" w:w="90"/>
              <w:right w:type="dxa" w:w="120"/>
            </w:tcMar>
          </w:tcPr>
          <w:p>
            <w:r>
              <w:rPr>
                <w:color w:val="000000"/>
                <w:sz w:val="19"/>
                <w:szCs w:val="19"/>
              </w:rPr>
              <w:t xml:space="preserve">Baseline</w:t>
            </w:r>
          </w:p>
        </w:tc>
        <w:tc>
          <w:tcPr>
            <w:tcW w:type="dxa" w:w="1150"/>
            <w:tcMar>
              <w:top w:type="dxa" w:w="90"/>
              <w:left w:type="dxa" w:w="120"/>
              <w:bottom w:type="dxa" w:w="90"/>
              <w:right w:type="dxa" w:w="120"/>
            </w:tcMar>
          </w:tcPr>
          <w:p>
            <w:r>
              <w:rPr>
                <w:color w:val="000000"/>
                <w:sz w:val="19"/>
                <w:szCs w:val="19"/>
              </w:rPr>
              <w:t xml:space="preserve">4</w:t>
            </w:r>
          </w:p>
        </w:tc>
        <w:tc>
          <w:tcPr>
            <w:tcW w:type="dxa" w:w="1150"/>
            <w:tcMar>
              <w:top w:type="dxa" w:w="90"/>
              <w:left w:type="dxa" w:w="120"/>
              <w:bottom w:type="dxa" w:w="90"/>
              <w:right w:type="dxa" w:w="120"/>
            </w:tcMar>
          </w:tcPr>
          <w:p>
            <w:r>
              <w:rPr>
                <w:color w:val="000000"/>
                <w:sz w:val="19"/>
                <w:szCs w:val="19"/>
              </w:rPr>
              <w:t xml:space="preserve">3.75</w:t>
            </w:r>
          </w:p>
        </w:tc>
        <w:tc>
          <w:tcPr>
            <w:tcW w:type="dxa" w:w="15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300"/>
            <w:shd w:fill="F2F2F2" w:color="auto" w:val="clear"/>
            <w:tcMar>
              <w:top w:type="dxa" w:w="90"/>
              <w:left w:type="dxa" w:w="120"/>
              <w:bottom w:type="dxa" w:w="90"/>
              <w:right w:type="dxa" w:w="120"/>
            </w:tcMar>
          </w:tcPr>
          <w:p>
            <w:r>
              <w:rPr>
                <w:color w:val="000000"/>
                <w:sz w:val="19"/>
                <w:szCs w:val="19"/>
              </w:rPr>
              <w:t xml:space="preserve">C2</w:t>
            </w:r>
          </w:p>
        </w:tc>
        <w:tc>
          <w:tcPr>
            <w:tcW w:type="dxa" w:w="1150"/>
            <w:shd w:fill="F2F2F2" w:color="auto" w:val="clear"/>
            <w:tcMar>
              <w:top w:type="dxa" w:w="90"/>
              <w:left w:type="dxa" w:w="120"/>
              <w:bottom w:type="dxa" w:w="90"/>
              <w:right w:type="dxa" w:w="120"/>
            </w:tcMar>
          </w:tcPr>
          <w:p>
            <w:r>
              <w:rPr>
                <w:color w:val="000000"/>
                <w:sz w:val="19"/>
                <w:szCs w:val="19"/>
              </w:rPr>
              <w:t xml:space="preserve">2</w:t>
            </w:r>
          </w:p>
        </w:tc>
        <w:tc>
          <w:tcPr>
            <w:tcW w:type="dxa" w:w="1150"/>
            <w:shd w:fill="F2F2F2" w:color="auto" w:val="clear"/>
            <w:tcMar>
              <w:top w:type="dxa" w:w="90"/>
              <w:left w:type="dxa" w:w="120"/>
              <w:bottom w:type="dxa" w:w="90"/>
              <w:right w:type="dxa" w:w="120"/>
            </w:tcMar>
          </w:tcPr>
          <w:p>
            <w:r>
              <w:rPr>
                <w:color w:val="000000"/>
                <w:sz w:val="19"/>
                <w:szCs w:val="19"/>
              </w:rPr>
              <w:t xml:space="preserve">3.75</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300"/>
            <w:tcMar>
              <w:top w:type="dxa" w:w="90"/>
              <w:left w:type="dxa" w:w="120"/>
              <w:bottom w:type="dxa" w:w="90"/>
              <w:right w:type="dxa" w:w="120"/>
            </w:tcMar>
          </w:tcPr>
          <w:p>
            <w:r>
              <w:rPr>
                <w:color w:val="000000"/>
                <w:sz w:val="19"/>
                <w:szCs w:val="19"/>
              </w:rPr>
              <w:t xml:space="preserve">C6</w:t>
            </w:r>
          </w:p>
        </w:tc>
        <w:tc>
          <w:tcPr>
            <w:tcW w:type="dxa" w:w="1150"/>
            <w:tcMar>
              <w:top w:type="dxa" w:w="90"/>
              <w:left w:type="dxa" w:w="120"/>
              <w:bottom w:type="dxa" w:w="90"/>
              <w:right w:type="dxa" w:w="120"/>
            </w:tcMar>
          </w:tcPr>
          <w:p>
            <w:r>
              <w:rPr>
                <w:color w:val="000000"/>
                <w:sz w:val="19"/>
                <w:szCs w:val="19"/>
              </w:rPr>
              <w:t xml:space="preserve">6</w:t>
            </w:r>
          </w:p>
        </w:tc>
        <w:tc>
          <w:tcPr>
            <w:tcW w:type="dxa" w:w="1150"/>
            <w:tcMar>
              <w:top w:type="dxa" w:w="90"/>
              <w:left w:type="dxa" w:w="120"/>
              <w:bottom w:type="dxa" w:w="90"/>
              <w:right w:type="dxa" w:w="120"/>
            </w:tcMar>
          </w:tcPr>
          <w:p>
            <w:r>
              <w:rPr>
                <w:color w:val="000000"/>
                <w:sz w:val="19"/>
                <w:szCs w:val="19"/>
              </w:rPr>
              <w:t xml:space="preserve">3.75</w:t>
            </w:r>
          </w:p>
        </w:tc>
        <w:tc>
          <w:tcPr>
            <w:tcW w:type="dxa" w:w="15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300"/>
            <w:shd w:fill="F2F2F2" w:color="auto" w:val="clear"/>
            <w:tcMar>
              <w:top w:type="dxa" w:w="90"/>
              <w:left w:type="dxa" w:w="120"/>
              <w:bottom w:type="dxa" w:w="90"/>
              <w:right w:type="dxa" w:w="120"/>
            </w:tcMar>
          </w:tcPr>
          <w:p>
            <w:r>
              <w:rPr>
                <w:color w:val="000000"/>
                <w:sz w:val="19"/>
                <w:szCs w:val="19"/>
              </w:rPr>
              <w:t xml:space="preserve">C8</w:t>
            </w:r>
          </w:p>
        </w:tc>
        <w:tc>
          <w:tcPr>
            <w:tcW w:type="dxa" w:w="1150"/>
            <w:shd w:fill="F2F2F2" w:color="auto" w:val="clear"/>
            <w:tcMar>
              <w:top w:type="dxa" w:w="90"/>
              <w:left w:type="dxa" w:w="120"/>
              <w:bottom w:type="dxa" w:w="90"/>
              <w:right w:type="dxa" w:w="120"/>
            </w:tcMar>
          </w:tcPr>
          <w:p>
            <w:r>
              <w:rPr>
                <w:color w:val="000000"/>
                <w:sz w:val="19"/>
                <w:szCs w:val="19"/>
              </w:rPr>
              <w:t xml:space="preserve">8</w:t>
            </w:r>
          </w:p>
        </w:tc>
        <w:tc>
          <w:tcPr>
            <w:tcW w:type="dxa" w:w="1150"/>
            <w:shd w:fill="F2F2F2" w:color="auto" w:val="clear"/>
            <w:tcMar>
              <w:top w:type="dxa" w:w="90"/>
              <w:left w:type="dxa" w:w="120"/>
              <w:bottom w:type="dxa" w:w="90"/>
              <w:right w:type="dxa" w:w="120"/>
            </w:tcMar>
          </w:tcPr>
          <w:p>
            <w:r>
              <w:rPr>
                <w:color w:val="000000"/>
                <w:sz w:val="19"/>
                <w:szCs w:val="19"/>
              </w:rPr>
              <w:t xml:space="preserve">3.75</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300"/>
            <w:tcMar>
              <w:top w:type="dxa" w:w="90"/>
              <w:left w:type="dxa" w:w="120"/>
              <w:bottom w:type="dxa" w:w="90"/>
              <w:right w:type="dxa" w:w="120"/>
            </w:tcMar>
          </w:tcPr>
          <w:p>
            <w:r>
              <w:rPr>
                <w:color w:val="000000"/>
                <w:sz w:val="19"/>
                <w:szCs w:val="19"/>
              </w:rPr>
              <w:t xml:space="preserve">Mine</w:t>
            </w:r>
          </w:p>
        </w:tc>
        <w:tc>
          <w:tcPr>
            <w:tcW w:type="dxa" w:w="1150"/>
            <w:tcMar>
              <w:top w:type="dxa" w:w="90"/>
              <w:left w:type="dxa" w:w="120"/>
              <w:bottom w:type="dxa" w:w="90"/>
              <w:right w:type="dxa" w:w="120"/>
            </w:tcMar>
          </w:tcPr>
          <w:p>
            <w:r>
              <w:rPr>
                <w:color w:val="767171"/>
                <w:sz w:val="19"/>
                <w:szCs w:val="19"/>
              </w:rPr>
              <w:t xml:space="preserve"> </w:t>
            </w:r>
          </w:p>
        </w:tc>
        <w:tc>
          <w:tcPr>
            <w:tcW w:type="dxa" w:w="1150"/>
            <w:tcMar>
              <w:top w:type="dxa" w:w="90"/>
              <w:left w:type="dxa" w:w="120"/>
              <w:bottom w:type="dxa" w:w="90"/>
              <w:right w:type="dxa" w:w="120"/>
            </w:tcMar>
          </w:tcPr>
          <w:p>
            <w:r>
              <w:rPr>
                <w:color w:val="000000"/>
                <w:sz w:val="19"/>
                <w:szCs w:val="19"/>
              </w:rPr>
              <w:t xml:space="preserve">3.75</w:t>
            </w:r>
          </w:p>
        </w:tc>
        <w:tc>
          <w:tcPr>
            <w:tcW w:type="dxa" w:w="15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300"/>
            <w:shd w:fill="F2F2F2" w:color="auto" w:val="clear"/>
            <w:tcMar>
              <w:top w:type="dxa" w:w="90"/>
              <w:left w:type="dxa" w:w="120"/>
              <w:bottom w:type="dxa" w:w="90"/>
              <w:right w:type="dxa" w:w="120"/>
            </w:tcMar>
          </w:tcPr>
          <w:p>
            <w:r>
              <w:rPr>
                <w:color w:val="000000"/>
                <w:sz w:val="19"/>
                <w:szCs w:val="19"/>
              </w:rPr>
              <w:t xml:space="preserve">B2_5</w:t>
            </w:r>
          </w:p>
        </w:tc>
        <w:tc>
          <w:tcPr>
            <w:tcW w:type="dxa" w:w="1150"/>
            <w:shd w:fill="F2F2F2" w:color="auto" w:val="clear"/>
            <w:tcMar>
              <w:top w:type="dxa" w:w="90"/>
              <w:left w:type="dxa" w:w="120"/>
              <w:bottom w:type="dxa" w:w="90"/>
              <w:right w:type="dxa" w:w="120"/>
            </w:tcMar>
          </w:tcPr>
          <w:p>
            <w:r>
              <w:rPr>
                <w:color w:val="000000"/>
                <w:sz w:val="19"/>
                <w:szCs w:val="19"/>
              </w:rPr>
              <w:t xml:space="preserve">4</w:t>
            </w:r>
          </w:p>
        </w:tc>
        <w:tc>
          <w:tcPr>
            <w:tcW w:type="dxa" w:w="1150"/>
            <w:shd w:fill="F2F2F2" w:color="auto" w:val="clear"/>
            <w:tcMar>
              <w:top w:type="dxa" w:w="90"/>
              <w:left w:type="dxa" w:w="120"/>
              <w:bottom w:type="dxa" w:w="90"/>
              <w:right w:type="dxa" w:w="120"/>
            </w:tcMar>
          </w:tcPr>
          <w:p>
            <w:r>
              <w:rPr>
                <w:color w:val="000000"/>
                <w:sz w:val="19"/>
                <w:szCs w:val="19"/>
              </w:rPr>
              <w:t xml:space="preserve">2.5</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300"/>
            <w:tcMar>
              <w:top w:type="dxa" w:w="90"/>
              <w:left w:type="dxa" w:w="120"/>
              <w:bottom w:type="dxa" w:w="90"/>
              <w:right w:type="dxa" w:w="120"/>
            </w:tcMar>
          </w:tcPr>
          <w:p>
            <w:r>
              <w:rPr>
                <w:color w:val="000000"/>
                <w:sz w:val="19"/>
                <w:szCs w:val="19"/>
              </w:rPr>
              <w:t xml:space="preserve">My choice</w:t>
            </w:r>
          </w:p>
        </w:tc>
        <w:tc>
          <w:tcPr>
            <w:tcW w:type="dxa" w:w="1150"/>
            <w:tcMar>
              <w:top w:type="dxa" w:w="90"/>
              <w:left w:type="dxa" w:w="120"/>
              <w:bottom w:type="dxa" w:w="90"/>
              <w:right w:type="dxa" w:w="120"/>
            </w:tcMar>
          </w:tcPr>
          <w:p>
            <w:r>
              <w:rPr>
                <w:color w:val="767171"/>
                <w:sz w:val="19"/>
                <w:szCs w:val="19"/>
              </w:rPr>
              <w:t xml:space="preserve"> </w:t>
            </w:r>
          </w:p>
        </w:tc>
        <w:tc>
          <w:tcPr>
            <w:tcW w:type="dxa" w:w="115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My BYU ID ends in __, so Cutoff_Minutes = 4 + 0.04 × __ = ______.</w:t>
      </w:r>
    </w:p>
    <w:p>
      <w:pPr>
        <w:pStyle w:val="Heading2"/>
        <w:spacing w:after="60" w:before="220"/>
      </w:pPr>
      <w:r>
        <w:rPr>
          <w:b/>
          <w:bCs/>
          <w:color w:val="1F3864"/>
          <w:sz w:val="22"/>
          <w:szCs w:val="22"/>
        </w:rPr>
        <w:t xml:space="preserve">How does the share outside respond to the standard, and between which two cutoffs does it fall fastest? What does that say about where the stations are?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Why do the buffer and the network disagree, and where? Name the two places from Figures 3 and 4.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What does the model leave out — typical rather than emergency speeds, a 2022 stations layer, people counted where they sleep, blocks counted by their center — which way would each move your share, and what data would fix the one that matters most? (2 points)</w:t>
      </w:r>
    </w:p>
    <w:p>
      <w:pPr>
        <w:spacing w:after="260" w:before="0"/>
      </w:pPr>
      <w:r>
        <w:rPr>
          <w:i/>
          <w:iCs/>
          <w:color w:val="767171"/>
          <w:highlight w:val="yellow"/>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for the four-minute area on both, so a reader can compare them.</w:t>
      </w:r>
    </w:p>
    <w:p>
      <w:pPr>
        <w:spacing w:after="160" w:before="60"/>
      </w:pPr>
      <w:r>
        <w:rPr>
          <w:i/>
          <w:iCs/>
          <w:color w:val="767171"/>
          <w:sz w:val="19"/>
          <w:szCs w:val="19"/>
        </w:rPr>
        <w:t xml:space="preserve">Must carry: title, neat line, north arrow and scale bar; a text box with author, date, map projection, and the sources and dates of the data; the two service-area rings and the unserved blocks with a legend; the stations, the county and the cities readable; the headline numbers on the map; an imagery basemap.</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Fire response coverage — the 0–4 and 4–8 minute areas, the blocks outside four minutes, and the stations.</w:t>
      </w:r>
    </w:p>
    <w:p>
      <w:r>
        <w:br w:type="page"/>
      </w:r>
    </w:p>
    <w:p>
      <w:pPr>
        <w:spacing w:after="160" w:before="60"/>
      </w:pPr>
      <w:r>
        <w:rPr>
          <w:i/>
          <w:iCs/>
          <w:color w:val="767171"/>
          <w:sz w:val="19"/>
          <w:szCs w:val="19"/>
        </w:rPr>
        <w:t xml:space="preserve">Must carry: the buffer and the network area, each in the legend; the blocks the buffer counts as covered that the network does not, highlighted; title, neat line, north arrow and scale bar; a text box with author, date, projection and sources; the title and text box say what changed from Map 1 and give both populations.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Straight line versus network — the 3.75 km buffer and the four-minute area, with the blocks the buffer claims and the roads do not.</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UGRC network, stations and blocks, the Census,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Cutoffs, counts, coordinate systems and areas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 the stations' "Last Update" date, what UGRC's minutes were estimated from, what the blocks layer's description says — and what each means for your count (2)</w:t>
            </w:r>
          </w:p>
          <w:p>
            <w:pPr>
              <w:pStyle w:val="ListParagraph"/>
              <w:numPr>
                <w:ilvl w:val="0"/>
                <w:numId w:val="3"/>
              </w:numPr>
              <w:spacing w:after="40"/>
            </w:pPr>
            <w:r>
              <w:rPr>
                <w:sz w:val="17"/>
                <w:szCs w:val="17"/>
              </w:rPr>
              <w:t xml:space="preserve">Your check values from Steps 0 to 6: the layer counts, the one-way count, the served area, the people and blocks outside at four minutes, the buffer's area and people (1)</w:t>
            </w:r>
          </w:p>
          <w:p>
            <w:pPr>
              <w:pStyle w:val="ListParagraph"/>
              <w:numPr>
                <w:ilvl w:val="0"/>
                <w:numId w:val="3"/>
              </w:numPr>
              <w:spacing w:after="40"/>
            </w:pPr>
            <w:r>
              <w:rPr>
                <w:sz w:val="17"/>
                <w:szCs w:val="17"/>
              </w:rPr>
              <w:t xml:space="preserve">Where the straight line is wrong: two places on your map, each with coordinates, a cropped figure and the reason (3)</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from its tool dialog and, at the defaults, matches the check values: 194.85 km² served, 379,054 people outside, 23,203 outside the buffer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cutoff and the buffer distance exposed as parameters, and Lab12.atbx uploaded (2)</w:t>
            </w:r>
          </w:p>
          <w:p>
            <w:pPr>
              <w:pStyle w:val="ListParagraph"/>
              <w:numPr>
                <w:ilvl w:val="0"/>
                <w:numId w:val="3"/>
              </w:numPr>
              <w:spacing w:after="40"/>
            </w:pPr>
            <w:r>
              <w:rPr>
                <w:sz w:val="17"/>
                <w:szCs w:val="17"/>
              </w:rPr>
              <w:t xml:space="preserve">A description of the model a reader could repeat from, with every tool's settings and every dataset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fire response coverage</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sources and dates of the data (1)</w:t>
            </w:r>
          </w:p>
          <w:p>
            <w:pPr>
              <w:pStyle w:val="ListParagraph"/>
              <w:numPr>
                <w:ilvl w:val="0"/>
                <w:numId w:val="3"/>
              </w:numPr>
              <w:spacing w:after="40"/>
            </w:pPr>
            <w:r>
              <w:rPr>
                <w:sz w:val="17"/>
                <w:szCs w:val="17"/>
              </w:rPr>
              <w:t xml:space="preserve">The 0–4 and 4–8 minute areas and the blocks outside four minutes symbolized, with a legend (2)</w:t>
            </w:r>
          </w:p>
          <w:p>
            <w:pPr>
              <w:pStyle w:val="ListParagraph"/>
              <w:numPr>
                <w:ilvl w:val="0"/>
                <w:numId w:val="3"/>
              </w:numPr>
              <w:spacing w:after="40"/>
            </w:pPr>
            <w:r>
              <w:rPr>
                <w:sz w:val="17"/>
                <w:szCs w:val="17"/>
              </w:rPr>
              <w:t xml:space="preserve">The stations, the county and the cities readable against the basemap (2)</w:t>
            </w:r>
          </w:p>
          <w:p>
            <w:pPr>
              <w:pStyle w:val="ListParagraph"/>
              <w:numPr>
                <w:ilvl w:val="0"/>
                <w:numId w:val="3"/>
              </w:numPr>
              <w:spacing w:after="40"/>
            </w:pPr>
            <w:r>
              <w:rPr>
                <w:sz w:val="17"/>
                <w:szCs w:val="17"/>
              </w:rPr>
              <w:t xml:space="preserve">The headline numbers on the map: people outside four minutes and the share of the county (2)</w:t>
            </w:r>
          </w:p>
          <w:p>
            <w:pPr>
              <w:pStyle w:val="ListParagraph"/>
              <w:numPr>
                <w:ilvl w:val="0"/>
                <w:numId w:val="3"/>
              </w:numPr>
              <w:spacing w:after="40"/>
            </w:pPr>
            <w:r>
              <w:rPr>
                <w:sz w:val="17"/>
                <w:szCs w:val="17"/>
              </w:rPr>
              <w:t xml:space="preserve">Imagery basemap, scale and legibility appropriate to the county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straight line versus network</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sources and dates (1)</w:t>
            </w:r>
          </w:p>
          <w:p>
            <w:pPr>
              <w:pStyle w:val="ListParagraph"/>
              <w:numPr>
                <w:ilvl w:val="0"/>
                <w:numId w:val="3"/>
              </w:numPr>
              <w:spacing w:after="40"/>
            </w:pPr>
            <w:r>
              <w:rPr>
                <w:sz w:val="17"/>
                <w:szCs w:val="17"/>
              </w:rPr>
              <w:t xml:space="preserve">The buffer and the network area both shown and distinguishable in the legend (2)</w:t>
            </w:r>
          </w:p>
          <w:p>
            <w:pPr>
              <w:pStyle w:val="ListParagraph"/>
              <w:numPr>
                <w:ilvl w:val="0"/>
                <w:numId w:val="3"/>
              </w:numPr>
              <w:spacing w:after="40"/>
            </w:pPr>
            <w:r>
              <w:rPr>
                <w:sz w:val="17"/>
                <w:szCs w:val="17"/>
              </w:rPr>
              <w:t xml:space="preserve">The blocks the buffer counts as covered that the network does not, highlighted (2)</w:t>
            </w:r>
          </w:p>
          <w:p>
            <w:pPr>
              <w:pStyle w:val="ListParagraph"/>
              <w:numPr>
                <w:ilvl w:val="0"/>
                <w:numId w:val="3"/>
              </w:numPr>
              <w:spacing w:after="40"/>
            </w:pPr>
            <w:r>
              <w:rPr>
                <w:sz w:val="17"/>
                <w:szCs w:val="17"/>
              </w:rPr>
              <w:t xml:space="preserve">Title and text box say what changed from Map 1 and give both counts of people outside (2)</w:t>
            </w:r>
          </w:p>
          <w:p>
            <w:pPr>
              <w:pStyle w:val="ListParagraph"/>
              <w:numPr>
                <w:ilvl w:val="0"/>
                <w:numId w:val="3"/>
              </w:numPr>
              <w:spacing w:after="40"/>
            </w:pPr>
            <w:r>
              <w:rPr>
                <w:sz w:val="17"/>
                <w:szCs w:val="17"/>
              </w:rPr>
              <w:t xml:space="preserve">Imagery basemap, scale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at least five runs — including your BYU ID's last two digits and cutoff — giving the cutoff, the buffer distance, the served area, the blocks and people outside and the share (4)</w:t>
            </w:r>
          </w:p>
          <w:p>
            <w:pPr>
              <w:pStyle w:val="ListParagraph"/>
              <w:numPr>
                <w:ilvl w:val="0"/>
                <w:numId w:val="3"/>
              </w:numPr>
              <w:spacing w:after="40"/>
            </w:pPr>
            <w:r>
              <w:rPr>
                <w:sz w:val="17"/>
                <w:szCs w:val="17"/>
              </w:rPr>
              <w:t xml:space="preserve">How the share responds to the standard, and between which cutoffs it falls fastest (2)</w:t>
            </w:r>
          </w:p>
          <w:p>
            <w:pPr>
              <w:pStyle w:val="ListParagraph"/>
              <w:numPr>
                <w:ilvl w:val="0"/>
                <w:numId w:val="3"/>
              </w:numPr>
              <w:spacing w:after="40"/>
            </w:pPr>
            <w:r>
              <w:rPr>
                <w:sz w:val="17"/>
                <w:szCs w:val="17"/>
              </w:rPr>
              <w:t xml:space="preserve">Why the buffer and the network disagree: the people the buffer claims and the roads do not reach, and what the roads do at your two places (2)</w:t>
            </w:r>
          </w:p>
          <w:p>
            <w:pPr>
              <w:pStyle w:val="ListParagraph"/>
              <w:numPr>
                <w:ilvl w:val="0"/>
                <w:numId w:val="3"/>
              </w:numPr>
              <w:spacing w:after="40"/>
            </w:pPr>
            <w:r>
              <w:rPr>
                <w:sz w:val="17"/>
                <w:szCs w:val="17"/>
              </w:rPr>
              <w:t xml:space="preserve">What the model leaves out, which way each would move your share, and what data would fix the one that matters most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Fire Response Coverage, a Network Analysis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2026-10-10T19:28:10.485Z</dcterms:created>
  <dcterms:modified xsi:type="dcterms:W3CDTF">2026-10-10T19:28:10.486Z</dcterms:modified>
</cp:coreProperties>
</file>

<file path=docProps/custom.xml><?xml version="1.0" encoding="utf-8"?>
<Properties xmlns="http://schemas.openxmlformats.org/officeDocument/2006/custom-properties" xmlns:vt="http://schemas.openxmlformats.org/officeDocument/2006/docPropsVTypes"/>
</file>