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BF9000" w:sz="8"/>
          <w:left w:val="single" w:color="BF9000" w:sz="8"/>
          <w:bottom w:val="single" w:color="BF9000" w:sz="8"/>
          <w:right w:val="single" w:color="BF9000" w:sz="8"/>
          <w:insideH w:val="single" w:color="BF9000" w:sz="8"/>
          <w:insideV w:val="single" w:color="BF9000" w:sz="8"/>
        </w:tblBorders>
      </w:tblPr>
      <w:tblGrid>
        <w:gridCol w:w="9360"/>
      </w:tblGrid>
      <w:tr>
        <w:trPr>
          <w:cantSplit/>
        </w:trPr>
        <w:tc>
          <w:tcPr>
            <w:tcW w:type="dxa" w:w="9360"/>
            <w:shd w:fill="FFF2CC" w:color="auto" w:val="clear"/>
            <w:tcMar>
              <w:top w:type="dxa" w:w="120"/>
              <w:left w:type="dxa" w:w="160"/>
              <w:bottom w:type="dxa" w:w="120"/>
              <w:right w:type="dxa" w:w="160"/>
            </w:tcMar>
          </w:tcPr>
          <w:p>
            <w:pPr>
              <w:spacing w:after="80"/>
            </w:pPr>
            <w:r>
              <w:rPr>
                <w:b/>
                <w:bCs/>
                <w:color w:val="1F3864"/>
                <w:sz w:val="20"/>
                <w:szCs w:val="20"/>
              </w:rPr>
              <w:t xml:space="preserve">Before you submit — then delete this box</w:t>
            </w:r>
          </w:p>
          <w:p>
            <w:pPr>
              <w:pStyle w:val="ListParagraph"/>
              <w:numPr>
                <w:ilvl w:val="0"/>
                <w:numId w:val="2"/>
              </w:numPr>
              <w:spacing w:after="40"/>
            </w:pPr>
            <w:r>
              <w:rPr>
                <w:sz w:val="19"/>
                <w:szCs w:val="19"/>
              </w:rPr>
              <w:t xml:space="preserve">Delete every yellow placeholder and every gray instruction line, and this box.</w:t>
            </w:r>
          </w:p>
          <w:p>
            <w:pPr>
              <w:pStyle w:val="ListParagraph"/>
              <w:numPr>
                <w:ilvl w:val="0"/>
                <w:numId w:val="2"/>
              </w:numPr>
              <w:spacing w:after="40"/>
            </w:pPr>
            <w:r>
              <w:rPr>
                <w:sz w:val="19"/>
                <w:szCs w:val="19"/>
              </w:rPr>
              <w:t xml:space="preserve">Name your reviewer, add the sentence on what you changed, and paste their stamp image below.</w:t>
            </w:r>
          </w:p>
          <w:p>
            <w:pPr>
              <w:pStyle w:val="ListParagraph"/>
              <w:numPr>
                <w:ilvl w:val="0"/>
                <w:numId w:val="2"/>
              </w:numPr>
              <w:spacing w:after="40"/>
            </w:pPr>
            <w:r>
              <w:rPr>
                <w:sz w:val="19"/>
                <w:szCs w:val="19"/>
              </w:rPr>
              <w:t xml:space="preserve">Figure 1 is the model exported from ModelBuilder (Export ▸ Export To Graphic, as PNG) — not a screen capture, and not redrawn or “enhanced” by AI.</w:t>
            </w:r>
          </w:p>
          <w:p>
            <w:pPr>
              <w:pStyle w:val="ListParagraph"/>
              <w:numPr>
                <w:ilvl w:val="0"/>
                <w:numId w:val="2"/>
              </w:numPr>
              <w:spacing w:after="40"/>
            </w:pPr>
            <w:r>
              <w:rPr>
                <w:sz w:val="19"/>
                <w:szCs w:val="19"/>
              </w:rPr>
              <w:t xml:space="preserve">Every number in your tables and text comes from your own work in ArcGIS Pro.</w:t>
            </w:r>
          </w:p>
          <w:p>
            <w:pPr>
              <w:pStyle w:val="ListParagraph"/>
              <w:numPr>
                <w:ilvl w:val="0"/>
                <w:numId w:val="2"/>
              </w:numPr>
              <w:spacing w:after="40"/>
            </w:pPr>
            <w:r>
              <w:rPr>
                <w:sz w:val="19"/>
                <w:szCs w:val="19"/>
              </w:rPr>
              <w:t xml:space="preserve">Put a score in every row of the Self-Graded Rubric, and the total.</w:t>
            </w:r>
          </w:p>
          <w:p>
            <w:pPr>
              <w:pStyle w:val="ListParagraph"/>
              <w:numPr>
                <w:ilvl w:val="0"/>
                <w:numId w:val="2"/>
              </w:numPr>
              <w:spacing w:after="40"/>
            </w:pPr>
            <w:r>
              <w:rPr>
                <w:sz w:val="19"/>
                <w:szCs w:val="19"/>
              </w:rPr>
              <w:t xml:space="preserve">Save as PDF, then open the PDF and check that every figure and map came through readable.</w:t>
            </w:r>
          </w:p>
        </w:tc>
      </w:tr>
    </w:tbl>
    <w:p>
      <w:pPr>
        <w:spacing w:before="900"/>
      </w:pPr>
    </w:p>
    <w:p>
      <w:pPr>
        <w:spacing w:after="100"/>
        <w:jc w:val="center"/>
      </w:pPr>
      <w:r>
        <w:rPr>
          <w:b/>
          <w:bCs/>
          <w:color w:val="1F3864"/>
          <w:sz w:val="48"/>
          <w:szCs w:val="48"/>
        </w:rPr>
        <w:t xml:space="preserve">Lab 7: Flood Mapping with HAND</w:t>
      </w:r>
    </w:p>
    <w:p>
      <w:pPr>
        <w:spacing w:after="420"/>
        <w:jc w:val="center"/>
      </w:pPr>
      <w:r>
        <w:rPr>
          <w:color w:val="1F3864"/>
          <w:sz w:val="32"/>
          <w:szCs w:val="32"/>
        </w:rPr>
        <w:t xml:space="preserve">How high a river rises, and what it reaches — the Provo River at Provo</w:t>
      </w:r>
    </w:p>
    <w:p>
      <w:pPr>
        <w:spacing w:after="60"/>
        <w:jc w:val="center"/>
      </w:pPr>
      <w:r>
        <w:rPr>
          <w:sz w:val="24"/>
          <w:szCs w:val="24"/>
        </w:rPr>
        <w:t xml:space="preserve">CE 414 — Engineering Applications of GIS</w:t>
      </w:r>
    </w:p>
    <w:p>
      <w:pPr>
        <w:spacing w:after="600"/>
        <w:jc w:val="center"/>
      </w:pPr>
      <w:r>
        <w:rPr>
          <w:color w:val="767171"/>
          <w:sz w:val="24"/>
          <w:szCs w:val="24"/>
        </w:rPr>
        <w:t xml:space="preserve">Fall 2026 · Dr. Dan Ames</w:t>
      </w:r>
    </w:p>
    <w:p>
      <w:pPr>
        <w:spacing w:after="120" w:before="0"/>
        <w:jc w:val="center"/>
      </w:pPr>
      <w:r>
        <w:rPr>
          <w:b/>
          <w:bCs/>
          <w:color w:val="1F3864"/>
          <w:sz w:val="21"/>
          <w:szCs w:val="21"/>
        </w:rPr>
        <w:t xml:space="preserve">Your name:  </w:t>
      </w:r>
      <w:r>
        <w:rPr>
          <w:i/>
          <w:iCs/>
          <w:color w:val="767171"/>
          <w:sz w:val="21"/>
          <w:szCs w:val="21"/>
          <w:highlight w:val="yellow"/>
        </w:rPr>
        <w:t xml:space="preserve">[your name]</w:t>
      </w:r>
    </w:p>
    <w:p>
      <w:pPr>
        <w:spacing w:after="120" w:before="0"/>
        <w:jc w:val="center"/>
      </w:pPr>
      <w:r>
        <w:rPr>
          <w:b/>
          <w:bCs/>
          <w:color w:val="1F3864"/>
          <w:sz w:val="21"/>
          <w:szCs w:val="21"/>
        </w:rPr>
        <w:t xml:space="preserve">Date submitted:  </w:t>
      </w:r>
      <w:r>
        <w:rPr>
          <w:i/>
          <w:iCs/>
          <w:color w:val="767171"/>
          <w:sz w:val="21"/>
          <w:szCs w:val="21"/>
          <w:highlight w:val="yellow"/>
        </w:rPr>
        <w:t xml:space="preserve">[date]</w:t>
      </w:r>
    </w:p>
    <w:p>
      <w:pPr>
        <w:spacing w:after="120" w:before="0"/>
        <w:jc w:val="center"/>
      </w:pPr>
      <w:r>
        <w:rPr>
          <w:b/>
          <w:bCs/>
          <w:color w:val="1F3864"/>
          <w:sz w:val="21"/>
          <w:szCs w:val="21"/>
        </w:rPr>
        <w:t xml:space="preserve">Peer reviewer:  </w:t>
      </w:r>
      <w:r>
        <w:rPr>
          <w:i/>
          <w:iCs/>
          <w:color w:val="767171"/>
          <w:sz w:val="21"/>
          <w:szCs w:val="21"/>
          <w:highlight w:val="yellow"/>
        </w:rPr>
        <w:t xml:space="preserve">[reviewer’s name]</w:t>
      </w:r>
    </w:p>
    <w:p>
      <w:pPr>
        <w:spacing w:after="400" w:before="60"/>
        <w:jc w:val="center"/>
      </w:pPr>
      <w:r>
        <w:rPr>
          <w:i/>
          <w:iCs/>
          <w:color w:val="767171"/>
          <w:sz w:val="21"/>
          <w:szCs w:val="21"/>
          <w:highlight w:val="yellow"/>
        </w:rPr>
        <w:t xml:space="preserve">[One sentence on what you changed because of your reviewer’s feedback.]</w:t>
      </w:r>
    </w:p>
    <w:p>
      <w:pPr>
        <w:jc w:val="center"/>
      </w:pPr>
      <w:r>
        <w:rPr>
          <w:i/>
          <w:iCs/>
          <w:color w:val="767171"/>
          <w:sz w:val="19"/>
          <w:szCs w:val="19"/>
          <w:highlight w:val="yellow"/>
        </w:rPr>
        <w:t xml:space="preserve">[ Paste your reviewer’s stamp image here ]</w:t>
      </w:r>
    </w:p>
    <w:p>
      <w:r>
        <w:br w:type="page"/>
      </w:r>
    </w:p>
    <w:p>
      <w:pPr>
        <w:pStyle w:val="Heading1"/>
        <w:spacing w:after="80" w:before="280"/>
      </w:pPr>
      <w:r>
        <w:rPr>
          <w:b/>
          <w:bCs/>
          <w:color w:val="1F3864"/>
          <w:sz w:val="28"/>
          <w:szCs w:val="28"/>
        </w:rPr>
        <w:t xml:space="preserve">1.  Requirements and Approach</w:t>
      </w:r>
    </w:p>
    <w:p>
      <w:pPr>
        <w:spacing w:after="160" w:before="60"/>
      </w:pPr>
      <w:r>
        <w:rPr>
          <w:i/>
          <w:iCs/>
          <w:color w:val="767171"/>
          <w:sz w:val="19"/>
          <w:szCs w:val="19"/>
        </w:rPr>
        <w:t xml:space="preserve">Rubric: the requirements of the project and your approach to solving it, in your own words (2 points). One or two paragraphs. Say what you set out to map and how you went about it — not a retelling of the step-by-step. If you built the models without the step-by-step instructions, say so here.</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2.  The Data and Their Metadata</w:t>
      </w:r>
    </w:p>
    <w:p>
      <w:pPr>
        <w:spacing w:after="160" w:before="60"/>
      </w:pPr>
      <w:r>
        <w:rPr>
          <w:i/>
          <w:iCs/>
          <w:color w:val="767171"/>
          <w:sz w:val="19"/>
          <w:szCs w:val="19"/>
        </w:rPr>
        <w:t xml:space="preserve">Rubric: the three metadata values — the gage datum, the date of the rating, and the effective date of FEMA’s flood study — and what each means for your result (2 points). Confirm them yourself on the gage’s USGS page and in READ-ME-FIRST.txt — do not copy them from Figure A.</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cantSplit/>
          <w:tblHeader/>
        </w:trPr>
        <w:tc>
          <w:tcPr>
            <w:tcW w:type="dxa" w:w="2600"/>
            <w:shd w:fill="D9E2F3" w:color="auto" w:val="clear"/>
            <w:tcMar>
              <w:top w:type="dxa" w:w="90"/>
              <w:left w:type="dxa" w:w="120"/>
              <w:bottom w:type="dxa" w:w="90"/>
              <w:right w:type="dxa" w:w="120"/>
            </w:tcMar>
          </w:tcPr>
          <w:p>
            <w:r>
              <w:rPr>
                <w:b/>
                <w:bCs/>
                <w:color w:val="1F3864"/>
                <w:sz w:val="19"/>
                <w:szCs w:val="19"/>
              </w:rPr>
              <w:t xml:space="preserve">Value</w:t>
            </w:r>
          </w:p>
        </w:tc>
        <w:tc>
          <w:tcPr>
            <w:tcW w:type="dxa" w:w="2400"/>
            <w:shd w:fill="D9E2F3" w:color="auto" w:val="clear"/>
            <w:tcMar>
              <w:top w:type="dxa" w:w="90"/>
              <w:left w:type="dxa" w:w="120"/>
              <w:bottom w:type="dxa" w:w="90"/>
              <w:right w:type="dxa" w:w="120"/>
            </w:tcMar>
          </w:tcPr>
          <w:p>
            <w:r>
              <w:rPr>
                <w:b/>
                <w:bCs/>
                <w:color w:val="1F3864"/>
                <w:sz w:val="19"/>
                <w:szCs w:val="19"/>
              </w:rPr>
              <w:t xml:space="preserve">What you found</w:t>
            </w:r>
          </w:p>
        </w:tc>
        <w:tc>
          <w:tcPr>
            <w:tcW w:type="dxa" w:w="4360"/>
            <w:shd w:fill="D9E2F3" w:color="auto" w:val="clear"/>
            <w:tcMar>
              <w:top w:type="dxa" w:w="90"/>
              <w:left w:type="dxa" w:w="120"/>
              <w:bottom w:type="dxa" w:w="90"/>
              <w:right w:type="dxa" w:w="120"/>
            </w:tcMar>
          </w:tcPr>
          <w:p>
            <w:r>
              <w:rPr>
                <w:b/>
                <w:bCs/>
                <w:color w:val="1F3864"/>
                <w:sz w:val="19"/>
                <w:szCs w:val="19"/>
              </w:rPr>
              <w:t xml:space="preserve">What it means for your result</w:t>
            </w:r>
          </w:p>
        </w:tc>
      </w:tr>
      <w:tr>
        <w:trPr>
          <w:cantSplit/>
        </w:trPr>
        <w:tc>
          <w:tcPr>
            <w:tcW w:type="dxa" w:w="2600"/>
            <w:tcMar>
              <w:top w:type="dxa" w:w="90"/>
              <w:left w:type="dxa" w:w="120"/>
              <w:bottom w:type="dxa" w:w="90"/>
              <w:right w:type="dxa" w:w="120"/>
            </w:tcMar>
          </w:tcPr>
          <w:p>
            <w:r>
              <w:rPr>
                <w:color w:val="000000"/>
                <w:sz w:val="19"/>
                <w:szCs w:val="19"/>
              </w:rPr>
              <w:t xml:space="preserve">Gage datum (what to add to a gage height)</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r>
        <w:trPr>
          <w:cantSplit/>
        </w:trPr>
        <w:tc>
          <w:tcPr>
            <w:tcW w:type="dxa" w:w="2600"/>
            <w:shd w:fill="F2F2F2" w:color="auto" w:val="clear"/>
            <w:tcMar>
              <w:top w:type="dxa" w:w="90"/>
              <w:left w:type="dxa" w:w="120"/>
              <w:bottom w:type="dxa" w:w="90"/>
              <w:right w:type="dxa" w:w="120"/>
            </w:tcMar>
          </w:tcPr>
          <w:p>
            <w:r>
              <w:rPr>
                <w:color w:val="000000"/>
                <w:sz w:val="19"/>
                <w:szCs w:val="19"/>
              </w:rPr>
              <w:t xml:space="preserve">Date and status of the rating</w:t>
            </w:r>
          </w:p>
        </w:tc>
        <w:tc>
          <w:tcPr>
            <w:tcW w:type="dxa" w:w="2400"/>
            <w:shd w:fill="F2F2F2" w:color="auto" w:val="clear"/>
            <w:tcMar>
              <w:top w:type="dxa" w:w="90"/>
              <w:left w:type="dxa" w:w="120"/>
              <w:bottom w:type="dxa" w:w="90"/>
              <w:right w:type="dxa" w:w="120"/>
            </w:tcMar>
          </w:tcPr>
          <w:p>
            <w:r>
              <w:rPr>
                <w:color w:val="767171"/>
                <w:sz w:val="19"/>
                <w:szCs w:val="19"/>
              </w:rPr>
              <w:t xml:space="preserve"> </w:t>
            </w:r>
          </w:p>
        </w:tc>
        <w:tc>
          <w:tcPr>
            <w:tcW w:type="dxa" w:w="43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600"/>
            <w:tcMar>
              <w:top w:type="dxa" w:w="90"/>
              <w:left w:type="dxa" w:w="120"/>
              <w:bottom w:type="dxa" w:w="90"/>
              <w:right w:type="dxa" w:w="120"/>
            </w:tcMar>
          </w:tcPr>
          <w:p>
            <w:r>
              <w:rPr>
                <w:color w:val="000000"/>
                <w:sz w:val="19"/>
                <w:szCs w:val="19"/>
              </w:rPr>
              <w:t xml:space="preserve">Effective date of FEMA’s flood study</w:t>
            </w:r>
          </w:p>
        </w:tc>
        <w:tc>
          <w:tcPr>
            <w:tcW w:type="dxa" w:w="2400"/>
            <w:tcMar>
              <w:top w:type="dxa" w:w="90"/>
              <w:left w:type="dxa" w:w="120"/>
              <w:bottom w:type="dxa" w:w="90"/>
              <w:right w:type="dxa" w:w="120"/>
            </w:tcMar>
          </w:tcPr>
          <w:p>
            <w:r>
              <w:rPr>
                <w:color w:val="767171"/>
                <w:sz w:val="19"/>
                <w:szCs w:val="19"/>
              </w:rPr>
              <w:t xml:space="preserve"> </w:t>
            </w:r>
          </w:p>
        </w:tc>
        <w:tc>
          <w:tcPr>
            <w:tcW w:type="dxa" w:w="43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1. Metadata for the gage, the rating and the FEMA study.</w:t>
      </w:r>
    </w:p>
    <w:p>
      <w:pPr>
        <w:pStyle w:val="Heading1"/>
        <w:spacing w:after="80" w:before="280"/>
      </w:pPr>
      <w:r>
        <w:rPr>
          <w:b/>
          <w:bCs/>
          <w:color w:val="1F3864"/>
          <w:sz w:val="28"/>
          <w:szCs w:val="28"/>
        </w:rPr>
        <w:t xml:space="preserve">3.  The Models</w:t>
      </w:r>
    </w:p>
    <w:p>
      <w:pPr>
        <w:spacing w:after="160" w:before="60"/>
      </w:pPr>
      <w:r>
        <w:rPr>
          <w:i/>
          <w:iCs/>
          <w:color w:val="767171"/>
          <w:sz w:val="19"/>
          <w:szCs w:val="19"/>
        </w:rPr>
        <w:t xml:space="preserve">Rubric: a description of both models a reader could repeat from — each tool, its settings, and every input, intermediate and output dataset with its type — including how the loop’s value reaches the expression (2 points). One row per tool, in the order they run.</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000"/>
        <w:gridCol w:w="1700"/>
        <w:gridCol w:w="1260"/>
      </w:tblGrid>
      <w:tr>
        <w:trPr>
          <w:cantSplit/>
          <w:tblHeader/>
        </w:trPr>
        <w:tc>
          <w:tcPr>
            <w:tcW w:type="dxa" w:w="2300"/>
            <w:shd w:fill="D9E2F3" w:color="auto" w:val="clear"/>
            <w:tcMar>
              <w:top w:type="dxa" w:w="90"/>
              <w:left w:type="dxa" w:w="120"/>
              <w:bottom w:type="dxa" w:w="90"/>
              <w:right w:type="dxa" w:w="120"/>
            </w:tcMar>
          </w:tcPr>
          <w:p>
            <w:r>
              <w:rPr>
                <w:b/>
                <w:bCs/>
                <w:color w:val="1F3864"/>
                <w:sz w:val="19"/>
                <w:szCs w:val="19"/>
              </w:rPr>
              <w:t xml:space="preserve">Tool</w:t>
            </w:r>
          </w:p>
        </w:tc>
        <w:tc>
          <w:tcPr>
            <w:tcW w:type="dxa" w:w="2100"/>
            <w:shd w:fill="D9E2F3" w:color="auto" w:val="clear"/>
            <w:tcMar>
              <w:top w:type="dxa" w:w="90"/>
              <w:left w:type="dxa" w:w="120"/>
              <w:bottom w:type="dxa" w:w="90"/>
              <w:right w:type="dxa" w:w="120"/>
            </w:tcMar>
          </w:tcPr>
          <w:p>
            <w:r>
              <w:rPr>
                <w:b/>
                <w:bCs/>
                <w:color w:val="1F3864"/>
                <w:sz w:val="19"/>
                <w:szCs w:val="19"/>
              </w:rPr>
              <w:t xml:space="preserve">Settings</w:t>
            </w:r>
          </w:p>
        </w:tc>
        <w:tc>
          <w:tcPr>
            <w:tcW w:type="dxa" w:w="2000"/>
            <w:shd w:fill="D9E2F3" w:color="auto" w:val="clear"/>
            <w:tcMar>
              <w:top w:type="dxa" w:w="90"/>
              <w:left w:type="dxa" w:w="120"/>
              <w:bottom w:type="dxa" w:w="90"/>
              <w:right w:type="dxa" w:w="120"/>
            </w:tcMar>
          </w:tcPr>
          <w:p>
            <w:r>
              <w:rPr>
                <w:b/>
                <w:bCs/>
                <w:color w:val="1F3864"/>
                <w:sz w:val="19"/>
                <w:szCs w:val="19"/>
              </w:rPr>
              <w:t xml:space="preserve">Input dataset(s)</w:t>
            </w:r>
          </w:p>
        </w:tc>
        <w:tc>
          <w:tcPr>
            <w:tcW w:type="dxa" w:w="1700"/>
            <w:shd w:fill="D9E2F3" w:color="auto" w:val="clear"/>
            <w:tcMar>
              <w:top w:type="dxa" w:w="90"/>
              <w:left w:type="dxa" w:w="120"/>
              <w:bottom w:type="dxa" w:w="90"/>
              <w:right w:type="dxa" w:w="120"/>
            </w:tcMar>
          </w:tcPr>
          <w:p>
            <w:r>
              <w:rPr>
                <w:b/>
                <w:bCs/>
                <w:color w:val="1F3864"/>
                <w:sz w:val="19"/>
                <w:szCs w:val="19"/>
              </w:rPr>
              <w:t xml:space="preserve">Output dataset</w:t>
            </w:r>
          </w:p>
        </w:tc>
        <w:tc>
          <w:tcPr>
            <w:tcW w:type="dxa" w:w="1260"/>
            <w:shd w:fill="D9E2F3" w:color="auto" w:val="clear"/>
            <w:tcMar>
              <w:top w:type="dxa" w:w="90"/>
              <w:left w:type="dxa" w:w="120"/>
              <w:bottom w:type="dxa" w:w="90"/>
              <w:right w:type="dxa" w:w="120"/>
            </w:tcMar>
          </w:tcPr>
          <w:p>
            <w:r>
              <w:rPr>
                <w:b/>
                <w:bCs/>
                <w:color w:val="1F3864"/>
                <w:sz w:val="19"/>
                <w:szCs w:val="19"/>
              </w:rPr>
              <w:t xml:space="preserve">Type</w:t>
            </w:r>
          </w:p>
        </w:tc>
      </w:tr>
      <w:tr>
        <w:trPr>
          <w:cantSplit/>
        </w:trPr>
        <w:tc>
          <w:tcPr>
            <w:tcW w:type="dxa" w:w="2300"/>
            <w:tcMar>
              <w:top w:type="dxa" w:w="90"/>
              <w:left w:type="dxa" w:w="120"/>
              <w:bottom w:type="dxa" w:w="90"/>
              <w:right w:type="dxa" w:w="120"/>
            </w:tcMar>
          </w:tcPr>
          <w:p>
            <w:r>
              <w:rPr>
                <w:color w:val="000000"/>
                <w:sz w:val="19"/>
                <w:szCs w:val="19"/>
              </w:rPr>
              <w:t xml:space="preserve">Fill</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Flow Direction</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Flow Accumulation</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Raster Calculator (streams)</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Buffer</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Extract by Mask</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Flow Distance</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Iterate Field Values</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Raster Calculator (flood)</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Raster to Polygon</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Calculate Field</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Collect Values and Merge</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2. Model description — one row per tool.</w:t>
      </w:r>
    </w:p>
    <w:p>
      <w:pPr>
        <w:sectPr>
          <w:pgSz w:w="12240" w:h="15840" w:orient="portrait"/>
          <w:pgMar w:top="1440" w:right="1440" w:bottom="1440" w:left="1440" w:header="708" w:footer="708" w:gutter="0"/>
          <w:pgNumType/>
          <w:docGrid w:linePitch="360"/>
        </w:sectPr>
      </w:pPr>
    </w:p>
    <w:p>
      <w:pPr>
        <w:spacing w:after="160" w:before="60"/>
      </w:pPr>
      <w:r>
        <w:rPr>
          <w:i/>
          <w:iCs/>
          <w:color w:val="767171"/>
          <w:sz w:val="19"/>
          <w:szCs w:val="19"/>
        </w:rPr>
        <w:t xml:space="preserve">Rubric: a full-page figure of both models exported from ModelBuilder, all tools and datasets readable (2 points). Export them; do not screen-capture them. Upload your project’s toolbox (Lab07.atbx) with the report as well. Insert the exported PNG file itself. Do not screen-capture it, redraw it, or run it through an AI “enhancer” — that changes what the figure shows. This page is landscape so a wide model stays readable.</w:t>
      </w:r>
    </w:p>
    <w:tbl>
      <w:tblPr>
        <w:tblW w:type="dxa" w:w="12960"/>
        <w:tblBorders>
          <w:top w:val="dashed" w:color="BFBFBF" w:sz="6"/>
          <w:left w:val="dashed" w:color="BFBFBF" w:sz="6"/>
          <w:bottom w:val="dashed" w:color="BFBFBF" w:sz="6"/>
          <w:right w:val="dashed" w:color="BFBFBF" w:sz="6"/>
          <w:insideH w:val="dashed" w:color="BFBFBF" w:sz="6"/>
          <w:insideV w:val="dashed" w:color="BFBFBF" w:sz="6"/>
        </w:tblBorders>
      </w:tblPr>
      <w:tblGrid>
        <w:gridCol w:w="12960"/>
      </w:tblGrid>
      <w:tr>
        <w:trPr>
          <w:cantSplit/>
          <w:trHeight w:val="7500" w:hRule="atLeast"/>
        </w:trPr>
        <w:tc>
          <w:tcPr>
            <w:tcW w:type="dxa" w:w="129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1. The two models, exported from ModelBuilder with Export ▸ Export To Graphic.</w:t>
      </w:r>
    </w:p>
    <w:p>
      <w:pPr>
        <w:sectPr>
          <w:pgSz w:w="15840" w:h="12240" w:orient="landscape"/>
          <w:pgMar w:top="1440" w:right="1440" w:bottom="1440" w:left="1440" w:header="708" w:footer="708" w:gutter="0"/>
          <w:pgNumType/>
          <w:docGrid w:linePitch="360"/>
        </w:sectPr>
      </w:pPr>
    </w:p>
    <w:p>
      <w:pPr>
        <w:spacing w:after="160" w:before="60"/>
      </w:pPr>
      <w:r>
        <w:rPr>
          <w:i/>
          <w:iCs/>
          <w:color w:val="767171"/>
          <w:sz w:val="19"/>
          <w:szCs w:val="19"/>
        </w:rPr>
        <w:t xml:space="preserve">Rubric: screen captures of both tool dialogs with the threshold, HAND and the floods exposed as parameters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2. The two models’ tool dialogs, with the threshold, HAND and the floods exposed.</w:t>
      </w:r>
    </w:p>
    <w:p>
      <w:r>
        <w:br w:type="page"/>
      </w:r>
    </w:p>
    <w:p>
      <w:pPr>
        <w:pStyle w:val="Heading1"/>
        <w:spacing w:after="80" w:before="280"/>
      </w:pPr>
      <w:r>
        <w:rPr>
          <w:b/>
          <w:bCs/>
          <w:color w:val="1F3864"/>
          <w:sz w:val="28"/>
          <w:szCs w:val="28"/>
        </w:rPr>
        <w:t xml:space="preserve">4.  The Five Floods</w:t>
      </w:r>
    </w:p>
    <w:p>
      <w:pPr>
        <w:spacing w:after="160" w:before="60"/>
      </w:pPr>
      <w:r>
        <w:rPr>
          <w:i/>
          <w:iCs/>
          <w:color w:val="767171"/>
          <w:sz w:val="19"/>
          <w:szCs w:val="19"/>
        </w:rPr>
        <w:t xml:space="preserve">Rubric: the Floods_Buildings table captured, and the five areas and building counts in a table with their return periods and flows, matching the check values (3 points); the areas, River_Cells and the HAND range also show the models work (part of their 4 points). Type your own numbers from your own attribute tables.</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400"/>
        <w:gridCol w:w="1000"/>
        <w:gridCol w:w="2000"/>
        <w:gridCol w:w="2000"/>
      </w:tblGrid>
      <w:tr>
        <w:trPr>
          <w:cantSplit/>
          <w:tblHeader/>
        </w:trPr>
        <w:tc>
          <w:tcPr>
            <w:tcW w:type="dxa" w:w="2960"/>
            <w:shd w:fill="D9E2F3" w:color="auto" w:val="clear"/>
            <w:tcMar>
              <w:top w:type="dxa" w:w="90"/>
              <w:left w:type="dxa" w:w="120"/>
              <w:bottom w:type="dxa" w:w="90"/>
              <w:right w:type="dxa" w:w="120"/>
            </w:tcMar>
          </w:tcPr>
          <w:p>
            <w:r>
              <w:rPr>
                <w:b/>
                <w:bCs/>
                <w:color w:val="1F3864"/>
                <w:sz w:val="19"/>
                <w:szCs w:val="19"/>
              </w:rPr>
              <w:t xml:space="preserve">Return period</w:t>
            </w:r>
          </w:p>
        </w:tc>
        <w:tc>
          <w:tcPr>
            <w:tcW w:type="dxa" w:w="1400"/>
            <w:shd w:fill="D9E2F3" w:color="auto" w:val="clear"/>
            <w:tcMar>
              <w:top w:type="dxa" w:w="90"/>
              <w:left w:type="dxa" w:w="120"/>
              <w:bottom w:type="dxa" w:w="90"/>
              <w:right w:type="dxa" w:w="120"/>
            </w:tcMar>
          </w:tcPr>
          <w:p>
            <w:r>
              <w:rPr>
                <w:b/>
                <w:bCs/>
                <w:color w:val="1F3864"/>
                <w:sz w:val="19"/>
                <w:szCs w:val="19"/>
              </w:rPr>
              <w:t xml:space="preserve">Flow (ft³/s)</w:t>
            </w:r>
          </w:p>
        </w:tc>
        <w:tc>
          <w:tcPr>
            <w:tcW w:type="dxa" w:w="1000"/>
            <w:shd w:fill="D9E2F3" w:color="auto" w:val="clear"/>
            <w:tcMar>
              <w:top w:type="dxa" w:w="90"/>
              <w:left w:type="dxa" w:w="120"/>
              <w:bottom w:type="dxa" w:w="90"/>
              <w:right w:type="dxa" w:w="120"/>
            </w:tcMar>
          </w:tcPr>
          <w:p>
            <w:r>
              <w:rPr>
                <w:b/>
                <w:bCs/>
                <w:color w:val="1F3864"/>
                <w:sz w:val="19"/>
                <w:szCs w:val="19"/>
              </w:rPr>
              <w:t xml:space="preserve">H_CM</w:t>
            </w:r>
          </w:p>
        </w:tc>
        <w:tc>
          <w:tcPr>
            <w:tcW w:type="dxa" w:w="2000"/>
            <w:shd w:fill="D9E2F3" w:color="auto" w:val="clear"/>
            <w:tcMar>
              <w:top w:type="dxa" w:w="90"/>
              <w:left w:type="dxa" w:w="120"/>
              <w:bottom w:type="dxa" w:w="90"/>
              <w:right w:type="dxa" w:w="120"/>
            </w:tcMar>
          </w:tcPr>
          <w:p>
            <w:r>
              <w:rPr>
                <w:b/>
                <w:bCs/>
                <w:color w:val="1F3864"/>
                <w:sz w:val="19"/>
                <w:szCs w:val="19"/>
              </w:rPr>
              <w:t xml:space="preserve">Area (km²)</w:t>
            </w:r>
          </w:p>
        </w:tc>
        <w:tc>
          <w:tcPr>
            <w:tcW w:type="dxa" w:w="2000"/>
            <w:shd w:fill="D9E2F3" w:color="auto" w:val="clear"/>
            <w:tcMar>
              <w:top w:type="dxa" w:w="90"/>
              <w:left w:type="dxa" w:w="120"/>
              <w:bottom w:type="dxa" w:w="90"/>
              <w:right w:type="dxa" w:w="120"/>
            </w:tcMar>
          </w:tcPr>
          <w:p>
            <w:r>
              <w:rPr>
                <w:b/>
                <w:bCs/>
                <w:color w:val="1F3864"/>
                <w:sz w:val="19"/>
                <w:szCs w:val="19"/>
              </w:rPr>
              <w:t xml:space="preserve">Buildings (Join_Count)</w:t>
            </w:r>
          </w:p>
        </w:tc>
      </w:tr>
      <w:tr>
        <w:trPr>
          <w:cantSplit/>
        </w:trPr>
        <w:tc>
          <w:tcPr>
            <w:tcW w:type="dxa" w:w="2960"/>
            <w:tcMar>
              <w:top w:type="dxa" w:w="90"/>
              <w:left w:type="dxa" w:w="120"/>
              <w:bottom w:type="dxa" w:w="90"/>
              <w:right w:type="dxa" w:w="120"/>
            </w:tcMar>
          </w:tcPr>
          <w:p>
            <w:r>
              <w:rPr>
                <w:color w:val="000000"/>
                <w:sz w:val="19"/>
                <w:szCs w:val="19"/>
              </w:rPr>
              <w:t xml:space="preserve">10-year</w:t>
            </w:r>
          </w:p>
        </w:tc>
        <w:tc>
          <w:tcPr>
            <w:tcW w:type="dxa" w:w="1400"/>
            <w:tcMar>
              <w:top w:type="dxa" w:w="90"/>
              <w:left w:type="dxa" w:w="120"/>
              <w:bottom w:type="dxa" w:w="90"/>
              <w:right w:type="dxa" w:w="120"/>
            </w:tcMar>
          </w:tcPr>
          <w:p>
            <w:r>
              <w:rPr>
                <w:color w:val="000000"/>
                <w:sz w:val="19"/>
                <w:szCs w:val="19"/>
              </w:rPr>
              <w:t xml:space="preserve">1,475</w:t>
            </w:r>
          </w:p>
        </w:tc>
        <w:tc>
          <w:tcPr>
            <w:tcW w:type="dxa" w:w="1000"/>
            <w:tcMar>
              <w:top w:type="dxa" w:w="90"/>
              <w:left w:type="dxa" w:w="120"/>
              <w:bottom w:type="dxa" w:w="90"/>
              <w:right w:type="dxa" w:w="120"/>
            </w:tcMar>
          </w:tcPr>
          <w:p>
            <w:r>
              <w:rPr>
                <w:color w:val="000000"/>
                <w:sz w:val="19"/>
                <w:szCs w:val="19"/>
              </w:rPr>
              <w:t xml:space="preserve">119</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r>
      <w:tr>
        <w:trPr>
          <w:cantSplit/>
        </w:trPr>
        <w:tc>
          <w:tcPr>
            <w:tcW w:type="dxa" w:w="2960"/>
            <w:shd w:fill="F2F2F2" w:color="auto" w:val="clear"/>
            <w:tcMar>
              <w:top w:type="dxa" w:w="90"/>
              <w:left w:type="dxa" w:w="120"/>
              <w:bottom w:type="dxa" w:w="90"/>
              <w:right w:type="dxa" w:w="120"/>
            </w:tcMar>
          </w:tcPr>
          <w:p>
            <w:r>
              <w:rPr>
                <w:color w:val="000000"/>
                <w:sz w:val="19"/>
                <w:szCs w:val="19"/>
              </w:rPr>
              <w:t xml:space="preserve">25-year</w:t>
            </w:r>
          </w:p>
        </w:tc>
        <w:tc>
          <w:tcPr>
            <w:tcW w:type="dxa" w:w="1400"/>
            <w:shd w:fill="F2F2F2" w:color="auto" w:val="clear"/>
            <w:tcMar>
              <w:top w:type="dxa" w:w="90"/>
              <w:left w:type="dxa" w:w="120"/>
              <w:bottom w:type="dxa" w:w="90"/>
              <w:right w:type="dxa" w:w="120"/>
            </w:tcMar>
          </w:tcPr>
          <w:p>
            <w:r>
              <w:rPr>
                <w:color w:val="000000"/>
                <w:sz w:val="19"/>
                <w:szCs w:val="19"/>
              </w:rPr>
              <w:t xml:space="preserve">1,810</w:t>
            </w:r>
          </w:p>
        </w:tc>
        <w:tc>
          <w:tcPr>
            <w:tcW w:type="dxa" w:w="1000"/>
            <w:shd w:fill="F2F2F2" w:color="auto" w:val="clear"/>
            <w:tcMar>
              <w:top w:type="dxa" w:w="90"/>
              <w:left w:type="dxa" w:w="120"/>
              <w:bottom w:type="dxa" w:w="90"/>
              <w:right w:type="dxa" w:w="120"/>
            </w:tcMar>
          </w:tcPr>
          <w:p>
            <w:r>
              <w:rPr>
                <w:color w:val="000000"/>
                <w:sz w:val="19"/>
                <w:szCs w:val="19"/>
              </w:rPr>
              <w:t xml:space="preserve">134</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960"/>
            <w:tcMar>
              <w:top w:type="dxa" w:w="90"/>
              <w:left w:type="dxa" w:w="120"/>
              <w:bottom w:type="dxa" w:w="90"/>
              <w:right w:type="dxa" w:w="120"/>
            </w:tcMar>
          </w:tcPr>
          <w:p>
            <w:r>
              <w:rPr>
                <w:color w:val="000000"/>
                <w:sz w:val="19"/>
                <w:szCs w:val="19"/>
              </w:rPr>
              <w:t xml:space="preserve">50-year</w:t>
            </w:r>
          </w:p>
        </w:tc>
        <w:tc>
          <w:tcPr>
            <w:tcW w:type="dxa" w:w="1400"/>
            <w:tcMar>
              <w:top w:type="dxa" w:w="90"/>
              <w:left w:type="dxa" w:w="120"/>
              <w:bottom w:type="dxa" w:w="90"/>
              <w:right w:type="dxa" w:w="120"/>
            </w:tcMar>
          </w:tcPr>
          <w:p>
            <w:r>
              <w:rPr>
                <w:color w:val="000000"/>
                <w:sz w:val="19"/>
                <w:szCs w:val="19"/>
              </w:rPr>
              <w:t xml:space="preserve">2,065</w:t>
            </w:r>
          </w:p>
        </w:tc>
        <w:tc>
          <w:tcPr>
            <w:tcW w:type="dxa" w:w="1000"/>
            <w:tcMar>
              <w:top w:type="dxa" w:w="90"/>
              <w:left w:type="dxa" w:w="120"/>
              <w:bottom w:type="dxa" w:w="90"/>
              <w:right w:type="dxa" w:w="120"/>
            </w:tcMar>
          </w:tcPr>
          <w:p>
            <w:r>
              <w:rPr>
                <w:color w:val="000000"/>
                <w:sz w:val="19"/>
                <w:szCs w:val="19"/>
              </w:rPr>
              <w:t xml:space="preserve">143</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r>
      <w:tr>
        <w:trPr>
          <w:cantSplit/>
        </w:trPr>
        <w:tc>
          <w:tcPr>
            <w:tcW w:type="dxa" w:w="2960"/>
            <w:shd w:fill="F2F2F2" w:color="auto" w:val="clear"/>
            <w:tcMar>
              <w:top w:type="dxa" w:w="90"/>
              <w:left w:type="dxa" w:w="120"/>
              <w:bottom w:type="dxa" w:w="90"/>
              <w:right w:type="dxa" w:w="120"/>
            </w:tcMar>
          </w:tcPr>
          <w:p>
            <w:r>
              <w:rPr>
                <w:color w:val="000000"/>
                <w:sz w:val="19"/>
                <w:szCs w:val="19"/>
              </w:rPr>
              <w:t xml:space="preserve">100-year</w:t>
            </w:r>
          </w:p>
        </w:tc>
        <w:tc>
          <w:tcPr>
            <w:tcW w:type="dxa" w:w="1400"/>
            <w:shd w:fill="F2F2F2" w:color="auto" w:val="clear"/>
            <w:tcMar>
              <w:top w:type="dxa" w:w="90"/>
              <w:left w:type="dxa" w:w="120"/>
              <w:bottom w:type="dxa" w:w="90"/>
              <w:right w:type="dxa" w:w="120"/>
            </w:tcMar>
          </w:tcPr>
          <w:p>
            <w:r>
              <w:rPr>
                <w:color w:val="000000"/>
                <w:sz w:val="19"/>
                <w:szCs w:val="19"/>
              </w:rPr>
              <w:t xml:space="preserve">2,325</w:t>
            </w:r>
          </w:p>
        </w:tc>
        <w:tc>
          <w:tcPr>
            <w:tcW w:type="dxa" w:w="1000"/>
            <w:shd w:fill="F2F2F2" w:color="auto" w:val="clear"/>
            <w:tcMar>
              <w:top w:type="dxa" w:w="90"/>
              <w:left w:type="dxa" w:w="120"/>
              <w:bottom w:type="dxa" w:w="90"/>
              <w:right w:type="dxa" w:w="120"/>
            </w:tcMar>
          </w:tcPr>
          <w:p>
            <w:r>
              <w:rPr>
                <w:color w:val="000000"/>
                <w:sz w:val="19"/>
                <w:szCs w:val="19"/>
              </w:rPr>
              <w:t xml:space="preserve">153</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960"/>
            <w:tcMar>
              <w:top w:type="dxa" w:w="90"/>
              <w:left w:type="dxa" w:w="120"/>
              <w:bottom w:type="dxa" w:w="90"/>
              <w:right w:type="dxa" w:w="120"/>
            </w:tcMar>
          </w:tcPr>
          <w:p>
            <w:r>
              <w:rPr>
                <w:color w:val="000000"/>
                <w:sz w:val="19"/>
                <w:szCs w:val="19"/>
              </w:rPr>
              <w:t xml:space="preserve">500-year</w:t>
            </w:r>
          </w:p>
        </w:tc>
        <w:tc>
          <w:tcPr>
            <w:tcW w:type="dxa" w:w="1400"/>
            <w:tcMar>
              <w:top w:type="dxa" w:w="90"/>
              <w:left w:type="dxa" w:w="120"/>
              <w:bottom w:type="dxa" w:w="90"/>
              <w:right w:type="dxa" w:w="120"/>
            </w:tcMar>
          </w:tcPr>
          <w:p>
            <w:r>
              <w:rPr>
                <w:color w:val="000000"/>
                <w:sz w:val="19"/>
                <w:szCs w:val="19"/>
              </w:rPr>
              <w:t xml:space="preserve">2,935</w:t>
            </w:r>
          </w:p>
        </w:tc>
        <w:tc>
          <w:tcPr>
            <w:tcW w:type="dxa" w:w="1000"/>
            <w:tcMar>
              <w:top w:type="dxa" w:w="90"/>
              <w:left w:type="dxa" w:w="120"/>
              <w:bottom w:type="dxa" w:w="90"/>
              <w:right w:type="dxa" w:w="120"/>
            </w:tcMar>
          </w:tcPr>
          <w:p>
            <w:r>
              <w:rPr>
                <w:color w:val="000000"/>
                <w:sz w:val="19"/>
                <w:szCs w:val="19"/>
              </w:rPr>
              <w:t xml:space="preserve">173</w:t>
            </w:r>
          </w:p>
        </w:tc>
        <w:tc>
          <w:tcPr>
            <w:tcW w:type="dxa" w:w="20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r>
      <w:tr>
        <w:trPr>
          <w:cantSplit/>
        </w:trPr>
        <w:tc>
          <w:tcPr>
            <w:tcW w:type="dxa" w:w="2960"/>
            <w:shd w:fill="F2F2F2" w:color="auto" w:val="clear"/>
            <w:tcMar>
              <w:top w:type="dxa" w:w="90"/>
              <w:left w:type="dxa" w:w="120"/>
              <w:bottom w:type="dxa" w:w="90"/>
              <w:right w:type="dxa" w:w="120"/>
            </w:tcMar>
          </w:tcPr>
          <w:p>
            <w:r>
              <w:rPr>
                <w:color w:val="000000"/>
                <w:sz w:val="19"/>
                <w:szCs w:val="19"/>
              </w:rPr>
              <w:t xml:space="preserve">River_Cells; HAND minimum and maximum (m)</w:t>
            </w:r>
          </w:p>
        </w:tc>
        <w:tc>
          <w:tcPr>
            <w:tcW w:type="dxa" w:w="1400"/>
            <w:shd w:fill="F2F2F2" w:color="auto" w:val="clear"/>
            <w:tcMar>
              <w:top w:type="dxa" w:w="90"/>
              <w:left w:type="dxa" w:w="120"/>
              <w:bottom w:type="dxa" w:w="90"/>
              <w:right w:type="dxa" w:w="120"/>
            </w:tcMar>
          </w:tcPr>
          <w:p>
            <w:r>
              <w:rPr>
                <w:color w:val="767171"/>
                <w:sz w:val="19"/>
                <w:szCs w:val="19"/>
              </w:rPr>
              <w:t xml:space="preserve"> </w:t>
            </w:r>
          </w:p>
        </w:tc>
        <w:tc>
          <w:tcPr>
            <w:tcW w:type="dxa" w:w="10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3. The five FEMA floods, from Floods_Buildings.</w:t>
      </w:r>
    </w:p>
    <w:p>
      <w:pPr>
        <w:spacing w:after="160" w:before="60"/>
      </w:pPr>
      <w:r>
        <w:rPr>
          <w:i/>
          <w:iCs/>
          <w:color w:val="767171"/>
          <w:sz w:val="19"/>
          <w:szCs w:val="19"/>
        </w:rPr>
        <w:t xml:space="preserve">A capture of the attribute table with H_CM, Shape_Area and Join_Count showing for all five rows.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3. The Floods_Buildings attribute table.</w:t>
      </w:r>
    </w:p>
    <w:p>
      <w:pPr>
        <w:pStyle w:val="Heading1"/>
        <w:spacing w:after="80" w:before="280"/>
      </w:pPr>
      <w:r>
        <w:rPr>
          <w:b/>
          <w:bCs/>
          <w:color w:val="1F3864"/>
          <w:sz w:val="28"/>
          <w:szCs w:val="28"/>
        </w:rPr>
        <w:t xml:space="preserve">5.  Your Own Flood</w:t>
      </w:r>
    </w:p>
    <w:p>
      <w:pPr>
        <w:spacing w:after="160" w:before="60"/>
      </w:pPr>
      <w:r>
        <w:rPr>
          <w:i/>
          <w:iCs/>
          <w:color w:val="767171"/>
          <w:sz w:val="19"/>
          <w:szCs w:val="19"/>
        </w:rPr>
        <w:t xml:space="preserve">Rubric: your BYU ID’s last two digits, Q, the rating row you used, h, and the flood’s area and building count, matching a run at your flow (4 points). The grader checks every number against a run at your flow, so they have to come from your own Step 1 lookup and your own Step 7 run.</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shd w:fill="D9E2F3" w:color="auto" w:val="clear"/>
            <w:tcMar>
              <w:top w:type="dxa" w:w="90"/>
              <w:left w:type="dxa" w:w="120"/>
              <w:bottom w:type="dxa" w:w="90"/>
              <w:right w:type="dxa" w:w="120"/>
            </w:tcMar>
          </w:tcPr>
          <w:p>
            <w:r>
              <w:rPr>
                <w:b/>
                <w:bCs/>
                <w:color w:val="1F3864"/>
                <w:sz w:val="19"/>
                <w:szCs w:val="19"/>
              </w:rPr>
              <w:t xml:space="preserve">Item</w:t>
            </w:r>
          </w:p>
        </w:tc>
        <w:tc>
          <w:tcPr>
            <w:tcW w:type="dxa" w:w="4000"/>
            <w:shd w:fill="D9E2F3" w:color="auto" w:val="clear"/>
            <w:tcMar>
              <w:top w:type="dxa" w:w="90"/>
              <w:left w:type="dxa" w:w="120"/>
              <w:bottom w:type="dxa" w:w="90"/>
              <w:right w:type="dxa" w:w="120"/>
            </w:tcMar>
          </w:tcPr>
          <w:p>
            <w:r>
              <w:rPr>
                <w:b/>
                <w:bCs/>
                <w:color w:val="1F3864"/>
                <w:sz w:val="19"/>
                <w:szCs w:val="19"/>
              </w:rPr>
              <w:t xml:space="preserve">Value</w:t>
            </w:r>
          </w:p>
        </w:tc>
      </w:tr>
      <w:tr>
        <w:trPr>
          <w:cantSplit/>
        </w:trPr>
        <w:tc>
          <w:tcPr>
            <w:tcW w:type="dxa" w:w="5360"/>
            <w:tcMar>
              <w:top w:type="dxa" w:w="90"/>
              <w:left w:type="dxa" w:w="120"/>
              <w:bottom w:type="dxa" w:w="90"/>
              <w:right w:type="dxa" w:w="120"/>
            </w:tcMar>
          </w:tcPr>
          <w:p>
            <w:r>
              <w:rPr>
                <w:color w:val="000000"/>
                <w:sz w:val="19"/>
                <w:szCs w:val="19"/>
              </w:rPr>
              <w:t xml:space="preserve">Q = 900 + 12 × (last two digits) (ft³/s)</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First rating row at or above Q (gage height ft, discharge ft³/s)</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5360"/>
            <w:tcMar>
              <w:top w:type="dxa" w:w="90"/>
              <w:left w:type="dxa" w:w="120"/>
              <w:bottom w:type="dxa" w:w="90"/>
              <w:right w:type="dxa" w:w="120"/>
            </w:tcMar>
          </w:tcPr>
          <w:p>
            <w:r>
              <w:rPr>
                <w:color w:val="000000"/>
                <w:sz w:val="19"/>
                <w:szCs w:val="19"/>
              </w:rPr>
              <w:t xml:space="preserve">h = (gage height − 3.20) × 0.3048 (m, to the millimeter)</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Area of floodpoly_mine (km², from its Shape_Area)</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5360"/>
            <w:tcMar>
              <w:top w:type="dxa" w:w="90"/>
              <w:left w:type="dxa" w:w="120"/>
              <w:bottom w:type="dxa" w:w="90"/>
              <w:right w:type="dxa" w:w="120"/>
            </w:tcMar>
          </w:tcPr>
          <w:p>
            <w:r>
              <w:rPr>
                <w:color w:val="000000"/>
                <w:sz w:val="19"/>
                <w:szCs w:val="19"/>
              </w:rPr>
              <w:t xml:space="preserve">Buildings reached (Join_Count in Mine_Buildings; the Count of Select Layer By Location)</w:t>
            </w:r>
          </w:p>
        </w:tc>
        <w:tc>
          <w:tcPr>
            <w:tcW w:type="dxa" w:w="4000"/>
            <w:tcMar>
              <w:top w:type="dxa" w:w="90"/>
              <w:left w:type="dxa" w:w="120"/>
              <w:bottom w:type="dxa" w:w="90"/>
              <w:right w:type="dxa" w:w="120"/>
            </w:tcMar>
          </w:tcPr>
          <w:p>
            <w:r>
              <w:rPr>
                <w:color w:val="767171"/>
                <w:sz w:val="19"/>
                <w:szCs w:val="19"/>
              </w:rPr>
              <w:t xml:space="preserve"> </w:t>
            </w:r>
          </w:p>
        </w:tc>
      </w:tr>
      <w:tr>
        <w:trPr>
          <w:cantSplit/>
        </w:trPr>
        <w:tc>
          <w:tcPr>
            <w:tcW w:type="dxa" w:w="5360"/>
            <w:shd w:fill="F2F2F2" w:color="auto" w:val="clear"/>
            <w:tcMar>
              <w:top w:type="dxa" w:w="90"/>
              <w:left w:type="dxa" w:w="120"/>
              <w:bottom w:type="dxa" w:w="90"/>
              <w:right w:type="dxa" w:w="120"/>
            </w:tcMar>
          </w:tcPr>
          <w:p>
            <w:r>
              <w:rPr>
                <w:color w:val="000000"/>
                <w:sz w:val="19"/>
                <w:szCs w:val="19"/>
              </w:rPr>
              <w:t xml:space="preserve">Where this sits among FEMA’s return periods</w:t>
            </w:r>
          </w:p>
        </w:tc>
        <w:tc>
          <w:tcPr>
            <w:tcW w:type="dxa" w:w="400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4. My own flood. My BYU ID ends in __.</w:t>
      </w:r>
    </w:p>
    <w:p>
      <w:pPr>
        <w:pStyle w:val="Heading1"/>
        <w:spacing w:after="80" w:before="280"/>
      </w:pPr>
      <w:r>
        <w:rPr>
          <w:b/>
          <w:bCs/>
          <w:color w:val="1F3864"/>
          <w:sz w:val="28"/>
          <w:szCs w:val="28"/>
        </w:rPr>
        <w:t xml:space="preserve">6.  Evidence the Models Ran</w:t>
      </w:r>
    </w:p>
    <w:p>
      <w:pPr>
        <w:spacing w:after="160" w:before="60"/>
      </w:pPr>
      <w:r>
        <w:rPr>
          <w:i/>
          <w:iCs/>
          <w:color w:val="767171"/>
          <w:sz w:val="19"/>
          <w:szCs w:val="19"/>
        </w:rPr>
        <w:t xml:space="preserve">Rubric: a screen capture of the Geoprocessing History pane (Analysis tab ▸ History) listing the Flood Loop run and the Step 7 tools, with the Flood Loop card open so its times and parameters show (3 points). See the lab page’s Figure 7.</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4. Geoprocessing History, listing the Flood Loop run and the Step 7 tools, with the Flood Loop card open.</w:t>
      </w:r>
    </w:p>
    <w:p>
      <w:r>
        <w:br w:type="page"/>
      </w:r>
    </w:p>
    <w:p>
      <w:pPr>
        <w:pStyle w:val="Heading1"/>
        <w:spacing w:after="80" w:before="280"/>
      </w:pPr>
      <w:r>
        <w:rPr>
          <w:b/>
          <w:bCs/>
          <w:color w:val="1F3864"/>
          <w:sz w:val="28"/>
          <w:szCs w:val="28"/>
        </w:rPr>
        <w:t xml:space="preserve">7.  HAND Against FEMA</w:t>
      </w:r>
    </w:p>
    <w:p>
      <w:pPr>
        <w:spacing w:after="160" w:before="60"/>
      </w:pPr>
      <w:r>
        <w:rPr>
          <w:i/>
          <w:iCs/>
          <w:color w:val="767171"/>
          <w:sz w:val="19"/>
          <w:szCs w:val="19"/>
        </w:rPr>
        <w:t xml:space="preserve">Rubric: one or two sentences on what the hit rate (0.548), false-alarm ratio (0.425) and CSI (0.390) say about the two maps, and one place where HAND and FEMA disagree, with coordinates, a cropped figure and the reason (3 points). A general paragraph about HAND earns nothing here; name the place.</w:t>
      </w:r>
    </w:p>
    <w:p>
      <w:pPr>
        <w:spacing w:after="260" w:before="0"/>
      </w:pPr>
      <w:r>
        <w:rPr>
          <w:i/>
          <w:iCs/>
          <w:color w:val="767171"/>
          <w:highlight w:val="yellow"/>
        </w:rPr>
        <w:t xml:space="preserve">[Add your content here.]</w:t>
      </w:r>
    </w:p>
    <w:p>
      <w:pPr>
        <w:spacing w:after="160" w:before="60"/>
      </w:pPr>
      <w:r>
        <w:rPr>
          <w:i/>
          <w:iCs/>
          <w:color w:val="767171"/>
          <w:sz w:val="19"/>
          <w:szCs w:val="19"/>
        </w:rPr>
        <w:t xml:space="preserve">A crop of your 100-year flood with FEMA’s outline, the coordinates labeled, and a sentence under it saying which kind of disagreement it is and why.</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5. Where HAND and FEMA disagree, close up.</w:t>
      </w:r>
    </w:p>
    <w:p>
      <w:r>
        <w:br w:type="page"/>
      </w:r>
    </w:p>
    <w:p>
      <w:pPr>
        <w:pStyle w:val="Heading1"/>
        <w:spacing w:after="80" w:before="280"/>
      </w:pPr>
      <w:r>
        <w:rPr>
          <w:b/>
          <w:bCs/>
          <w:color w:val="1F3864"/>
          <w:sz w:val="28"/>
          <w:szCs w:val="28"/>
        </w:rPr>
        <w:t xml:space="preserve">8.  Maps</w:t>
      </w:r>
    </w:p>
    <w:p>
      <w:pPr>
        <w:spacing w:after="160" w:before="60"/>
      </w:pPr>
      <w:r>
        <w:rPr>
          <w:i/>
          <w:iCs/>
          <w:color w:val="767171"/>
          <w:sz w:val="19"/>
          <w:szCs w:val="19"/>
        </w:rPr>
        <w:t xml:space="preserve">Both maps are full sheets, and each is also uploaded as its own PDF from Share ▸ Export Layout (not Print). Use the same blue for your own flood as for the FEMA flood nearest it, so a reader can compare the two maps.</w:t>
      </w:r>
    </w:p>
    <w:p>
      <w:pPr>
        <w:spacing w:after="160" w:before="60"/>
      </w:pPr>
      <w:r>
        <w:rPr>
          <w:i/>
          <w:iCs/>
          <w:color w:val="767171"/>
          <w:sz w:val="19"/>
          <w:szCs w:val="19"/>
        </w:rPr>
        <w:t xml:space="preserve">Must carry: a title saying what the map shows; neat line, north arrow and scale bar; a text box with author, date, map projection, and the sources and dates of the elevation, flows and FEMA map; the five floods nested with a legend and the return periods labeled; FEMA’s outline, the river and the gage; an imagery basemap, legible when printed.</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1. The five FEMA floods, with FEMA’s 1% floodplain, the river and the gage.</w:t>
      </w:r>
    </w:p>
    <w:p>
      <w:r>
        <w:br w:type="page"/>
      </w:r>
    </w:p>
    <w:p>
      <w:pPr>
        <w:spacing w:after="160" w:before="60"/>
      </w:pPr>
      <w:r>
        <w:rPr>
          <w:i/>
          <w:iCs/>
          <w:color w:val="767171"/>
          <w:sz w:val="19"/>
          <w:szCs w:val="19"/>
        </w:rPr>
        <w:t xml:space="preserve">Must carry: a title stating your flow and h; neat line, north arrow and scale bar; the same text box items as Map 1; your flood with a legend and the river; the gage, in the main frame or in a locator inset that outlines the main frame’s extent; the buildings it reaches highlighted with their count on the map; the main frame zoomed to where the flood reaches buildings (an inset alone does not count).</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2. My own flood, and the buildings it reaches.</w:t>
      </w:r>
    </w:p>
    <w:p>
      <w:r>
        <w:br w:type="page"/>
      </w:r>
    </w:p>
    <w:p>
      <w:pPr>
        <w:pStyle w:val="Heading1"/>
        <w:spacing w:after="80" w:before="280"/>
      </w:pPr>
      <w:r>
        <w:rPr>
          <w:b/>
          <w:bCs/>
          <w:color w:val="1F3864"/>
          <w:sz w:val="28"/>
          <w:szCs w:val="28"/>
        </w:rPr>
        <w:t xml:space="preserve">9.  References</w:t>
      </w:r>
    </w:p>
    <w:p>
      <w:pPr>
        <w:spacing w:after="160" w:before="60"/>
      </w:pPr>
      <w:r>
        <w:rPr>
          <w:i/>
          <w:iCs/>
          <w:color w:val="767171"/>
          <w:sz w:val="19"/>
          <w:szCs w:val="19"/>
        </w:rPr>
        <w:t xml:space="preserve">Rubric: sources credited (part of the points for organized writing). Credit the elevation, the FEMA study and map, the USGS gage and rating, UGRC’s river and buildings, Nobre and others (2011), and anything else you relied on.</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 xml:space="preserve">10.  AI Use Statement</w:t>
      </w:r>
    </w:p>
    <w:p>
      <w:pPr>
        <w:spacing w:after="160" w:before="60"/>
      </w:pPr>
      <w:r>
        <w:rPr>
          <w:i/>
          <w:iCs/>
          <w:color w:val="767171"/>
          <w:sz w:val="19"/>
          <w:szCs w:val="19"/>
        </w:rPr>
        <w:t xml:space="preserve">Course policy: one line saying what you used AI for. If you used none, say that. AI may do clerical work such as moving your own numbers into a table, but every value comes from your own attribute tables and you check each one. Expressions, areas, counts and coordinates come from your own work, never from a model. You do the work in ArcGIS Pro yourself: AI may not run it for you, put facts in your report you did not find, or redraw or “enhance” your figures (see the course AI policy).</w:t>
      </w:r>
    </w:p>
    <w:p>
      <w:pPr>
        <w:spacing w:after="260" w:before="0"/>
      </w:pPr>
      <w:r>
        <w:rPr>
          <w:i/>
          <w:iCs/>
          <w:color w:val="767171"/>
          <w:highlight w:val="yellow"/>
        </w:rPr>
        <w:t xml:space="preserve">[Add your content here.]</w:t>
      </w:r>
    </w:p>
    <w:p>
      <w:r>
        <w:br w:type="page"/>
      </w:r>
    </w:p>
    <w:p>
      <w:pPr>
        <w:pStyle w:val="Heading1"/>
        <w:spacing w:after="80" w:before="280"/>
      </w:pPr>
      <w:r>
        <w:rPr>
          <w:b/>
          <w:bCs/>
          <w:color w:val="1F3864"/>
          <w:sz w:val="28"/>
          <w:szCs w:val="28"/>
        </w:rPr>
        <w:t xml:space="preserve">11.  Self-Graded Rubric</w:t>
      </w:r>
    </w:p>
    <w:p>
      <w:pPr>
        <w:spacing w:after="160" w:before="60"/>
      </w:pPr>
      <w:r>
        <w:rPr>
          <w:i/>
          <w:iCs/>
          <w:color w:val="767171"/>
          <w:sz w:val="19"/>
          <w:szCs w:val="19"/>
        </w:rPr>
        <w:t xml:space="preserve">Rubric: this rubric pasted in with your self-assessment in every row (part of the point for organized writing). Put a score in every row, honestly arrived at. The grader compares yours with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900"/>
        <w:gridCol w:w="1260"/>
      </w:tblGrid>
      <w:tr>
        <w:trPr>
          <w:cantSplit/>
          <w:tblHeader/>
        </w:trPr>
        <w:tc>
          <w:tcPr>
            <w:tcW w:type="dxa" w:w="7200"/>
            <w:shd w:fill="D9E2F3" w:color="auto" w:val="clear"/>
            <w:tcMar>
              <w:top w:type="dxa" w:w="90"/>
              <w:left w:type="dxa" w:w="120"/>
              <w:bottom w:type="dxa" w:w="90"/>
              <w:right w:type="dxa" w:w="120"/>
            </w:tcMar>
          </w:tcPr>
          <w:p>
            <w:r>
              <w:rPr>
                <w:b/>
                <w:bCs/>
                <w:color w:val="1F3864"/>
                <w:sz w:val="19"/>
                <w:szCs w:val="19"/>
              </w:rPr>
              <w:t xml:space="preserve">Item</w:t>
            </w:r>
          </w:p>
        </w:tc>
        <w:tc>
          <w:tcPr>
            <w:tcW w:type="dxa" w:w="900"/>
            <w:shd w:fill="D9E2F3" w:color="auto" w:val="clear"/>
            <w:tcMar>
              <w:top w:type="dxa" w:w="90"/>
              <w:left w:type="dxa" w:w="120"/>
              <w:bottom w:type="dxa" w:w="90"/>
              <w:right w:type="dxa" w:w="120"/>
            </w:tcMar>
          </w:tcPr>
          <w:p>
            <w:r>
              <w:rPr>
                <w:b/>
                <w:bCs/>
                <w:color w:val="1F3864"/>
                <w:sz w:val="19"/>
                <w:szCs w:val="19"/>
              </w:rPr>
              <w:t xml:space="preserve">Max</w:t>
            </w:r>
          </w:p>
        </w:tc>
        <w:tc>
          <w:tcPr>
            <w:tcW w:type="dxa" w:w="1260"/>
            <w:shd w:fill="D9E2F3" w:color="auto" w:val="clear"/>
            <w:tcMar>
              <w:top w:type="dxa" w:w="90"/>
              <w:left w:type="dxa" w:w="120"/>
              <w:bottom w:type="dxa" w:w="90"/>
              <w:right w:type="dxa" w:w="120"/>
            </w:tcMar>
          </w:tcPr>
          <w:p>
            <w:r>
              <w:rPr>
                <w:b/>
                <w:bCs/>
                <w:color w:val="1F3864"/>
                <w:sz w:val="19"/>
                <w:szCs w:val="19"/>
              </w:rPr>
              <w:t xml:space="preserve">Your score</w:t>
            </w:r>
          </w:p>
        </w:tc>
      </w:tr>
      <w:tr>
        <w:trPr>
          <w:cantSplit/>
        </w:trPr>
        <w:tc>
          <w:tcPr>
            <w:tcW w:type="dxa" w:w="7200"/>
            <w:tcMar>
              <w:top w:type="dxa" w:w="90"/>
              <w:left w:type="dxa" w:w="120"/>
              <w:bottom w:type="dxa" w:w="90"/>
              <w:right w:type="dxa" w:w="120"/>
            </w:tcMar>
          </w:tcPr>
          <w:p>
            <w:pPr>
              <w:spacing w:after="60"/>
            </w:pPr>
            <w:r>
              <w:rPr>
                <w:b/>
                <w:bCs/>
                <w:sz w:val="19"/>
                <w:szCs w:val="19"/>
              </w:rPr>
              <w:t xml:space="preserve">Write-up (2 pages)</w:t>
            </w:r>
          </w:p>
          <w:p>
            <w:pPr>
              <w:pStyle w:val="ListParagraph"/>
              <w:numPr>
                <w:ilvl w:val="0"/>
                <w:numId w:val="3"/>
              </w:numPr>
              <w:spacing w:after="40"/>
            </w:pPr>
            <w:r>
              <w:rPr>
                <w:sz w:val="17"/>
                <w:szCs w:val="17"/>
              </w:rPr>
              <w:t xml:space="preserve">Assignment title, your name, date and course; your peer reviewer named, with a sentence on what you changed because of them (1)</w:t>
            </w:r>
          </w:p>
          <w:p>
            <w:pPr>
              <w:pStyle w:val="ListParagraph"/>
              <w:numPr>
                <w:ilvl w:val="0"/>
                <w:numId w:val="3"/>
              </w:numPr>
              <w:spacing w:after="40"/>
            </w:pPr>
            <w:r>
              <w:rPr>
                <w:sz w:val="17"/>
                <w:szCs w:val="17"/>
              </w:rPr>
              <w:t xml:space="preserve">The requirements of the project and your approach to solving it, in your own words (2)</w:t>
            </w:r>
          </w:p>
          <w:p>
            <w:pPr>
              <w:pStyle w:val="ListParagraph"/>
              <w:numPr>
                <w:ilvl w:val="0"/>
                <w:numId w:val="3"/>
              </w:numPr>
              <w:spacing w:after="40"/>
            </w:pPr>
            <w:r>
              <w:rPr>
                <w:sz w:val="17"/>
                <w:szCs w:val="17"/>
              </w:rPr>
              <w:t xml:space="preserve">The three metadata values — gage datum, rating date, FEMA effective date — and what each means for your result (2)</w:t>
            </w:r>
          </w:p>
          <w:p>
            <w:pPr>
              <w:pStyle w:val="ListParagraph"/>
              <w:numPr>
                <w:ilvl w:val="0"/>
                <w:numId w:val="3"/>
              </w:numPr>
              <w:spacing w:after="40"/>
            </w:pPr>
            <w:r>
              <w:rPr>
                <w:sz w:val="17"/>
                <w:szCs w:val="17"/>
              </w:rPr>
              <w:t xml:space="preserve">HAND against FEMA: what the hit rate, false-alarm ratio and CSI say about the two maps, and one place where they disagree, with coordinates, a cropped figure and the reason (3)</w:t>
            </w:r>
          </w:p>
          <w:p>
            <w:pPr>
              <w:pStyle w:val="ListParagraph"/>
              <w:numPr>
                <w:ilvl w:val="0"/>
                <w:numId w:val="3"/>
              </w:numPr>
              <w:spacing w:after="40"/>
            </w:pPr>
            <w:r>
              <w:rPr>
                <w:sz w:val="17"/>
                <w:szCs w:val="17"/>
              </w:rPr>
              <w:t xml:space="preserve">Organized writing, figures numbered and referred to, sources credited, rubric pasted with your self-assessment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ModelBuilder models — correct and working</w:t>
            </w:r>
          </w:p>
          <w:p>
            <w:pPr>
              <w:pStyle w:val="ListParagraph"/>
              <w:numPr>
                <w:ilvl w:val="0"/>
                <w:numId w:val="3"/>
              </w:numPr>
              <w:spacing w:after="40"/>
            </w:pPr>
            <w:r>
              <w:rPr>
                <w:sz w:val="17"/>
                <w:szCs w:val="17"/>
              </w:rPr>
              <w:t xml:space="preserve">Both models built as described: HAND Builder's river cells and HAND range match the check values, and Flood Loop produces one merged feature class with five labeled floods whose areas match (4)</w:t>
            </w:r>
          </w:p>
          <w:p>
            <w:pPr>
              <w:pStyle w:val="ListParagraph"/>
              <w:numPr>
                <w:ilvl w:val="0"/>
                <w:numId w:val="3"/>
              </w:numPr>
              <w:spacing w:after="40"/>
            </w:pPr>
            <w:r>
              <w:rPr>
                <w:sz w:val="17"/>
                <w:szCs w:val="17"/>
              </w:rPr>
              <w:t xml:space="preserve">A full-page figure of both models exported from ModelBuilder, all tools and datasets readable (2)</w:t>
            </w:r>
          </w:p>
          <w:p>
            <w:pPr>
              <w:pStyle w:val="ListParagraph"/>
              <w:numPr>
                <w:ilvl w:val="0"/>
                <w:numId w:val="3"/>
              </w:numPr>
              <w:spacing w:after="40"/>
            </w:pPr>
            <w:r>
              <w:rPr>
                <w:sz w:val="17"/>
                <w:szCs w:val="17"/>
              </w:rPr>
              <w:t xml:space="preserve">Screen captures of both tool dialogs with the threshold, HAND and the floods exposed as parameters (2)</w:t>
            </w:r>
          </w:p>
          <w:p>
            <w:pPr>
              <w:pStyle w:val="ListParagraph"/>
              <w:numPr>
                <w:ilvl w:val="0"/>
                <w:numId w:val="3"/>
              </w:numPr>
              <w:spacing w:after="40"/>
            </w:pPr>
            <w:r>
              <w:rPr>
                <w:sz w:val="17"/>
                <w:szCs w:val="17"/>
              </w:rPr>
              <w:t xml:space="preserve">A description of both models a reader could repeat from, including how the loop's value reaches the expression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Runs (Steps 6 and 7)</w:t>
            </w:r>
          </w:p>
          <w:p>
            <w:pPr>
              <w:pStyle w:val="ListParagraph"/>
              <w:numPr>
                <w:ilvl w:val="0"/>
                <w:numId w:val="3"/>
              </w:numPr>
              <w:spacing w:after="40"/>
            </w:pPr>
            <w:r>
              <w:rPr>
                <w:sz w:val="17"/>
                <w:szCs w:val="17"/>
              </w:rPr>
              <w:t xml:space="preserve">The Floods_Buildings table captured, and the five areas and building counts in a table with their return periods and flows, matching the check values (3)</w:t>
            </w:r>
          </w:p>
          <w:p>
            <w:pPr>
              <w:pStyle w:val="ListParagraph"/>
              <w:numPr>
                <w:ilvl w:val="0"/>
                <w:numId w:val="3"/>
              </w:numPr>
              <w:spacing w:after="40"/>
            </w:pPr>
            <w:r>
              <w:rPr>
                <w:sz w:val="17"/>
                <w:szCs w:val="17"/>
              </w:rPr>
              <w:t xml:space="preserve">Your own flood: your BYU ID's last two digits, Q, the rating row, h, and the flood's area and building count, matching a run at your flow (4)</w:t>
            </w:r>
          </w:p>
          <w:p>
            <w:pPr>
              <w:pStyle w:val="ListParagraph"/>
              <w:numPr>
                <w:ilvl w:val="0"/>
                <w:numId w:val="3"/>
              </w:numPr>
              <w:spacing w:after="40"/>
            </w:pPr>
            <w:r>
              <w:rPr>
                <w:sz w:val="17"/>
                <w:szCs w:val="17"/>
              </w:rPr>
              <w:t xml:space="preserve">The Geoprocessing History capture listing the Flood Loop run and the Step 7 tools, with the Flood Loop card open (3)</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1 — the five FEMA floods (full page, 8.5 × 11, uploaded as a layout PDF)</w:t>
            </w:r>
          </w:p>
          <w:p>
            <w:pPr>
              <w:pStyle w:val="ListParagraph"/>
              <w:numPr>
                <w:ilvl w:val="0"/>
                <w:numId w:val="3"/>
              </w:numPr>
              <w:spacing w:after="40"/>
            </w:pPr>
            <w:r>
              <w:rPr>
                <w:sz w:val="17"/>
                <w:szCs w:val="17"/>
              </w:rPr>
              <w:t xml:space="preserve">Title stating what the map shows (1)</w:t>
            </w:r>
          </w:p>
          <w:p>
            <w:pPr>
              <w:pStyle w:val="ListParagraph"/>
              <w:numPr>
                <w:ilvl w:val="0"/>
                <w:numId w:val="3"/>
              </w:numPr>
              <w:spacing w:after="40"/>
            </w:pPr>
            <w:r>
              <w:rPr>
                <w:sz w:val="17"/>
                <w:szCs w:val="17"/>
              </w:rPr>
              <w:t xml:space="preserve">Neat line, north arrow and scale bar (1)</w:t>
            </w:r>
          </w:p>
          <w:p>
            <w:pPr>
              <w:pStyle w:val="ListParagraph"/>
              <w:numPr>
                <w:ilvl w:val="0"/>
                <w:numId w:val="3"/>
              </w:numPr>
              <w:spacing w:after="40"/>
            </w:pPr>
            <w:r>
              <w:rPr>
                <w:sz w:val="17"/>
                <w:szCs w:val="17"/>
              </w:rPr>
              <w:t xml:space="preserve">Text box with author, date, map projection, and the sources and dates of the elevation, flows and FEMA map (1)</w:t>
            </w:r>
          </w:p>
          <w:p>
            <w:pPr>
              <w:pStyle w:val="ListParagraph"/>
              <w:numPr>
                <w:ilvl w:val="0"/>
                <w:numId w:val="3"/>
              </w:numPr>
              <w:spacing w:after="40"/>
            </w:pPr>
            <w:r>
              <w:rPr>
                <w:sz w:val="17"/>
                <w:szCs w:val="17"/>
              </w:rPr>
              <w:t xml:space="preserve">The five floods nested and symbolized so each return period is readable, with a legend and the return periods labeled (3)</w:t>
            </w:r>
          </w:p>
          <w:p>
            <w:pPr>
              <w:pStyle w:val="ListParagraph"/>
              <w:numPr>
                <w:ilvl w:val="0"/>
                <w:numId w:val="3"/>
              </w:numPr>
              <w:spacing w:after="40"/>
            </w:pPr>
            <w:r>
              <w:rPr>
                <w:sz w:val="17"/>
                <w:szCs w:val="17"/>
              </w:rPr>
              <w:t xml:space="preserve">FEMA's 1% floodplain outlined, the river and the gage shown (2)</w:t>
            </w:r>
          </w:p>
          <w:p>
            <w:pPr>
              <w:pStyle w:val="ListParagraph"/>
              <w:numPr>
                <w:ilvl w:val="0"/>
                <w:numId w:val="3"/>
              </w:numPr>
              <w:spacing w:after="40"/>
            </w:pPr>
            <w:r>
              <w:rPr>
                <w:sz w:val="17"/>
                <w:szCs w:val="17"/>
              </w:rPr>
              <w:t xml:space="preserve">Basemap, scale and legibility appropriate to the river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2 — your own flood (full page, 8.5 × 11, uploaded as a layout PDF)</w:t>
            </w:r>
          </w:p>
          <w:p>
            <w:pPr>
              <w:pStyle w:val="ListParagraph"/>
              <w:numPr>
                <w:ilvl w:val="0"/>
                <w:numId w:val="3"/>
              </w:numPr>
              <w:spacing w:after="40"/>
            </w:pPr>
            <w:r>
              <w:rPr>
                <w:sz w:val="17"/>
                <w:szCs w:val="17"/>
              </w:rPr>
              <w:t xml:space="preserve">Title stating your flow and h (1)</w:t>
            </w:r>
          </w:p>
          <w:p>
            <w:pPr>
              <w:pStyle w:val="ListParagraph"/>
              <w:numPr>
                <w:ilvl w:val="0"/>
                <w:numId w:val="3"/>
              </w:numPr>
              <w:spacing w:after="40"/>
            </w:pPr>
            <w:r>
              <w:rPr>
                <w:sz w:val="17"/>
                <w:szCs w:val="17"/>
              </w:rPr>
              <w:t xml:space="preserve">Neat line, north arrow and scale bar (1)</w:t>
            </w:r>
          </w:p>
          <w:p>
            <w:pPr>
              <w:pStyle w:val="ListParagraph"/>
              <w:numPr>
                <w:ilvl w:val="0"/>
                <w:numId w:val="3"/>
              </w:numPr>
              <w:spacing w:after="40"/>
            </w:pPr>
            <w:r>
              <w:rPr>
                <w:sz w:val="17"/>
                <w:szCs w:val="17"/>
              </w:rPr>
              <w:t xml:space="preserve">Text box with author, date, map projection, and the sources and dates (1)</w:t>
            </w:r>
          </w:p>
          <w:p>
            <w:pPr>
              <w:pStyle w:val="ListParagraph"/>
              <w:numPr>
                <w:ilvl w:val="0"/>
                <w:numId w:val="3"/>
              </w:numPr>
              <w:spacing w:after="40"/>
            </w:pPr>
            <w:r>
              <w:rPr>
                <w:sz w:val="17"/>
                <w:szCs w:val="17"/>
              </w:rPr>
              <w:t xml:space="preserve">Your flood symbolized with a legend, the river shown, and the gage shown in the main frame or a locator inset (2)</w:t>
            </w:r>
          </w:p>
          <w:p>
            <w:pPr>
              <w:pStyle w:val="ListParagraph"/>
              <w:numPr>
                <w:ilvl w:val="0"/>
                <w:numId w:val="3"/>
              </w:numPr>
              <w:spacing w:after="40"/>
            </w:pPr>
            <w:r>
              <w:rPr>
                <w:sz w:val="17"/>
                <w:szCs w:val="17"/>
              </w:rPr>
              <w:t xml:space="preserve">The buildings it reaches highlighted, with their count on the map (3)</w:t>
            </w:r>
          </w:p>
          <w:p>
            <w:pPr>
              <w:pStyle w:val="ListParagraph"/>
              <w:numPr>
                <w:ilvl w:val="0"/>
                <w:numId w:val="3"/>
              </w:numPr>
              <w:spacing w:after="40"/>
            </w:pPr>
            <w:r>
              <w:rPr>
                <w:sz w:val="17"/>
                <w:szCs w:val="17"/>
              </w:rPr>
              <w:t xml:space="preserve">Main frame zoomed to where the flood reaches buildings; basemap and legibility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shd w:fill="D9E2F3" w:color="auto" w:val="clear"/>
            <w:tcMar>
              <w:top w:type="dxa" w:w="90"/>
              <w:left w:type="dxa" w:w="120"/>
              <w:bottom w:type="dxa" w:w="90"/>
              <w:right w:type="dxa" w:w="120"/>
            </w:tcMar>
          </w:tcPr>
          <w:p>
            <w:pPr>
              <w:spacing w:after="0"/>
            </w:pPr>
            <w:r>
              <w:rPr>
                <w:b/>
                <w:bCs/>
                <w:sz w:val="19"/>
                <w:szCs w:val="19"/>
              </w:rPr>
              <w:t xml:space="preserve">Total</w:t>
            </w:r>
          </w:p>
        </w:tc>
        <w:tc>
          <w:tcPr>
            <w:tcW w:type="dxa" w:w="900"/>
            <w:shd w:fill="D9E2F3" w:color="auto" w:val="clear"/>
            <w:tcMar>
              <w:top w:type="dxa" w:w="90"/>
              <w:left w:type="dxa" w:w="120"/>
              <w:bottom w:type="dxa" w:w="90"/>
              <w:right w:type="dxa" w:w="120"/>
            </w:tcMar>
          </w:tcPr>
          <w:p>
            <w:pPr>
              <w:jc w:val="center"/>
            </w:pPr>
            <w:r>
              <w:rPr>
                <w:b/>
                <w:bCs/>
                <w:sz w:val="19"/>
                <w:szCs w:val="19"/>
              </w:rPr>
              <w:t xml:space="preserve">50</w:t>
            </w:r>
          </w:p>
        </w:tc>
        <w:tc>
          <w:tcPr>
            <w:tcW w:type="dxa" w:w="1260"/>
            <w:shd w:fill="D9E2F3" w:color="auto" w:val="clear"/>
            <w:tcMar>
              <w:top w:type="dxa" w:w="90"/>
              <w:left w:type="dxa" w:w="120"/>
              <w:bottom w:type="dxa" w:w="90"/>
              <w:right w:type="dxa" w:w="120"/>
            </w:tcMar>
          </w:tcPr>
          <w:p>
            <w:pPr>
              <w:jc w:val="center"/>
            </w:pPr>
            <w:r>
              <w:rPr>
                <w:b/>
                <w:bCs/>
                <w:sz w:val="19"/>
                <w:szCs w:val="19"/>
                <w:highlight w:val="yellow"/>
              </w:rPr>
              <w:t xml:space="preserve">___ / 50</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60"/>
      </w:pPr>
    </w:lvl>
  </w:abstractNum>
  <w:abstractNum w:abstractNumId="3" w15:restartNumberingAfterBreak="0">
    <w:multiLevelType w:val="hybridMultilevel"/>
    <w:lvl w:ilvl="0" w:tentative="1">
      <w:start w:val="1"/>
      <w:numFmt w:val="bullet"/>
      <w:lvlText w:val="☐"/>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280"/>
    </w:pPr>
    <w:rPr>
      <w:rFonts w:ascii="Calibri" w:cs="Calibri" w:eastAsia="Calibri" w:hAnsi="Calibri"/>
      <w:b/>
      <w:bCs/>
      <w:color w:val="1F3864"/>
      <w:sz w:val="28"/>
      <w:szCs w:val="28"/>
    </w:rPr>
  </w:style>
  <w:style w:type="paragraph" w:styleId="Heading2">
    <w:name w:val="Heading 2"/>
    <w:basedOn w:val="Normal"/>
    <w:next w:val="Normal"/>
    <w:qFormat/>
    <w:pPr>
      <w:spacing w:after="60" w:before="220"/>
    </w:pPr>
    <w:rPr>
      <w:rFonts w:ascii="Calibri" w:cs="Calibri" w:eastAsia="Calibri" w:hAnsi="Calibri"/>
      <w:b/>
      <w:bCs/>
      <w:color w:val="1F386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100"/>
      <w:jc w:val="left"/>
    </w:pPr>
    <w:rPr>
      <w:rFonts w:ascii="Calibri" w:cs="Calibri" w:eastAsia="Calibri" w:hAnsi="Calibri"/>
      <w:b/>
      <w:bCs/>
      <w:color w:val="1F3864"/>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Flood Mapping with HAND report template</dc:title>
  <dc:creator>CE 414 — Engineering Applications of GIS</dc:creator>
  <dc:description>Fillable lab report template. Replace every yellow placeholder and delete the gray instructions.</dc:description>
  <cp:lastModifiedBy>Un-named</cp:lastModifiedBy>
  <cp:revision>1</cp:revision>
  <dcterms:created xsi:type="dcterms:W3CDTF">2026-10-25T23:34:29.194Z</dcterms:created>
  <dcterms:modified xsi:type="dcterms:W3CDTF">2026-10-25T23:34:29.195Z</dcterms:modified>
</cp:coreProperties>
</file>

<file path=docProps/custom.xml><?xml version="1.0" encoding="utf-8"?>
<Properties xmlns="http://schemas.openxmlformats.org/officeDocument/2006/custom-properties" xmlns:vt="http://schemas.openxmlformats.org/officeDocument/2006/docPropsVTypes"/>
</file>