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33815">
      <w:pPr>
        <w:divId w:val="1412316601"/>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33815">
      <w:pPr>
        <w:pStyle w:val="Heading1"/>
        <w:divId w:val="1062673729"/>
        <w:rPr>
          <w:rFonts w:eastAsia="Times New Roman"/>
        </w:rPr>
      </w:pPr>
      <w:r>
        <w:rPr>
          <w:rFonts w:eastAsia="Times New Roman"/>
        </w:rPr>
        <w:t>Syllabus</w:t>
      </w:r>
    </w:p>
    <w:p w:rsidR="00000000" w:rsidRDefault="00533815">
      <w:pPr>
        <w:pStyle w:val="Heading2"/>
        <w:divId w:val="1062673729"/>
        <w:rPr>
          <w:rFonts w:eastAsia="Times New Roman"/>
        </w:rPr>
      </w:pPr>
      <w:r>
        <w:rPr>
          <w:rFonts w:eastAsia="Times New Roman"/>
        </w:rPr>
        <w:t xml:space="preserve">Welcome to BYU Online! </w:t>
      </w:r>
    </w:p>
    <w:p w:rsidR="00000000" w:rsidRDefault="00533815">
      <w:pPr>
        <w:pStyle w:val="NormalWeb"/>
        <w:divId w:val="1062673729"/>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webinars will allow for information sharing, special lectures, guest lectures and exa</w:t>
      </w:r>
      <w:r>
        <w:rPr>
          <w:rFonts w:eastAsia="Times New Roman"/>
        </w:rPr>
        <w:t xml:space="preserve">m reviews. You will be able to interact with your instructor and other members of the class. </w:t>
      </w:r>
    </w:p>
    <w:p w:rsidR="00000000" w:rsidRDefault="00533815">
      <w:pPr>
        <w:numPr>
          <w:ilvl w:val="0"/>
          <w:numId w:val="1"/>
        </w:numPr>
        <w:spacing w:before="100" w:beforeAutospacing="1" w:after="100" w:afterAutospacing="1" w:line="348" w:lineRule="atLeast"/>
        <w:ind w:left="0"/>
        <w:divId w:val="1062673729"/>
        <w:rPr>
          <w:rFonts w:eastAsia="Times New Roman"/>
        </w:rPr>
      </w:pPr>
      <w:r>
        <w:rPr>
          <w:rStyle w:val="Strong"/>
          <w:rFonts w:eastAsia="Times New Roman"/>
        </w:rPr>
        <w:t>Discussion Board</w:t>
      </w:r>
      <w:r>
        <w:rPr>
          <w:rFonts w:eastAsia="Times New Roman"/>
        </w:rPr>
        <w:t xml:space="preserve"> – This course contains a monitored course discussion board. This discussion board will allow you to post, respond to and evaluate various topics </w:t>
      </w:r>
      <w:r>
        <w:rPr>
          <w:rFonts w:eastAsia="Times New Roman"/>
        </w:rPr>
        <w:t xml:space="preserve">related to the course material. </w:t>
      </w:r>
    </w:p>
    <w:p w:rsidR="00000000" w:rsidRDefault="00533815">
      <w:pPr>
        <w:pStyle w:val="NormalWeb"/>
        <w:divId w:val="1062673729"/>
      </w:pPr>
      <w:r>
        <w:t>As part of the pilot, we will be asking you to help assess the success and effectiveness of this course, the faculty member, the course delivery and the course support. Your participation in this assessment effort will be c</w:t>
      </w:r>
      <w:r>
        <w:t>ritical to future opportunities for online learning at BYU. Please be prepared to provide meaningful feedback about your experience.</w:t>
      </w:r>
    </w:p>
    <w:p w:rsidR="00000000" w:rsidRDefault="00533815">
      <w:pPr>
        <w:pStyle w:val="Heading2"/>
        <w:divId w:val="1062673729"/>
        <w:rPr>
          <w:rFonts w:eastAsia="Times New Roman"/>
        </w:rPr>
      </w:pPr>
      <w:r>
        <w:rPr>
          <w:rFonts w:eastAsia="Times New Roman"/>
        </w:rPr>
        <w:t xml:space="preserve">Course TA Information </w:t>
      </w:r>
    </w:p>
    <w:p w:rsidR="00000000" w:rsidRDefault="00533815">
      <w:pPr>
        <w:pStyle w:val="NormalWeb"/>
        <w:divId w:val="1062673729"/>
      </w:pPr>
      <w:r>
        <w:t xml:space="preserve">Your TA for this course is </w:t>
      </w:r>
      <w:r>
        <w:rPr>
          <w:rStyle w:val="Strong"/>
        </w:rPr>
        <w:t>Joel Buss</w:t>
      </w:r>
      <w:r>
        <w:t>. Please contact your TA if you have any questions, run into dif</w:t>
      </w:r>
      <w:r>
        <w:t xml:space="preserve">ficulties with the course, and to schedule checkpoints. </w:t>
      </w:r>
    </w:p>
    <w:p w:rsidR="00000000" w:rsidRDefault="00533815">
      <w:pPr>
        <w:numPr>
          <w:ilvl w:val="0"/>
          <w:numId w:val="2"/>
        </w:numPr>
        <w:spacing w:before="100" w:beforeAutospacing="1" w:after="100" w:afterAutospacing="1" w:line="348" w:lineRule="atLeast"/>
        <w:ind w:left="0"/>
        <w:divId w:val="1062673729"/>
        <w:rPr>
          <w:rFonts w:eastAsia="Times New Roman"/>
        </w:rPr>
      </w:pPr>
      <w:r>
        <w:rPr>
          <w:rFonts w:eastAsia="Times New Roman"/>
        </w:rPr>
        <w:t>Joel Buss</w:t>
      </w:r>
    </w:p>
    <w:p w:rsidR="00000000" w:rsidRDefault="00533815">
      <w:pPr>
        <w:numPr>
          <w:ilvl w:val="0"/>
          <w:numId w:val="2"/>
        </w:numPr>
        <w:spacing w:before="100" w:beforeAutospacing="1" w:after="100" w:afterAutospacing="1" w:line="348" w:lineRule="atLeast"/>
        <w:ind w:left="0"/>
        <w:divId w:val="1062673729"/>
        <w:rPr>
          <w:rFonts w:eastAsia="Times New Roman"/>
        </w:rPr>
      </w:pPr>
      <w:r>
        <w:rPr>
          <w:rFonts w:eastAsia="Times New Roman"/>
        </w:rPr>
        <w:t>ta_exsc221_3@byu.edu</w:t>
      </w:r>
    </w:p>
    <w:p w:rsidR="00000000" w:rsidRDefault="00533815">
      <w:pPr>
        <w:numPr>
          <w:ilvl w:val="0"/>
          <w:numId w:val="2"/>
        </w:numPr>
        <w:spacing w:before="100" w:beforeAutospacing="1" w:after="100" w:afterAutospacing="1" w:line="348" w:lineRule="atLeast"/>
        <w:ind w:left="0"/>
        <w:divId w:val="1062673729"/>
        <w:rPr>
          <w:rFonts w:eastAsia="Times New Roman"/>
        </w:rPr>
      </w:pPr>
      <w:r>
        <w:rPr>
          <w:rFonts w:eastAsia="Times New Roman"/>
        </w:rPr>
        <w:t>801-422-4603</w:t>
      </w:r>
    </w:p>
    <w:p w:rsidR="00000000" w:rsidRDefault="00533815">
      <w:pPr>
        <w:pStyle w:val="NormalWeb"/>
        <w:divId w:val="1062673729"/>
      </w:pPr>
      <w:r>
        <w:t>Remember, your TA is your first line of contact, and will be able to help you with most issues that come up. He is looking forward to getting to know you!</w:t>
      </w:r>
    </w:p>
    <w:p w:rsidR="00000000" w:rsidRDefault="00533815">
      <w:pPr>
        <w:pStyle w:val="Heading2"/>
        <w:divId w:val="1062673729"/>
        <w:rPr>
          <w:rFonts w:eastAsia="Times New Roman"/>
        </w:rPr>
      </w:pPr>
      <w:r>
        <w:rPr>
          <w:rFonts w:eastAsia="Times New Roman"/>
        </w:rPr>
        <w:t>Course Outcomes</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 xml:space="preserve">Discover the significance of the wellness paradigm shift from physical, mental, social, emotional, and spiritual being dimensions of wellness to being dimensions of human nature. Have a working comprehension of the science of wellness. </w:t>
      </w:r>
      <w:r>
        <w:rPr>
          <w:rStyle w:val="Strong"/>
          <w:rFonts w:eastAsia="Times New Roman"/>
        </w:rPr>
        <w:t>Expe</w:t>
      </w:r>
      <w:r>
        <w:rPr>
          <w:rStyle w:val="Strong"/>
          <w:rFonts w:eastAsia="Times New Roman"/>
        </w:rPr>
        <w:t>rience</w:t>
      </w:r>
      <w:r>
        <w:rPr>
          <w:rFonts w:eastAsia="Times New Roman"/>
        </w:rPr>
        <w:t xml:space="preserve"> a working comprehension </w:t>
      </w:r>
      <w:r>
        <w:rPr>
          <w:rStyle w:val="Strong"/>
          <w:rFonts w:eastAsia="Times New Roman"/>
        </w:rPr>
        <w:t>and practice</w:t>
      </w:r>
      <w:r>
        <w:rPr>
          <w:rFonts w:eastAsia="Times New Roman"/>
        </w:rPr>
        <w:t xml:space="preserve"> of the science of wellness.</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 xml:space="preserve">Demonstrate an understanding of the human body as a “temple of God” (1 Corinthians 3:16) and the “veritable tabernacle of the divine spirit” (Stephen L. Richards, </w:t>
      </w:r>
      <w:r>
        <w:rPr>
          <w:rFonts w:eastAsia="Times New Roman"/>
          <w:i/>
          <w:iCs/>
        </w:rPr>
        <w:t>BYU Speeches of the Y</w:t>
      </w:r>
      <w:r>
        <w:rPr>
          <w:rFonts w:eastAsia="Times New Roman"/>
          <w:i/>
          <w:iCs/>
        </w:rPr>
        <w:t>ear</w:t>
      </w:r>
      <w:r>
        <w:rPr>
          <w:rFonts w:eastAsia="Times New Roman"/>
        </w:rPr>
        <w:t>, 1965, p. 8). Understand the contribution wellness can make to the harmonious integration of the composite nature of human life, body, mind, and spirit.</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Understand various behavior change models and the advantages of each.</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Give examples of wellness res</w:t>
      </w:r>
      <w:r>
        <w:rPr>
          <w:rFonts w:eastAsia="Times New Roman"/>
        </w:rPr>
        <w:t>earch that demonstrate the integrated nature of human life and associated wellness principles.</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Recognize that understanding the science of wellness has the potential to improve the quality of your life and the lives of your family, friends, and community.</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Recognize the ramifications of epigenetics for your wellness now and in the future and also the future wellness of others.</w:t>
      </w:r>
    </w:p>
    <w:p w:rsidR="00000000" w:rsidRDefault="00533815">
      <w:pPr>
        <w:numPr>
          <w:ilvl w:val="0"/>
          <w:numId w:val="3"/>
        </w:numPr>
        <w:spacing w:before="100" w:beforeAutospacing="1" w:after="100" w:afterAutospacing="1" w:line="348" w:lineRule="atLeast"/>
        <w:ind w:left="0"/>
        <w:divId w:val="1062673729"/>
        <w:rPr>
          <w:rFonts w:eastAsia="Times New Roman"/>
        </w:rPr>
      </w:pPr>
      <w:r>
        <w:rPr>
          <w:rFonts w:eastAsia="Times New Roman"/>
        </w:rPr>
        <w:t xml:space="preserve">Articulate your own comprehension of the science of wellness and the meaning it has to you through a written record of your wellness </w:t>
      </w:r>
      <w:r>
        <w:rPr>
          <w:rFonts w:eastAsia="Times New Roman"/>
        </w:rPr>
        <w:t>experiences throughout the course.</w:t>
      </w:r>
    </w:p>
    <w:p w:rsidR="00000000" w:rsidRDefault="00533815">
      <w:pPr>
        <w:pStyle w:val="Heading2"/>
        <w:divId w:val="1062673729"/>
        <w:rPr>
          <w:rFonts w:eastAsia="Times New Roman"/>
        </w:rPr>
      </w:pPr>
      <w:r>
        <w:rPr>
          <w:rFonts w:eastAsia="Times New Roman"/>
        </w:rPr>
        <w:t>Program Outcomes</w:t>
      </w:r>
    </w:p>
    <w:p w:rsidR="00000000" w:rsidRDefault="00533815">
      <w:pPr>
        <w:numPr>
          <w:ilvl w:val="0"/>
          <w:numId w:val="4"/>
        </w:numPr>
        <w:spacing w:before="100" w:beforeAutospacing="1" w:after="100" w:afterAutospacing="1" w:line="348" w:lineRule="atLeast"/>
        <w:ind w:left="0"/>
        <w:divId w:val="1062673729"/>
        <w:rPr>
          <w:rFonts w:eastAsia="Times New Roman"/>
        </w:rPr>
      </w:pPr>
      <w:r>
        <w:rPr>
          <w:rFonts w:eastAsia="Times New Roman"/>
        </w:rPr>
        <w:t>Demonstrate competency on course assignments and exams pertaining to learning objectives for each required course, which, for this course, are to learn wellness principles and behaviors that will allow an</w:t>
      </w:r>
      <w:r>
        <w:rPr>
          <w:rFonts w:eastAsia="Times New Roman"/>
        </w:rPr>
        <w:t xml:space="preserve"> individual to live a healthy lifestyle and to encourage others to do the same.</w:t>
      </w:r>
    </w:p>
    <w:p w:rsidR="00000000" w:rsidRDefault="00533815">
      <w:pPr>
        <w:numPr>
          <w:ilvl w:val="0"/>
          <w:numId w:val="4"/>
        </w:numPr>
        <w:spacing w:before="100" w:beforeAutospacing="1" w:after="100" w:afterAutospacing="1" w:line="348" w:lineRule="atLeast"/>
        <w:ind w:left="0"/>
        <w:divId w:val="1062673729"/>
        <w:rPr>
          <w:rFonts w:eastAsia="Times New Roman"/>
        </w:rPr>
      </w:pPr>
      <w:r>
        <w:rPr>
          <w:rFonts w:eastAsia="Times New Roman"/>
        </w:rPr>
        <w:t>Gain satisfying employment in an exercise and wellness related area or continue in graduate studies in exercise and wellness if desired.</w:t>
      </w:r>
    </w:p>
    <w:p w:rsidR="00000000" w:rsidRDefault="00533815">
      <w:pPr>
        <w:pStyle w:val="Heading2"/>
        <w:divId w:val="1062673729"/>
        <w:rPr>
          <w:rFonts w:eastAsia="Times New Roman"/>
        </w:rPr>
      </w:pPr>
      <w:r>
        <w:rPr>
          <w:rFonts w:eastAsia="Times New Roman"/>
        </w:rPr>
        <w:t>Course Materials</w:t>
      </w:r>
    </w:p>
    <w:p w:rsidR="00000000" w:rsidRDefault="00533815">
      <w:pPr>
        <w:pStyle w:val="NormalWeb"/>
        <w:divId w:val="1062673729"/>
      </w:pPr>
      <w:r>
        <w:t>Lockhart , B. and Hage</w:t>
      </w:r>
      <w:r>
        <w:t xml:space="preserve">r, R. (2014) 21st Century Wellness: The Science of the Whole Individual. Bearface Instructional Technologies. To purchase the ebook, </w:t>
      </w:r>
      <w:hyperlink r:id="rId7" w:tgtFrame="new" w:history="1">
        <w:r>
          <w:rPr>
            <w:rStyle w:val="Hyperlink"/>
          </w:rPr>
          <w:t>click here</w:t>
        </w:r>
      </w:hyperlink>
      <w:r>
        <w:t xml:space="preserve">. </w:t>
      </w:r>
    </w:p>
    <w:p w:rsidR="00000000" w:rsidRDefault="00533815">
      <w:pPr>
        <w:pStyle w:val="NormalWeb"/>
        <w:divId w:val="1062673729"/>
      </w:pPr>
      <w:r>
        <w:t xml:space="preserve">For directions on how to read the </w:t>
      </w:r>
      <w:r>
        <w:t xml:space="preserve">ebook on your computer or mobile device click </w:t>
      </w:r>
      <w:hyperlink r:id="rId8" w:tgtFrame="new" w:history="1">
        <w:r>
          <w:rPr>
            <w:rStyle w:val="Hyperlink"/>
          </w:rPr>
          <w:t>here</w:t>
        </w:r>
      </w:hyperlink>
      <w:r>
        <w:t>.</w:t>
      </w:r>
    </w:p>
    <w:p w:rsidR="00000000" w:rsidRDefault="00533815">
      <w:pPr>
        <w:pStyle w:val="NormalWeb"/>
        <w:divId w:val="1062673729"/>
      </w:pPr>
      <w:r>
        <w:rPr>
          <w:rStyle w:val="Strong"/>
        </w:rPr>
        <w:t>RevUp:</w:t>
      </w:r>
      <w:r>
        <w:t xml:space="preserve"> As part of your course materials you receive when you purchase the book, you have a four month subscription to MD Revolution’s wellnes</w:t>
      </w:r>
      <w:r>
        <w:t xml:space="preserve">s tracking program called RevUp.  If you wish to continue this program after April, the cost is $5.00/month for students from our course.  Taking part in this program teaches exercise/nutrition compliance, an extremely important aspect of living a healthy </w:t>
      </w:r>
      <w:r>
        <w:t>lifestyle.  MD Revolution also provides a personal wellness trainer available every day for you from their staff of personal trainers, dieticians, physician assistants and others.  Doing RevUp will constitute 15% of your grade and will be based on your par</w:t>
      </w:r>
      <w:r>
        <w:t>ticipation and will not be graded.</w:t>
      </w:r>
    </w:p>
    <w:p w:rsidR="00000000" w:rsidRDefault="00533815">
      <w:pPr>
        <w:pStyle w:val="Heading2"/>
        <w:divId w:val="1062673729"/>
        <w:rPr>
          <w:rFonts w:eastAsia="Times New Roman"/>
        </w:rPr>
      </w:pPr>
      <w:r>
        <w:rPr>
          <w:rFonts w:eastAsia="Times New Roman"/>
        </w:rPr>
        <w:t xml:space="preserve">Assignments </w:t>
      </w:r>
    </w:p>
    <w:p w:rsidR="00000000" w:rsidRDefault="00533815">
      <w:pPr>
        <w:pStyle w:val="NormalWeb"/>
        <w:divId w:val="1062673729"/>
      </w:pPr>
      <w:r>
        <w:rPr>
          <w:rStyle w:val="Strong"/>
        </w:rPr>
        <w:t>Discussion Board</w:t>
      </w:r>
    </w:p>
    <w:p w:rsidR="00000000" w:rsidRDefault="00533815">
      <w:pPr>
        <w:pStyle w:val="NormalWeb"/>
        <w:divId w:val="1062673729"/>
      </w:pPr>
      <w:r>
        <w:t>Each lesson in this course consists of a discussion board for posting your own comments and responding to other students’ comments on the lesson-specific content. Participation in each discus</w:t>
      </w:r>
      <w:r>
        <w:t xml:space="preserve">sion board is critical for your success in this course. The specific topic of the discussion board for each lesson will be addressed in the discussion board section of the lesson. Please do not try to communicate with the instructor through the discussion </w:t>
      </w:r>
      <w:r>
        <w:t>boards—if you have questions or comments specifically for her or for BYU Independent Study, please e-mail them directly.</w:t>
      </w:r>
    </w:p>
    <w:p w:rsidR="00000000" w:rsidRDefault="00533815">
      <w:pPr>
        <w:pStyle w:val="NormalWeb"/>
        <w:divId w:val="1062673729"/>
      </w:pPr>
      <w:r>
        <w:t>As you use each discussion board, be aware that the following things are prohibited:</w:t>
      </w:r>
    </w:p>
    <w:p w:rsidR="00000000" w:rsidRDefault="00533815">
      <w:pPr>
        <w:numPr>
          <w:ilvl w:val="0"/>
          <w:numId w:val="5"/>
        </w:numPr>
        <w:spacing w:before="100" w:beforeAutospacing="1" w:after="100" w:afterAutospacing="1" w:line="348" w:lineRule="atLeast"/>
        <w:ind w:left="0"/>
        <w:divId w:val="1062673729"/>
        <w:rPr>
          <w:rFonts w:eastAsia="Times New Roman"/>
        </w:rPr>
      </w:pPr>
      <w:r>
        <w:rPr>
          <w:rFonts w:eastAsia="Times New Roman"/>
        </w:rPr>
        <w:t>Use of offensive or derogatory language</w:t>
      </w:r>
    </w:p>
    <w:p w:rsidR="00000000" w:rsidRDefault="00533815">
      <w:pPr>
        <w:numPr>
          <w:ilvl w:val="0"/>
          <w:numId w:val="5"/>
        </w:numPr>
        <w:spacing w:before="100" w:beforeAutospacing="1" w:after="100" w:afterAutospacing="1" w:line="348" w:lineRule="atLeast"/>
        <w:ind w:left="0"/>
        <w:divId w:val="1062673729"/>
        <w:rPr>
          <w:rFonts w:eastAsia="Times New Roman"/>
        </w:rPr>
      </w:pPr>
      <w:r>
        <w:rPr>
          <w:rFonts w:eastAsia="Times New Roman"/>
        </w:rPr>
        <w:t>Bullying b</w:t>
      </w:r>
      <w:r>
        <w:rPr>
          <w:rFonts w:eastAsia="Times New Roman"/>
        </w:rPr>
        <w:t>ehavior</w:t>
      </w:r>
    </w:p>
    <w:p w:rsidR="00000000" w:rsidRDefault="00533815">
      <w:pPr>
        <w:numPr>
          <w:ilvl w:val="0"/>
          <w:numId w:val="5"/>
        </w:numPr>
        <w:spacing w:before="100" w:beforeAutospacing="1" w:after="100" w:afterAutospacing="1" w:line="348" w:lineRule="atLeast"/>
        <w:ind w:left="0"/>
        <w:divId w:val="1062673729"/>
        <w:rPr>
          <w:rFonts w:eastAsia="Times New Roman"/>
        </w:rPr>
      </w:pPr>
      <w:r>
        <w:rPr>
          <w:rFonts w:eastAsia="Times New Roman"/>
        </w:rPr>
        <w:t>Discussion of topics unrelated to the course</w:t>
      </w:r>
    </w:p>
    <w:p w:rsidR="00000000" w:rsidRDefault="00533815">
      <w:pPr>
        <w:numPr>
          <w:ilvl w:val="0"/>
          <w:numId w:val="5"/>
        </w:numPr>
        <w:spacing w:before="100" w:beforeAutospacing="1" w:after="100" w:afterAutospacing="1" w:line="348" w:lineRule="atLeast"/>
        <w:ind w:left="0"/>
        <w:divId w:val="1062673729"/>
        <w:rPr>
          <w:rFonts w:eastAsia="Times New Roman"/>
        </w:rPr>
      </w:pPr>
      <w:r>
        <w:rPr>
          <w:rFonts w:eastAsia="Times New Roman"/>
        </w:rPr>
        <w:t>Sharing contact information such as phone number, physical address, e-mail address, Facebook address, Twitter account, etc.</w:t>
      </w:r>
    </w:p>
    <w:p w:rsidR="00000000" w:rsidRDefault="00533815">
      <w:pPr>
        <w:pStyle w:val="NormalWeb"/>
        <w:divId w:val="1062673729"/>
      </w:pPr>
      <w:r>
        <w:t>Failure to follow these policies may result in removal from the course with a f</w:t>
      </w:r>
      <w:r>
        <w:t>ailing grade or permanent removal from the BYU Independent Study program.</w:t>
      </w:r>
    </w:p>
    <w:p w:rsidR="00000000" w:rsidRDefault="00533815">
      <w:pPr>
        <w:pStyle w:val="NormalWeb"/>
        <w:divId w:val="1062673729"/>
      </w:pPr>
      <w:r>
        <w:rPr>
          <w:rStyle w:val="Strong"/>
        </w:rPr>
        <w:t xml:space="preserve">RevUp </w:t>
      </w:r>
      <w:r>
        <w:t>  </w:t>
      </w:r>
    </w:p>
    <w:p w:rsidR="00000000" w:rsidRDefault="00533815">
      <w:pPr>
        <w:pStyle w:val="NormalWeb"/>
        <w:divId w:val="1062673729"/>
      </w:pPr>
      <w:r>
        <w:t>Your participation in RevUp will earn you points.  On the MD Revolution website there is a listing of how you can earn points.  For the full 15% of your grade, we will use t</w:t>
      </w:r>
      <w:r>
        <w:t>he following scale:</w:t>
      </w:r>
    </w:p>
    <w:tbl>
      <w:tblPr>
        <w:tblW w:w="2790" w:type="dxa"/>
        <w:tblCellMar>
          <w:top w:w="15" w:type="dxa"/>
          <w:left w:w="15" w:type="dxa"/>
          <w:bottom w:w="15" w:type="dxa"/>
          <w:right w:w="15" w:type="dxa"/>
        </w:tblCellMar>
        <w:tblLook w:val="04A0" w:firstRow="1" w:lastRow="0" w:firstColumn="1" w:lastColumn="0" w:noHBand="0" w:noVBand="1"/>
      </w:tblPr>
      <w:tblGrid>
        <w:gridCol w:w="1379"/>
        <w:gridCol w:w="1411"/>
      </w:tblGrid>
      <w:tr w:rsidR="00000000">
        <w:trPr>
          <w:divId w:val="1062673729"/>
        </w:trPr>
        <w:tc>
          <w:tcPr>
            <w:tcW w:w="1290" w:type="dxa"/>
            <w:tcMar>
              <w:top w:w="108" w:type="dxa"/>
              <w:left w:w="108" w:type="dxa"/>
              <w:bottom w:w="108" w:type="dxa"/>
              <w:right w:w="108" w:type="dxa"/>
            </w:tcMar>
            <w:hideMark/>
          </w:tcPr>
          <w:p w:rsidR="00000000" w:rsidRDefault="00533815">
            <w:pPr>
              <w:rPr>
                <w:rFonts w:eastAsia="Times New Roman"/>
              </w:rPr>
            </w:pPr>
            <w:r>
              <w:rPr>
                <w:rFonts w:eastAsia="Times New Roman"/>
              </w:rPr>
              <w:t>January</w:t>
            </w:r>
          </w:p>
        </w:tc>
        <w:tc>
          <w:tcPr>
            <w:tcW w:w="1320" w:type="dxa"/>
            <w:tcMar>
              <w:top w:w="108" w:type="dxa"/>
              <w:left w:w="108" w:type="dxa"/>
              <w:bottom w:w="108" w:type="dxa"/>
              <w:right w:w="108" w:type="dxa"/>
            </w:tcMar>
            <w:hideMark/>
          </w:tcPr>
          <w:p w:rsidR="00000000" w:rsidRDefault="00533815">
            <w:pPr>
              <w:rPr>
                <w:rFonts w:eastAsia="Times New Roman"/>
              </w:rPr>
            </w:pPr>
            <w:r>
              <w:rPr>
                <w:rFonts w:eastAsia="Times New Roman"/>
              </w:rPr>
              <w:t>100 points</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February</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200 points</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March</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200 points</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April</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100 points</w:t>
            </w:r>
          </w:p>
        </w:tc>
      </w:tr>
    </w:tbl>
    <w:p w:rsidR="00000000" w:rsidRDefault="00533815">
      <w:pPr>
        <w:pStyle w:val="NormalWeb"/>
        <w:divId w:val="1062673729"/>
      </w:pPr>
      <w:r>
        <w:t>You must earn 100 points in January to get actively involved in the program.  If you don’</w:t>
      </w:r>
      <w:r>
        <w:t xml:space="preserve">t get these points in January, you will only be able to earn 10% of the 15%.  Points are given for tracking nutrition, exercise, and basic measures such as your body weight in addition to other parameters.  The goal is to earn 50 points per week – this is </w:t>
      </w:r>
      <w:r>
        <w:t>the standard level you need to achieve to derive the health benefits from participating.  It is possible to earn more than 50 points in a week.  You may find that you have a really strong week but then might have a fairly average week.  If you earn or exce</w:t>
      </w:r>
      <w:r>
        <w:t>ed 200 points in February and March and 100 in January and April, you earn the full 15%.  If you are under, we will calculate the percent and adjust the 15% downward.</w:t>
      </w:r>
    </w:p>
    <w:p w:rsidR="00000000" w:rsidRDefault="00533815">
      <w:pPr>
        <w:pStyle w:val="NormalWeb"/>
        <w:divId w:val="1062673729"/>
      </w:pPr>
      <w:r>
        <w:rPr>
          <w:rStyle w:val="Strong"/>
        </w:rPr>
        <w:t>Living Well Project</w:t>
      </w:r>
      <w:r>
        <w:br/>
        <w:t>Starting with Lesson 1.1 Assessment, the Wellness Wheel, begin your j</w:t>
      </w:r>
      <w:r>
        <w:t>ourney to establishing a healthy lifestyle.  Approach this as a scientific experiment with you being the scientist and the subject.  Your hypothesis will be about you and your wellness goals.  As you experiment with wellness principles and practices you ar</w:t>
      </w:r>
      <w:r>
        <w:t>e learning in each chapter, keep track of what you are incorporating into your plan.  Make changes, adjustments and additions as you progress through the course.  Capture pertinent parts of the reflections to help you formulate your final paper.  Write you</w:t>
      </w:r>
      <w:r>
        <w:t>r final project according to this format:</w:t>
      </w:r>
    </w:p>
    <w:p w:rsidR="00000000" w:rsidRDefault="00533815">
      <w:pPr>
        <w:pStyle w:val="NormalWeb"/>
        <w:jc w:val="both"/>
        <w:divId w:val="840242473"/>
      </w:pPr>
      <w:r>
        <w:t>Introduction</w:t>
      </w:r>
      <w:r>
        <w:br/>
        <w:t>Methods</w:t>
      </w:r>
      <w:r>
        <w:br/>
        <w:t>Discussion/Results</w:t>
      </w:r>
      <w:r>
        <w:br/>
        <w:t>Conclusions</w:t>
      </w:r>
      <w:r>
        <w:br/>
        <w:t>Ideas for Future Living Well</w:t>
      </w:r>
      <w:r>
        <w:br/>
        <w:t>The Living Well final paper should be 3-4 pages in length.</w:t>
      </w:r>
    </w:p>
    <w:p w:rsidR="00000000" w:rsidRDefault="00533815">
      <w:pPr>
        <w:pStyle w:val="NormalWeb"/>
        <w:divId w:val="1062673729"/>
      </w:pPr>
      <w:r>
        <w:rPr>
          <w:rStyle w:val="Strong"/>
        </w:rPr>
        <w:t>Reflection Assignments</w:t>
      </w:r>
    </w:p>
    <w:p w:rsidR="00000000" w:rsidRDefault="00533815">
      <w:pPr>
        <w:pStyle w:val="NormalWeb"/>
        <w:divId w:val="1062673729"/>
      </w:pPr>
      <w:r>
        <w:t xml:space="preserve">In each reflection assignment you will be asked to </w:t>
      </w:r>
      <w:r>
        <w:t>write succinct thoughts about what you learned in the lesson and how those ideas apply to you.</w:t>
      </w:r>
    </w:p>
    <w:p w:rsidR="00000000" w:rsidRDefault="00533815">
      <w:pPr>
        <w:pStyle w:val="NormalWeb"/>
        <w:divId w:val="1062673729"/>
      </w:pPr>
      <w:r>
        <w:t xml:space="preserve">Your assignments will be graded for accuracy, thoroughness, deepness of thought, and that there is ample evidence that you have completed the assessment(s) tied </w:t>
      </w:r>
      <w:r>
        <w:t>to each lesson. </w:t>
      </w:r>
    </w:p>
    <w:p w:rsidR="00000000" w:rsidRDefault="00533815">
      <w:pPr>
        <w:pStyle w:val="NormalWeb"/>
        <w:divId w:val="1062673729"/>
      </w:pPr>
      <w:r>
        <w:rPr>
          <w:rStyle w:val="Strong"/>
        </w:rPr>
        <w:t>Self Checks</w:t>
      </w:r>
    </w:p>
    <w:p w:rsidR="00000000" w:rsidRDefault="00533815">
      <w:pPr>
        <w:pStyle w:val="NormalWeb"/>
        <w:divId w:val="1062673729"/>
      </w:pPr>
      <w:r>
        <w:t xml:space="preserve">Each lesson includes a self check exercise. These are to help you prepare for the exams. They do not count towards your grade, but you are strongly encouraged to take them as many times as you need. </w:t>
      </w:r>
    </w:p>
    <w:p w:rsidR="00000000" w:rsidRDefault="00533815">
      <w:pPr>
        <w:pStyle w:val="Heading2"/>
        <w:divId w:val="1062673729"/>
        <w:rPr>
          <w:rFonts w:eastAsia="Times New Roman"/>
        </w:rPr>
      </w:pPr>
      <w:r>
        <w:rPr>
          <w:rFonts w:eastAsia="Times New Roman"/>
        </w:rPr>
        <w:t>Assignment Due Dates</w:t>
      </w:r>
    </w:p>
    <w:p w:rsidR="00000000" w:rsidRDefault="00533815">
      <w:pPr>
        <w:pStyle w:val="NormalWeb"/>
        <w:divId w:val="1062673729"/>
      </w:pPr>
      <w:r>
        <w:t>You wi</w:t>
      </w:r>
      <w:r>
        <w:t xml:space="preserve">ll need to complete the following assignments by the listed due date. </w:t>
      </w:r>
    </w:p>
    <w:tbl>
      <w:tblPr>
        <w:tblW w:w="0" w:type="auto"/>
        <w:tblCellMar>
          <w:top w:w="15" w:type="dxa"/>
          <w:left w:w="15" w:type="dxa"/>
          <w:bottom w:w="15" w:type="dxa"/>
          <w:right w:w="15" w:type="dxa"/>
        </w:tblCellMar>
        <w:tblLook w:val="04A0" w:firstRow="1" w:lastRow="0" w:firstColumn="1" w:lastColumn="0" w:noHBand="0" w:noVBand="1"/>
      </w:tblPr>
      <w:tblGrid>
        <w:gridCol w:w="5730"/>
        <w:gridCol w:w="3942"/>
      </w:tblGrid>
      <w:tr w:rsidR="00000000">
        <w:trPr>
          <w:divId w:val="1062673729"/>
          <w:tblHeader/>
        </w:trPr>
        <w:tc>
          <w:tcPr>
            <w:tcW w:w="376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533815">
            <w:pPr>
              <w:jc w:val="center"/>
              <w:rPr>
                <w:rFonts w:eastAsia="Times New Roman"/>
                <w:b/>
                <w:bCs/>
              </w:rPr>
            </w:pPr>
            <w:r>
              <w:rPr>
                <w:rFonts w:eastAsia="Times New Roman"/>
                <w:b/>
                <w:bCs/>
              </w:rPr>
              <w:t>Assignment</w:t>
            </w:r>
          </w:p>
        </w:tc>
        <w:tc>
          <w:tcPr>
            <w:tcW w:w="400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533815">
            <w:pPr>
              <w:jc w:val="center"/>
              <w:rPr>
                <w:rFonts w:eastAsia="Times New Roman"/>
                <w:b/>
                <w:bCs/>
              </w:rPr>
            </w:pPr>
            <w:r>
              <w:rPr>
                <w:rFonts w:eastAsia="Times New Roman"/>
                <w:b/>
                <w:bCs/>
              </w:rPr>
              <w:t>Due Date</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January 14,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2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January 21,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3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January 28,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4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February 4,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5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February 11,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6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February 20,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7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February 27,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8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March 6,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9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March 13,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10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March 20,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11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March 25,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12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March 27,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13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April 1,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14 Reflection Assignment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Wednesday, April 8,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Lesson 15 Reflection Assignment and Living Well Project</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Friday, April 10, 2015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Midcourse Exam</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March 6 - 12 2015</w:t>
            </w:r>
          </w:p>
        </w:tc>
      </w:tr>
    </w:tbl>
    <w:p w:rsidR="00000000" w:rsidRDefault="00533815">
      <w:pPr>
        <w:pStyle w:val="NormalWeb"/>
        <w:divId w:val="1062673729"/>
      </w:pPr>
      <w:r>
        <w:rPr>
          <w:rStyle w:val="Strong"/>
        </w:rPr>
        <w:t xml:space="preserve">Please Note: </w:t>
      </w:r>
      <w:r>
        <w:t>If your assignment is turned in after the due date you will only receive up to 50% of the possible credit. If it is turned it</w:t>
      </w:r>
      <w:r>
        <w:rPr>
          <w:rStyle w:val="Strong"/>
        </w:rPr>
        <w:t xml:space="preserve"> 3 days </w:t>
      </w:r>
      <w:r>
        <w:t xml:space="preserve">or more after the due date, you will receive a zero. </w:t>
      </w:r>
    </w:p>
    <w:p w:rsidR="00000000" w:rsidRDefault="00533815">
      <w:pPr>
        <w:pStyle w:val="Heading2"/>
        <w:divId w:val="1062673729"/>
        <w:rPr>
          <w:rFonts w:eastAsia="Times New Roman"/>
        </w:rPr>
      </w:pPr>
      <w:r>
        <w:rPr>
          <w:rFonts w:eastAsia="Times New Roman"/>
        </w:rPr>
        <w:t>Exams</w:t>
      </w:r>
    </w:p>
    <w:p w:rsidR="00000000" w:rsidRDefault="00533815">
      <w:pPr>
        <w:pStyle w:val="Heading3"/>
        <w:divId w:val="1062673729"/>
        <w:rPr>
          <w:rFonts w:eastAsia="Times New Roman"/>
        </w:rPr>
      </w:pPr>
      <w:r>
        <w:rPr>
          <w:rFonts w:eastAsia="Times New Roman"/>
        </w:rPr>
        <w:t>Preparing for Online Exams</w:t>
      </w:r>
    </w:p>
    <w:p w:rsidR="00000000" w:rsidRDefault="00533815">
      <w:pPr>
        <w:pStyle w:val="NormalWeb"/>
        <w:divId w:val="1062673729"/>
      </w:pPr>
      <w:r>
        <w:t>Please review the Preparing for Online Exams PDF in the "Welcome to EXSC 221" section of the course.</w:t>
      </w:r>
    </w:p>
    <w:p w:rsidR="00000000" w:rsidRDefault="00533815">
      <w:pPr>
        <w:pStyle w:val="NormalWeb"/>
        <w:divId w:val="1062673729"/>
      </w:pPr>
      <w:r>
        <w:t xml:space="preserve">You must take your Midcourse Exam </w:t>
      </w:r>
      <w:r>
        <w:rPr>
          <w:rStyle w:val="Strong"/>
        </w:rPr>
        <w:t xml:space="preserve">March 6 - 12. </w:t>
      </w:r>
    </w:p>
    <w:p w:rsidR="00000000" w:rsidRDefault="00533815">
      <w:pPr>
        <w:pStyle w:val="Heading2"/>
        <w:divId w:val="1062673729"/>
        <w:rPr>
          <w:rFonts w:eastAsia="Times New Roman"/>
        </w:rPr>
      </w:pPr>
      <w:r>
        <w:rPr>
          <w:rFonts w:eastAsia="Times New Roman"/>
        </w:rPr>
        <w:t>Grading</w:t>
      </w:r>
    </w:p>
    <w:tbl>
      <w:tblPr>
        <w:tblW w:w="0" w:type="auto"/>
        <w:tblCellMar>
          <w:top w:w="15" w:type="dxa"/>
          <w:left w:w="15" w:type="dxa"/>
          <w:bottom w:w="15" w:type="dxa"/>
          <w:right w:w="15" w:type="dxa"/>
        </w:tblCellMar>
        <w:tblLook w:val="04A0" w:firstRow="1" w:lastRow="0" w:firstColumn="1" w:lastColumn="0" w:noHBand="0" w:noVBand="1"/>
      </w:tblPr>
      <w:tblGrid>
        <w:gridCol w:w="4182"/>
        <w:gridCol w:w="1526"/>
      </w:tblGrid>
      <w:tr w:rsidR="00000000">
        <w:trPr>
          <w:divId w:val="1062673729"/>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533815">
            <w:pPr>
              <w:jc w:val="center"/>
              <w:rPr>
                <w:rFonts w:eastAsia="Times New Roman"/>
                <w:b/>
                <w:bCs/>
              </w:rPr>
            </w:pPr>
            <w:r>
              <w:rPr>
                <w:rFonts w:eastAsia="Times New Roman"/>
                <w:b/>
                <w:bCs/>
              </w:rPr>
              <w:t>Assignment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533815">
            <w:pPr>
              <w:jc w:val="center"/>
              <w:rPr>
                <w:rFonts w:eastAsia="Times New Roman"/>
                <w:b/>
                <w:bCs/>
              </w:rPr>
            </w:pPr>
            <w:r>
              <w:rPr>
                <w:rFonts w:eastAsia="Times New Roman"/>
                <w:b/>
                <w:bCs/>
              </w:rPr>
              <w:t>% of Grade</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Individual Lesson Reflections</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40%</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RevUp</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15%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Class Participation (Discussion Boards)</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5%</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Mid-course Exam : Covering Lesson 1–8</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20%</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Final Exam: Covering Lesson 9–15</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20%</w:t>
            </w:r>
          </w:p>
        </w:tc>
      </w:tr>
      <w:tr w:rsidR="00000000">
        <w:trPr>
          <w:divId w:val="1062673729"/>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Total</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100%</w:t>
            </w:r>
          </w:p>
        </w:tc>
      </w:tr>
    </w:tbl>
    <w:p w:rsidR="00000000" w:rsidRDefault="00533815">
      <w:pPr>
        <w:pStyle w:val="Heading3"/>
        <w:divId w:val="1062673729"/>
        <w:rPr>
          <w:rFonts w:eastAsia="Times New Roman"/>
        </w:rPr>
      </w:pPr>
      <w:r>
        <w:rPr>
          <w:rFonts w:eastAsia="Times New Roman"/>
        </w:rPr>
        <w:t>Grading Scale</w:t>
      </w:r>
    </w:p>
    <w:p w:rsidR="00000000" w:rsidRDefault="00533815">
      <w:pPr>
        <w:pStyle w:val="NormalWeb"/>
        <w:divId w:val="1062673729"/>
      </w:pPr>
      <w:r>
        <w:t>Grading will be on a straight percentage scale as follows:</w:t>
      </w:r>
    </w:p>
    <w:tbl>
      <w:tblPr>
        <w:tblW w:w="0" w:type="auto"/>
        <w:tblCellMar>
          <w:top w:w="15" w:type="dxa"/>
          <w:left w:w="15" w:type="dxa"/>
          <w:bottom w:w="15" w:type="dxa"/>
          <w:right w:w="15" w:type="dxa"/>
        </w:tblCellMar>
        <w:tblLook w:val="04A0" w:firstRow="1" w:lastRow="0" w:firstColumn="1" w:lastColumn="0" w:noHBand="0" w:noVBand="1"/>
      </w:tblPr>
      <w:tblGrid>
        <w:gridCol w:w="930"/>
        <w:gridCol w:w="1563"/>
      </w:tblGrid>
      <w:tr w:rsidR="00000000">
        <w:trPr>
          <w:divId w:val="28377296"/>
          <w:tblHeader/>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533815">
            <w:pPr>
              <w:jc w:val="center"/>
              <w:rPr>
                <w:rFonts w:eastAsia="Times New Roman"/>
                <w:b/>
                <w:bCs/>
              </w:rPr>
            </w:pPr>
            <w:r>
              <w:rPr>
                <w:rFonts w:eastAsia="Times New Roman"/>
                <w:b/>
                <w:bCs/>
              </w:rPr>
              <w:t>Grading Scale</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100–93%</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92–90%</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89–87%</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86–83%</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82–80%</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79–77%</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76–73%</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72–70%</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69–67%</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66–63%</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62–60%</w:t>
            </w:r>
          </w:p>
        </w:tc>
      </w:tr>
      <w:tr w:rsidR="00000000">
        <w:trPr>
          <w:divId w:val="28377296"/>
        </w:trPr>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533815">
            <w:pPr>
              <w:rPr>
                <w:rFonts w:eastAsia="Times New Roman"/>
              </w:rPr>
            </w:pPr>
            <w:r>
              <w:rPr>
                <w:rFonts w:eastAsia="Times New Roman"/>
              </w:rPr>
              <w:t>59% or below</w:t>
            </w:r>
          </w:p>
        </w:tc>
      </w:tr>
    </w:tbl>
    <w:p w:rsidR="00533815" w:rsidRDefault="00533815">
      <w:pPr>
        <w:divId w:val="28377296"/>
        <w:rPr>
          <w:rFonts w:eastAsia="Times New Roman"/>
        </w:rPr>
      </w:pPr>
    </w:p>
    <w:sectPr w:rsidR="00533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140"/>
    <w:multiLevelType w:val="multilevel"/>
    <w:tmpl w:val="CBBE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F6DE9"/>
    <w:multiLevelType w:val="multilevel"/>
    <w:tmpl w:val="88E2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100BB"/>
    <w:multiLevelType w:val="multilevel"/>
    <w:tmpl w:val="5DD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9A5275"/>
    <w:multiLevelType w:val="multilevel"/>
    <w:tmpl w:val="1E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5D2329"/>
    <w:multiLevelType w:val="multilevel"/>
    <w:tmpl w:val="31AA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01595"/>
    <w:rsid w:val="00533815"/>
    <w:rsid w:val="00601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styleId="BalloonText">
    <w:name w:val="Balloon Text"/>
    <w:basedOn w:val="Normal"/>
    <w:link w:val="BalloonTextChar"/>
    <w:uiPriority w:val="99"/>
    <w:semiHidden/>
    <w:unhideWhenUsed/>
    <w:rsid w:val="00601595"/>
    <w:rPr>
      <w:rFonts w:ascii="Tahoma" w:hAnsi="Tahoma" w:cs="Tahoma"/>
      <w:sz w:val="16"/>
      <w:szCs w:val="16"/>
    </w:rPr>
  </w:style>
  <w:style w:type="character" w:customStyle="1" w:styleId="BalloonTextChar">
    <w:name w:val="Balloon Text Char"/>
    <w:basedOn w:val="DefaultParagraphFont"/>
    <w:link w:val="BalloonText"/>
    <w:uiPriority w:val="99"/>
    <w:semiHidden/>
    <w:rsid w:val="0060159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styleId="BalloonText">
    <w:name w:val="Balloon Text"/>
    <w:basedOn w:val="Normal"/>
    <w:link w:val="BalloonTextChar"/>
    <w:uiPriority w:val="99"/>
    <w:semiHidden/>
    <w:unhideWhenUsed/>
    <w:rsid w:val="00601595"/>
    <w:rPr>
      <w:rFonts w:ascii="Tahoma" w:hAnsi="Tahoma" w:cs="Tahoma"/>
      <w:sz w:val="16"/>
      <w:szCs w:val="16"/>
    </w:rPr>
  </w:style>
  <w:style w:type="character" w:customStyle="1" w:styleId="BalloonTextChar">
    <w:name w:val="Balloon Text Char"/>
    <w:basedOn w:val="DefaultParagraphFont"/>
    <w:link w:val="BalloonText"/>
    <w:uiPriority w:val="99"/>
    <w:semiHidden/>
    <w:rsid w:val="0060159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84060">
      <w:bodyDiv w:val="1"/>
      <w:marLeft w:val="0"/>
      <w:marRight w:val="0"/>
      <w:marTop w:val="0"/>
      <w:marBottom w:val="960"/>
      <w:divBdr>
        <w:top w:val="none" w:sz="0" w:space="0" w:color="auto"/>
        <w:left w:val="none" w:sz="0" w:space="0" w:color="auto"/>
        <w:bottom w:val="none" w:sz="0" w:space="0" w:color="auto"/>
        <w:right w:val="none" w:sz="0" w:space="0" w:color="auto"/>
      </w:divBdr>
      <w:divsChild>
        <w:div w:id="1897350217">
          <w:marLeft w:val="0"/>
          <w:marRight w:val="0"/>
          <w:marTop w:val="0"/>
          <w:marBottom w:val="0"/>
          <w:divBdr>
            <w:top w:val="none" w:sz="0" w:space="0" w:color="auto"/>
            <w:left w:val="none" w:sz="0" w:space="0" w:color="auto"/>
            <w:bottom w:val="none" w:sz="0" w:space="0" w:color="auto"/>
            <w:right w:val="none" w:sz="0" w:space="0" w:color="auto"/>
          </w:divBdr>
          <w:divsChild>
            <w:div w:id="1412316601">
              <w:marLeft w:val="0"/>
              <w:marRight w:val="0"/>
              <w:marTop w:val="0"/>
              <w:marBottom w:val="96"/>
              <w:divBdr>
                <w:top w:val="none" w:sz="0" w:space="0" w:color="auto"/>
                <w:left w:val="none" w:sz="0" w:space="0" w:color="auto"/>
                <w:bottom w:val="none" w:sz="0" w:space="0" w:color="auto"/>
                <w:right w:val="none" w:sz="0" w:space="0" w:color="auto"/>
              </w:divBdr>
            </w:div>
          </w:divsChild>
        </w:div>
        <w:div w:id="1740981156">
          <w:marLeft w:val="0"/>
          <w:marRight w:val="0"/>
          <w:marTop w:val="0"/>
          <w:marBottom w:val="0"/>
          <w:divBdr>
            <w:top w:val="none" w:sz="0" w:space="0" w:color="auto"/>
            <w:left w:val="none" w:sz="0" w:space="0" w:color="auto"/>
            <w:bottom w:val="none" w:sz="0" w:space="0" w:color="auto"/>
            <w:right w:val="none" w:sz="0" w:space="0" w:color="auto"/>
          </w:divBdr>
          <w:divsChild>
            <w:div w:id="1062673729">
              <w:marLeft w:val="0"/>
              <w:marRight w:val="0"/>
              <w:marTop w:val="0"/>
              <w:marBottom w:val="0"/>
              <w:divBdr>
                <w:top w:val="none" w:sz="0" w:space="0" w:color="auto"/>
                <w:left w:val="none" w:sz="0" w:space="0" w:color="auto"/>
                <w:bottom w:val="none" w:sz="0" w:space="0" w:color="auto"/>
                <w:right w:val="none" w:sz="0" w:space="0" w:color="auto"/>
              </w:divBdr>
              <w:divsChild>
                <w:div w:id="840242473">
                  <w:blockQuote w:val="1"/>
                  <w:marLeft w:val="600"/>
                  <w:marRight w:val="600"/>
                  <w:marTop w:val="240"/>
                  <w:marBottom w:val="240"/>
                  <w:divBdr>
                    <w:top w:val="none" w:sz="0" w:space="0" w:color="auto"/>
                    <w:left w:val="single" w:sz="6" w:space="0" w:color="999999"/>
                    <w:bottom w:val="none" w:sz="0" w:space="0" w:color="auto"/>
                    <w:right w:val="none" w:sz="0" w:space="0" w:color="auto"/>
                  </w:divBdr>
                </w:div>
                <w:div w:id="283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earface.com/download-guide/" TargetMode="External"/><Relationship Id="rId3" Type="http://schemas.microsoft.com/office/2007/relationships/stylesWithEffects" Target="stylesWithEffects.xml"/><Relationship Id="rId7" Type="http://schemas.openxmlformats.org/officeDocument/2006/relationships/hyperlink" Target="http://mybearface.com/product/21stcenturywe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1629</Words>
  <Characters>9286</Characters>
  <Application>Microsoft Office Word</Application>
  <DocSecurity>0</DocSecurity>
  <Lines>77</Lines>
  <Paragraphs>21</Paragraphs>
  <ScaleCrop>false</ScaleCrop>
  <Company>BYU DCE</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