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C6BF9">
      <w:pPr>
        <w:divId w:val="445657673"/>
        <w:rPr>
          <w:rFonts w:eastAsia="Times New Roman"/>
        </w:rPr>
      </w:pPr>
      <w:bookmarkStart w:id="0" w:name="top"/>
      <w:bookmarkStart w:id="1" w:name="_GoBack"/>
      <w:bookmarkEnd w:id="0"/>
      <w:bookmarkEnd w:id="1"/>
      <w:r>
        <w:rPr>
          <w:rFonts w:eastAsia="Times New Roman"/>
          <w:noProof/>
        </w:rPr>
        <w:drawing>
          <wp:inline distT="0" distB="0" distL="0" distR="0">
            <wp:extent cx="304800" cy="304800"/>
            <wp:effectExtent l="0" t="0" r="0" b="0"/>
            <wp:docPr id="1" name="Picture 1" descr="Sylla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llabus"/>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C6BF9">
      <w:pPr>
        <w:pStyle w:val="Heading1"/>
        <w:divId w:val="15157355"/>
        <w:rPr>
          <w:rFonts w:eastAsia="Times New Roman"/>
        </w:rPr>
      </w:pPr>
      <w:r>
        <w:rPr>
          <w:rFonts w:eastAsia="Times New Roman"/>
        </w:rPr>
        <w:t>Syllabus</w:t>
      </w:r>
    </w:p>
    <w:p w:rsidR="00000000" w:rsidRDefault="006C6BF9">
      <w:pPr>
        <w:pStyle w:val="Heading2"/>
        <w:divId w:val="15157355"/>
        <w:rPr>
          <w:rFonts w:eastAsia="Times New Roman"/>
        </w:rPr>
      </w:pPr>
      <w:r>
        <w:rPr>
          <w:rFonts w:eastAsia="Times New Roman"/>
        </w:rPr>
        <w:t xml:space="preserve">Welcome to BYU Online! </w:t>
      </w:r>
    </w:p>
    <w:p w:rsidR="00000000" w:rsidRDefault="006C6BF9">
      <w:pPr>
        <w:pStyle w:val="NormalWeb"/>
        <w:divId w:val="15157355"/>
      </w:pPr>
      <w:r>
        <w:t>This course is part of a small pilot of online courses at BYU. This course is a highly structured learning experience that meets the university’</w:t>
      </w:r>
      <w:r>
        <w:t>s general education requirements and will mirror the intensity of the on-campus course. This course differs from on-campus courses and other online courses in the following ways:</w:t>
      </w:r>
    </w:p>
    <w:p w:rsidR="00000000" w:rsidRDefault="006C6BF9">
      <w:pPr>
        <w:numPr>
          <w:ilvl w:val="0"/>
          <w:numId w:val="1"/>
        </w:numPr>
        <w:spacing w:before="100" w:beforeAutospacing="1" w:after="100" w:afterAutospacing="1" w:line="348" w:lineRule="atLeast"/>
        <w:ind w:left="0"/>
        <w:divId w:val="15157355"/>
        <w:rPr>
          <w:rFonts w:eastAsia="Times New Roman"/>
        </w:rPr>
      </w:pPr>
      <w:r>
        <w:rPr>
          <w:rStyle w:val="Strong"/>
          <w:rFonts w:eastAsia="Times New Roman"/>
        </w:rPr>
        <w:t xml:space="preserve">Course Content </w:t>
      </w:r>
      <w:r>
        <w:rPr>
          <w:rFonts w:eastAsia="Times New Roman"/>
        </w:rPr>
        <w:t>– Aside from your textbook, all of the course content is conta</w:t>
      </w:r>
      <w:r>
        <w:rPr>
          <w:rFonts w:eastAsia="Times New Roman"/>
        </w:rPr>
        <w:t xml:space="preserve">ined online. You will also submit all your assignments and complete all your course quizzes online. </w:t>
      </w:r>
    </w:p>
    <w:p w:rsidR="00000000" w:rsidRDefault="006C6BF9">
      <w:pPr>
        <w:numPr>
          <w:ilvl w:val="0"/>
          <w:numId w:val="1"/>
        </w:numPr>
        <w:spacing w:before="100" w:beforeAutospacing="1" w:after="100" w:afterAutospacing="1" w:line="348" w:lineRule="atLeast"/>
        <w:ind w:left="0"/>
        <w:divId w:val="15157355"/>
        <w:rPr>
          <w:rFonts w:eastAsia="Times New Roman"/>
        </w:rPr>
      </w:pPr>
      <w:r>
        <w:rPr>
          <w:rStyle w:val="Strong"/>
          <w:rFonts w:eastAsia="Times New Roman"/>
        </w:rPr>
        <w:t>Course Completion</w:t>
      </w:r>
      <w:r>
        <w:rPr>
          <w:rFonts w:eastAsia="Times New Roman"/>
        </w:rPr>
        <w:t xml:space="preserve"> – You are allowed to complete this course at your own pace. The only restrictions are you cannot complete the course before halfway throu</w:t>
      </w:r>
      <w:r>
        <w:rPr>
          <w:rFonts w:eastAsia="Times New Roman"/>
        </w:rPr>
        <w:t xml:space="preserve">gh the semester and you must complete the course by the end of the semester. </w:t>
      </w:r>
    </w:p>
    <w:p w:rsidR="00000000" w:rsidRDefault="006C6BF9">
      <w:pPr>
        <w:numPr>
          <w:ilvl w:val="0"/>
          <w:numId w:val="1"/>
        </w:numPr>
        <w:spacing w:before="100" w:beforeAutospacing="1" w:after="100" w:afterAutospacing="1" w:line="348" w:lineRule="atLeast"/>
        <w:ind w:left="0"/>
        <w:divId w:val="15157355"/>
        <w:rPr>
          <w:rFonts w:eastAsia="Times New Roman"/>
        </w:rPr>
      </w:pPr>
      <w:r>
        <w:rPr>
          <w:rStyle w:val="Strong"/>
          <w:rFonts w:eastAsia="Times New Roman"/>
        </w:rPr>
        <w:t>Orientation Meeting</w:t>
      </w:r>
      <w:r>
        <w:rPr>
          <w:rFonts w:eastAsia="Times New Roman"/>
        </w:rPr>
        <w:t xml:space="preserve"> – You are required to attend an initial class meeting. At this meeting, you will meet your instructor, course TAs and other members of the class. You will als</w:t>
      </w:r>
      <w:r>
        <w:rPr>
          <w:rFonts w:eastAsia="Times New Roman"/>
        </w:rPr>
        <w:t>o have the opportunity to ask any questions you have about the class and how it operates.</w:t>
      </w:r>
    </w:p>
    <w:p w:rsidR="00000000" w:rsidRDefault="006C6BF9">
      <w:pPr>
        <w:numPr>
          <w:ilvl w:val="0"/>
          <w:numId w:val="1"/>
        </w:numPr>
        <w:spacing w:before="100" w:beforeAutospacing="1" w:after="100" w:afterAutospacing="1" w:line="348" w:lineRule="atLeast"/>
        <w:ind w:left="0"/>
        <w:divId w:val="15157355"/>
        <w:rPr>
          <w:rFonts w:eastAsia="Times New Roman"/>
        </w:rPr>
      </w:pPr>
      <w:r>
        <w:rPr>
          <w:rStyle w:val="Strong"/>
          <w:rFonts w:eastAsia="Times New Roman"/>
        </w:rPr>
        <w:t>Course TA</w:t>
      </w:r>
      <w:r>
        <w:rPr>
          <w:rFonts w:eastAsia="Times New Roman"/>
        </w:rPr>
        <w:t xml:space="preserve"> – This course has a specific TA that you can contact with questions about the course or course content. The TA will also assist you in creating a course com</w:t>
      </w:r>
      <w:r>
        <w:rPr>
          <w:rFonts w:eastAsia="Times New Roman"/>
        </w:rPr>
        <w:t>pletion schedule and meet with you for the course checkpoints.</w:t>
      </w:r>
    </w:p>
    <w:p w:rsidR="00000000" w:rsidRDefault="006C6BF9">
      <w:pPr>
        <w:numPr>
          <w:ilvl w:val="0"/>
          <w:numId w:val="1"/>
        </w:numPr>
        <w:spacing w:before="100" w:beforeAutospacing="1" w:after="100" w:afterAutospacing="1" w:line="348" w:lineRule="atLeast"/>
        <w:ind w:left="0"/>
        <w:divId w:val="15157355"/>
        <w:rPr>
          <w:rFonts w:eastAsia="Times New Roman"/>
        </w:rPr>
      </w:pPr>
      <w:r>
        <w:rPr>
          <w:rStyle w:val="Strong"/>
          <w:rFonts w:eastAsia="Times New Roman"/>
        </w:rPr>
        <w:t>Checkpoints</w:t>
      </w:r>
      <w:r>
        <w:rPr>
          <w:rFonts w:eastAsia="Times New Roman"/>
        </w:rPr>
        <w:t xml:space="preserve"> – Throughout the course you will be required to meet with the course TA 3 times. These meetings will take place in Adobe Connect. These checkpoints will allow you to discuss your pr</w:t>
      </w:r>
      <w:r>
        <w:rPr>
          <w:rFonts w:eastAsia="Times New Roman"/>
        </w:rPr>
        <w:t xml:space="preserve">ogress in the course and help you follow your course completion plan. </w:t>
      </w:r>
    </w:p>
    <w:p w:rsidR="00000000" w:rsidRDefault="006C6BF9">
      <w:pPr>
        <w:numPr>
          <w:ilvl w:val="0"/>
          <w:numId w:val="1"/>
        </w:numPr>
        <w:spacing w:before="100" w:beforeAutospacing="1" w:after="100" w:afterAutospacing="1" w:line="348" w:lineRule="atLeast"/>
        <w:ind w:left="0"/>
        <w:divId w:val="15157355"/>
        <w:rPr>
          <w:rFonts w:eastAsia="Times New Roman"/>
        </w:rPr>
      </w:pPr>
      <w:r>
        <w:rPr>
          <w:rStyle w:val="Strong"/>
          <w:rFonts w:eastAsia="Times New Roman"/>
        </w:rPr>
        <w:t>Webinars</w:t>
      </w:r>
      <w:r>
        <w:rPr>
          <w:rFonts w:eastAsia="Times New Roman"/>
        </w:rPr>
        <w:t xml:space="preserve"> – A webinar is a scheduled class session that you will attend through Adobe Connect. These webinars will allow for information sharing, special lectures, guest lectures and exa</w:t>
      </w:r>
      <w:r>
        <w:rPr>
          <w:rFonts w:eastAsia="Times New Roman"/>
        </w:rPr>
        <w:t xml:space="preserve">m reviews. You will be able to interact with your instructor and other members of the class. </w:t>
      </w:r>
    </w:p>
    <w:p w:rsidR="00000000" w:rsidRDefault="006C6BF9">
      <w:pPr>
        <w:pStyle w:val="NormalWeb"/>
        <w:divId w:val="15157355"/>
      </w:pPr>
      <w:r>
        <w:t>As part of the pilot, we will be asking you to help assess the success and effectiveness of this course, the faculty member, the course delivery and the course su</w:t>
      </w:r>
      <w:r>
        <w:t>pport. Your participation in this assessment effort will be critical to future opportunities for online learning at BYU. Please be prepared to provide meaningful feedback about your experience.</w:t>
      </w:r>
    </w:p>
    <w:p w:rsidR="00000000" w:rsidRDefault="006C6BF9">
      <w:pPr>
        <w:pStyle w:val="Heading2"/>
        <w:divId w:val="15157355"/>
        <w:rPr>
          <w:rFonts w:eastAsia="Times New Roman"/>
        </w:rPr>
      </w:pPr>
      <w:r>
        <w:rPr>
          <w:rFonts w:eastAsia="Times New Roman"/>
        </w:rPr>
        <w:t xml:space="preserve">Course TA Information </w:t>
      </w:r>
    </w:p>
    <w:p w:rsidR="00000000" w:rsidRDefault="006C6BF9">
      <w:pPr>
        <w:pStyle w:val="NormalWeb"/>
        <w:divId w:val="15157355"/>
      </w:pPr>
      <w:r>
        <w:t xml:space="preserve">Your TA for this course is </w:t>
      </w:r>
      <w:r>
        <w:rPr>
          <w:rStyle w:val="Strong"/>
        </w:rPr>
        <w:t>Calvin Jahng</w:t>
      </w:r>
      <w:r>
        <w:t xml:space="preserve">. Please contact your TA if you have any questions, run into difficulties with the course, and to schedule checkpoints. </w:t>
      </w:r>
    </w:p>
    <w:p w:rsidR="00000000" w:rsidRDefault="006C6BF9">
      <w:pPr>
        <w:numPr>
          <w:ilvl w:val="0"/>
          <w:numId w:val="2"/>
        </w:numPr>
        <w:spacing w:before="100" w:beforeAutospacing="1" w:after="100" w:afterAutospacing="1" w:line="348" w:lineRule="atLeast"/>
        <w:ind w:left="0"/>
        <w:divId w:val="15157355"/>
        <w:rPr>
          <w:rFonts w:eastAsia="Times New Roman"/>
        </w:rPr>
      </w:pPr>
      <w:r>
        <w:rPr>
          <w:rFonts w:eastAsia="Times New Roman"/>
        </w:rPr>
        <w:t>Calvin Jahng</w:t>
      </w:r>
    </w:p>
    <w:p w:rsidR="00000000" w:rsidRDefault="006C6BF9">
      <w:pPr>
        <w:numPr>
          <w:ilvl w:val="0"/>
          <w:numId w:val="2"/>
        </w:numPr>
        <w:spacing w:before="100" w:beforeAutospacing="1" w:after="100" w:afterAutospacing="1" w:line="348" w:lineRule="atLeast"/>
        <w:ind w:left="0"/>
        <w:divId w:val="15157355"/>
        <w:rPr>
          <w:rFonts w:eastAsia="Times New Roman"/>
        </w:rPr>
      </w:pPr>
      <w:r>
        <w:rPr>
          <w:rFonts w:eastAsia="Times New Roman"/>
        </w:rPr>
        <w:t>ta_hlth335@byu.edu</w:t>
      </w:r>
    </w:p>
    <w:p w:rsidR="00000000" w:rsidRDefault="006C6BF9">
      <w:pPr>
        <w:numPr>
          <w:ilvl w:val="0"/>
          <w:numId w:val="2"/>
        </w:numPr>
        <w:spacing w:before="100" w:beforeAutospacing="1" w:after="100" w:afterAutospacing="1" w:line="348" w:lineRule="atLeast"/>
        <w:ind w:left="0"/>
        <w:divId w:val="15157355"/>
        <w:rPr>
          <w:rFonts w:eastAsia="Times New Roman"/>
        </w:rPr>
      </w:pPr>
      <w:r>
        <w:rPr>
          <w:rFonts w:eastAsia="Times New Roman"/>
        </w:rPr>
        <w:t>801-422-2830</w:t>
      </w:r>
    </w:p>
    <w:p w:rsidR="00000000" w:rsidRDefault="006C6BF9">
      <w:pPr>
        <w:pStyle w:val="NormalWeb"/>
        <w:divId w:val="15157355"/>
      </w:pPr>
      <w:r>
        <w:t>Remember, your TA is your first line of contact, and will be able to help you with most is</w:t>
      </w:r>
      <w:r>
        <w:t>sues that come up. He is looking forward to getting to know you!</w:t>
      </w:r>
    </w:p>
    <w:p w:rsidR="00000000" w:rsidRDefault="006C6BF9">
      <w:pPr>
        <w:pStyle w:val="Heading2"/>
        <w:divId w:val="15157355"/>
        <w:rPr>
          <w:rFonts w:eastAsia="Times New Roman"/>
        </w:rPr>
      </w:pPr>
      <w:r>
        <w:rPr>
          <w:rFonts w:eastAsia="Times New Roman"/>
        </w:rPr>
        <w:t>Course Learning Outcomes</w:t>
      </w:r>
    </w:p>
    <w:p w:rsidR="00000000" w:rsidRDefault="006C6BF9">
      <w:pPr>
        <w:numPr>
          <w:ilvl w:val="0"/>
          <w:numId w:val="3"/>
        </w:numPr>
        <w:spacing w:before="100" w:beforeAutospacing="1" w:after="100" w:afterAutospacing="1" w:line="348" w:lineRule="atLeast"/>
        <w:ind w:left="0"/>
        <w:divId w:val="15157355"/>
        <w:rPr>
          <w:rFonts w:eastAsia="Times New Roman"/>
        </w:rPr>
      </w:pPr>
      <w:r>
        <w:rPr>
          <w:rFonts w:eastAsia="Times New Roman"/>
        </w:rPr>
        <w:t>Evaluate the ability of selected socio-behavioral theories and models for furthering understanding of important public health problems and issues, with particular ref</w:t>
      </w:r>
      <w:r>
        <w:rPr>
          <w:rFonts w:eastAsia="Times New Roman"/>
        </w:rPr>
        <w:t>erence to health promotion and disease prevention.</w:t>
      </w:r>
    </w:p>
    <w:p w:rsidR="00000000" w:rsidRDefault="006C6BF9">
      <w:pPr>
        <w:numPr>
          <w:ilvl w:val="0"/>
          <w:numId w:val="3"/>
        </w:numPr>
        <w:spacing w:before="100" w:beforeAutospacing="1" w:after="100" w:afterAutospacing="1" w:line="348" w:lineRule="atLeast"/>
        <w:ind w:left="0"/>
        <w:divId w:val="15157355"/>
        <w:rPr>
          <w:rFonts w:eastAsia="Times New Roman"/>
        </w:rPr>
      </w:pPr>
      <w:r>
        <w:rPr>
          <w:rFonts w:eastAsia="Times New Roman"/>
        </w:rPr>
        <w:t>Identify prominent features and constructs in commonly used theories and models of health behavior change.</w:t>
      </w:r>
    </w:p>
    <w:p w:rsidR="00000000" w:rsidRDefault="006C6BF9">
      <w:pPr>
        <w:numPr>
          <w:ilvl w:val="0"/>
          <w:numId w:val="3"/>
        </w:numPr>
        <w:spacing w:before="100" w:beforeAutospacing="1" w:after="100" w:afterAutospacing="1" w:line="348" w:lineRule="atLeast"/>
        <w:ind w:left="0"/>
        <w:divId w:val="15157355"/>
        <w:rPr>
          <w:rFonts w:eastAsia="Times New Roman"/>
        </w:rPr>
      </w:pPr>
      <w:r>
        <w:rPr>
          <w:rFonts w:eastAsia="Times New Roman"/>
        </w:rPr>
        <w:t xml:space="preserve">Design interventions based upon health behavior theories and models. </w:t>
      </w:r>
    </w:p>
    <w:p w:rsidR="00000000" w:rsidRDefault="006C6BF9">
      <w:pPr>
        <w:pStyle w:val="Heading2"/>
        <w:divId w:val="15157355"/>
        <w:rPr>
          <w:rFonts w:eastAsia="Times New Roman"/>
        </w:rPr>
      </w:pPr>
      <w:r>
        <w:rPr>
          <w:rFonts w:eastAsia="Times New Roman"/>
        </w:rPr>
        <w:t>Course Materials</w:t>
      </w:r>
    </w:p>
    <w:p w:rsidR="00000000" w:rsidRDefault="006C6BF9">
      <w:pPr>
        <w:pStyle w:val="NormalWeb"/>
        <w:divId w:val="15157355"/>
      </w:pPr>
      <w:r>
        <w:t>The require</w:t>
      </w:r>
      <w:r>
        <w:t>d textbooks for this course are</w:t>
      </w:r>
    </w:p>
    <w:p w:rsidR="00000000" w:rsidRDefault="006C6BF9">
      <w:pPr>
        <w:numPr>
          <w:ilvl w:val="0"/>
          <w:numId w:val="4"/>
        </w:numPr>
        <w:spacing w:before="100" w:beforeAutospacing="1" w:after="100" w:afterAutospacing="1" w:line="348" w:lineRule="atLeast"/>
        <w:ind w:left="0"/>
        <w:divId w:val="15157355"/>
        <w:rPr>
          <w:rFonts w:eastAsia="Times New Roman"/>
        </w:rPr>
      </w:pPr>
      <w:r>
        <w:rPr>
          <w:rFonts w:eastAsia="Times New Roman"/>
        </w:rPr>
        <w:t xml:space="preserve">Sharma, M., &amp; Romas, J. A. (2012). </w:t>
      </w:r>
      <w:r>
        <w:rPr>
          <w:rStyle w:val="Emphasis"/>
          <w:rFonts w:eastAsia="Times New Roman"/>
        </w:rPr>
        <w:t>Theoretical foundations of health education and health promotion</w:t>
      </w:r>
      <w:r>
        <w:rPr>
          <w:rFonts w:eastAsia="Times New Roman"/>
        </w:rPr>
        <w:t xml:space="preserve"> (2nd ed.). Burlington, MA: Jones and Bartlett Learning. ISBN 9780763796112 </w:t>
      </w:r>
    </w:p>
    <w:p w:rsidR="00000000" w:rsidRDefault="006C6BF9">
      <w:pPr>
        <w:pStyle w:val="NormalWeb"/>
        <w:divId w:val="15157355"/>
      </w:pPr>
      <w:r>
        <w:t>While there are only two required textbooks, there are additional reading assignments from other sources. The other readings, specified in the lessons, will either be provided within the course or you will need to go to the Harold B. Lee Library (or anothe</w:t>
      </w:r>
      <w:r>
        <w:t>r library) to access them.</w:t>
      </w:r>
    </w:p>
    <w:p w:rsidR="00000000" w:rsidRDefault="006C6BF9">
      <w:pPr>
        <w:pStyle w:val="Heading3"/>
        <w:divId w:val="15157355"/>
        <w:rPr>
          <w:rFonts w:eastAsia="Times New Roman"/>
        </w:rPr>
      </w:pPr>
      <w:r>
        <w:rPr>
          <w:rFonts w:eastAsia="Times New Roman"/>
        </w:rPr>
        <w:t>Readings in Harold B. Lee Library</w:t>
      </w:r>
    </w:p>
    <w:p w:rsidR="00000000" w:rsidRDefault="006C6BF9">
      <w:pPr>
        <w:pStyle w:val="NormalWeb"/>
        <w:divId w:val="15157355"/>
      </w:pPr>
      <w:r>
        <w:t>You can log HBLL website using your BYU Net ID and password. Once there, take a bit of time to familiarize yourself with the HBLL website. Doing this at the beginning will pay off later if you ne</w:t>
      </w:r>
      <w:r>
        <w:t xml:space="preserve">ed to search for your reading assignments. </w:t>
      </w:r>
    </w:p>
    <w:p w:rsidR="00000000" w:rsidRDefault="006C6BF9">
      <w:pPr>
        <w:pStyle w:val="Heading2"/>
        <w:divId w:val="15157355"/>
        <w:rPr>
          <w:rFonts w:eastAsia="Times New Roman"/>
        </w:rPr>
      </w:pPr>
      <w:r>
        <w:rPr>
          <w:rFonts w:eastAsia="Times New Roman"/>
        </w:rPr>
        <w:t xml:space="preserve">Course Organization </w:t>
      </w:r>
    </w:p>
    <w:p w:rsidR="00000000" w:rsidRDefault="006C6BF9">
      <w:pPr>
        <w:pStyle w:val="Heading3"/>
        <w:divId w:val="15157355"/>
        <w:rPr>
          <w:rFonts w:eastAsia="Times New Roman"/>
        </w:rPr>
      </w:pPr>
      <w:r>
        <w:rPr>
          <w:rFonts w:eastAsia="Times New Roman"/>
        </w:rPr>
        <w:t>Webinars</w:t>
      </w:r>
    </w:p>
    <w:p w:rsidR="00000000" w:rsidRDefault="006C6BF9">
      <w:pPr>
        <w:pStyle w:val="NormalWeb"/>
        <w:divId w:val="15157355"/>
      </w:pPr>
      <w:r>
        <w:t>Throughout the course we will two webinars. These webinars will be held in Adobe connect. We will decide on the dates of these webinars in our course orientation meeting. Your TA wil</w:t>
      </w:r>
      <w:r>
        <w:t xml:space="preserve">l give you more details about the webinars as the semester progresses. </w:t>
      </w:r>
    </w:p>
    <w:p w:rsidR="00000000" w:rsidRDefault="006C6BF9">
      <w:pPr>
        <w:pStyle w:val="Heading3"/>
        <w:divId w:val="15157355"/>
        <w:rPr>
          <w:rFonts w:eastAsia="Times New Roman"/>
        </w:rPr>
      </w:pPr>
      <w:r>
        <w:rPr>
          <w:rFonts w:eastAsia="Times New Roman"/>
        </w:rPr>
        <w:t>Quizzes</w:t>
      </w:r>
    </w:p>
    <w:p w:rsidR="00000000" w:rsidRDefault="006C6BF9">
      <w:pPr>
        <w:pStyle w:val="NormalWeb"/>
        <w:divId w:val="15157355"/>
      </w:pPr>
      <w:r>
        <w:t xml:space="preserve">There will be ten multiple-choice online quizzes that will cover content from the theory or model in that lesson. These quizzes are closed book and closed note. They should be </w:t>
      </w:r>
      <w:r>
        <w:t xml:space="preserve">completed by yourself. </w:t>
      </w:r>
    </w:p>
    <w:p w:rsidR="00000000" w:rsidRDefault="006C6BF9">
      <w:pPr>
        <w:pStyle w:val="Heading3"/>
        <w:divId w:val="15157355"/>
        <w:rPr>
          <w:rFonts w:eastAsia="Times New Roman"/>
        </w:rPr>
      </w:pPr>
      <w:r>
        <w:rPr>
          <w:rFonts w:eastAsia="Times New Roman"/>
        </w:rPr>
        <w:t>Application Assignments</w:t>
      </w:r>
    </w:p>
    <w:p w:rsidR="00000000" w:rsidRDefault="006C6BF9">
      <w:pPr>
        <w:pStyle w:val="NormalWeb"/>
        <w:divId w:val="15157355"/>
      </w:pPr>
      <w:r>
        <w:t>Nine of the ten lessons have application assignments. Application assignments are intended to help you become more familiar with the application of health behavior theories. For these assignments, you will se</w:t>
      </w:r>
      <w:r>
        <w:t xml:space="preserve">lect a public health related scenario and submit a 1-page or more description of the application of the theory studied in that lesson. </w:t>
      </w:r>
    </w:p>
    <w:p w:rsidR="00000000" w:rsidRDefault="006C6BF9">
      <w:pPr>
        <w:pStyle w:val="NormalWeb"/>
        <w:divId w:val="15157355"/>
      </w:pPr>
      <w:r>
        <w:t xml:space="preserve">Detailed instructions are in the </w:t>
      </w:r>
      <w:hyperlink r:id="rId7" w:tgtFrame="_blank" w:history="1">
        <w:r>
          <w:rPr>
            <w:rStyle w:val="Hyperlink"/>
          </w:rPr>
          <w:t>Application Assi</w:t>
        </w:r>
        <w:r>
          <w:rPr>
            <w:rStyle w:val="Hyperlink"/>
          </w:rPr>
          <w:t>gnment Instructions</w:t>
        </w:r>
      </w:hyperlink>
      <w:r>
        <w:t>.</w:t>
      </w:r>
    </w:p>
    <w:p w:rsidR="00000000" w:rsidRDefault="006C6BF9">
      <w:pPr>
        <w:pStyle w:val="Heading3"/>
        <w:divId w:val="15157355"/>
        <w:rPr>
          <w:rFonts w:eastAsia="Times New Roman"/>
        </w:rPr>
      </w:pPr>
      <w:r>
        <w:rPr>
          <w:rFonts w:eastAsia="Times New Roman"/>
        </w:rPr>
        <w:t>Readings Evaluation</w:t>
      </w:r>
    </w:p>
    <w:p w:rsidR="00000000" w:rsidRDefault="006C6BF9">
      <w:pPr>
        <w:pStyle w:val="NormalWeb"/>
        <w:divId w:val="15157355"/>
      </w:pPr>
      <w:r>
        <w:t>In each lesson your are given a number of readings to complete. These readings will help you complete the stated course outcomes and prepare you for the various assignments within the course. It is expected that you</w:t>
      </w:r>
      <w:r>
        <w:t xml:space="preserve"> complete all the readings in the course. At the end of the course, you will have the opportunity to evaluate how well you did in completing the course readings. </w:t>
      </w:r>
    </w:p>
    <w:p w:rsidR="00000000" w:rsidRDefault="006C6BF9">
      <w:pPr>
        <w:pStyle w:val="Heading3"/>
        <w:divId w:val="15157355"/>
        <w:rPr>
          <w:rFonts w:eastAsia="Times New Roman"/>
        </w:rPr>
      </w:pPr>
      <w:r>
        <w:rPr>
          <w:rFonts w:eastAsia="Times New Roman"/>
        </w:rPr>
        <w:t xml:space="preserve">Exams </w:t>
      </w:r>
    </w:p>
    <w:p w:rsidR="00000000" w:rsidRDefault="006C6BF9">
      <w:pPr>
        <w:pStyle w:val="NormalWeb"/>
        <w:divId w:val="15157355"/>
      </w:pPr>
      <w:r>
        <w:t>There will be one comprehensive final exam. The format will be similar to the quizzes.</w:t>
      </w:r>
      <w:r>
        <w:t xml:space="preserve"> </w:t>
      </w:r>
    </w:p>
    <w:p w:rsidR="00000000" w:rsidRDefault="006C6BF9">
      <w:pPr>
        <w:pStyle w:val="Heading3"/>
        <w:divId w:val="15157355"/>
        <w:rPr>
          <w:rFonts w:eastAsia="Times New Roman"/>
        </w:rPr>
      </w:pPr>
      <w:r>
        <w:rPr>
          <w:rFonts w:eastAsia="Times New Roman"/>
        </w:rPr>
        <w:t>Preparing for Your Exam</w:t>
      </w:r>
    </w:p>
    <w:p w:rsidR="00000000" w:rsidRDefault="006C6BF9">
      <w:pPr>
        <w:pStyle w:val="NormalWeb"/>
        <w:divId w:val="15157355"/>
      </w:pPr>
      <w:r>
        <w:t>You should plan to take your final exam at the Morris center on BYU Campus. There is a testing center in that building that is set up for proctoring these BYU Online course tests. You must schedule taking your exam 48 hours in adv</w:t>
      </w:r>
      <w:r>
        <w:t>ance. To schedule the exam follow the instructions located in the folder "preparing for the final exam." If you have extenuating circumstances and cannot take the test at the Morris Center, the instructions also provide information on what to do to take yo</w:t>
      </w:r>
      <w:r>
        <w:t xml:space="preserve">ur exam. </w:t>
      </w:r>
    </w:p>
    <w:p w:rsidR="00000000" w:rsidRDefault="006C6BF9">
      <w:pPr>
        <w:pStyle w:val="Heading2"/>
        <w:divId w:val="15157355"/>
        <w:rPr>
          <w:rFonts w:eastAsia="Times New Roman"/>
        </w:rPr>
      </w:pPr>
      <w:r>
        <w:rPr>
          <w:rFonts w:eastAsia="Times New Roman"/>
        </w:rPr>
        <w:t>Deadlines</w:t>
      </w:r>
    </w:p>
    <w:p w:rsidR="00000000" w:rsidRDefault="006C6BF9">
      <w:pPr>
        <w:pStyle w:val="NormalWeb"/>
        <w:divId w:val="15157355"/>
      </w:pPr>
      <w:r>
        <w:t xml:space="preserve">You must submit all the work contained in each lesson as outlined below. Submissions must take place by 11:59 pm of the due date. Assignments submitted after the deadline will not be accepted. </w:t>
      </w:r>
    </w:p>
    <w:tbl>
      <w:tblPr>
        <w:tblW w:w="4605" w:type="dxa"/>
        <w:tblCellSpacing w:w="15" w:type="dxa"/>
        <w:tblCellMar>
          <w:top w:w="15" w:type="dxa"/>
          <w:left w:w="15" w:type="dxa"/>
          <w:bottom w:w="15" w:type="dxa"/>
          <w:right w:w="15" w:type="dxa"/>
        </w:tblCellMar>
        <w:tblLook w:val="04A0" w:firstRow="1" w:lastRow="0" w:firstColumn="1" w:lastColumn="0" w:noHBand="0" w:noVBand="1"/>
      </w:tblPr>
      <w:tblGrid>
        <w:gridCol w:w="2922"/>
        <w:gridCol w:w="1683"/>
      </w:tblGrid>
      <w:tr w:rsidR="00000000">
        <w:trPr>
          <w:divId w:val="15157355"/>
          <w:tblCellSpacing w:w="15" w:type="dxa"/>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6C6BF9">
            <w:pPr>
              <w:jc w:val="center"/>
              <w:rPr>
                <w:rFonts w:eastAsia="Times New Roman"/>
                <w:b/>
                <w:bCs/>
              </w:rPr>
            </w:pPr>
            <w:r>
              <w:rPr>
                <w:rFonts w:eastAsia="Times New Roman"/>
                <w:b/>
                <w:bCs/>
              </w:rPr>
              <w:t>Item to be completed</w:t>
            </w:r>
          </w:p>
        </w:tc>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6C6BF9">
            <w:pPr>
              <w:jc w:val="center"/>
              <w:rPr>
                <w:rFonts w:eastAsia="Times New Roman"/>
                <w:b/>
                <w:bCs/>
              </w:rPr>
            </w:pPr>
            <w:r>
              <w:rPr>
                <w:rFonts w:eastAsia="Times New Roman"/>
                <w:b/>
                <w:bCs/>
              </w:rPr>
              <w:t>Deadline</w:t>
            </w:r>
          </w:p>
        </w:tc>
      </w:tr>
      <w:tr w:rsidR="00000000">
        <w:trPr>
          <w:divId w:val="15157355"/>
          <w:tblCellSpacing w:w="15" w:type="dxa"/>
        </w:trPr>
        <w:tc>
          <w:tcPr>
            <w:tcW w:w="2820" w:type="dxa"/>
            <w:tcMar>
              <w:top w:w="108" w:type="dxa"/>
              <w:left w:w="108" w:type="dxa"/>
              <w:bottom w:w="108" w:type="dxa"/>
              <w:right w:w="108" w:type="dxa"/>
            </w:tcMar>
            <w:hideMark/>
          </w:tcPr>
          <w:p w:rsidR="00000000" w:rsidRDefault="006C6BF9">
            <w:pPr>
              <w:rPr>
                <w:rFonts w:eastAsia="Times New Roman"/>
              </w:rPr>
            </w:pPr>
            <w:r>
              <w:rPr>
                <w:rFonts w:eastAsia="Times New Roman"/>
              </w:rPr>
              <w:t>Lesson 1</w:t>
            </w:r>
          </w:p>
        </w:tc>
        <w:tc>
          <w:tcPr>
            <w:tcW w:w="1605" w:type="dxa"/>
            <w:tcMar>
              <w:top w:w="108" w:type="dxa"/>
              <w:left w:w="108" w:type="dxa"/>
              <w:bottom w:w="108" w:type="dxa"/>
              <w:right w:w="108" w:type="dxa"/>
            </w:tcMar>
            <w:hideMark/>
          </w:tcPr>
          <w:p w:rsidR="00000000" w:rsidRDefault="006C6BF9">
            <w:pPr>
              <w:rPr>
                <w:rFonts w:eastAsia="Times New Roman"/>
              </w:rPr>
            </w:pPr>
            <w:r>
              <w:rPr>
                <w:rFonts w:eastAsia="Times New Roman"/>
              </w:rPr>
              <w:t>Jan. 16</w:t>
            </w:r>
          </w:p>
        </w:tc>
      </w:tr>
      <w:tr w:rsidR="00000000">
        <w:trPr>
          <w:divId w:val="15157355"/>
          <w:tblCellSpacing w:w="15" w:type="dxa"/>
        </w:trPr>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Lesson 2</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Jan. 23</w:t>
            </w:r>
          </w:p>
        </w:tc>
      </w:tr>
      <w:tr w:rsidR="00000000">
        <w:trPr>
          <w:divId w:val="15157355"/>
          <w:tblCellSpacing w:w="15" w:type="dxa"/>
        </w:trPr>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Lesson 3</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Jan. 30</w:t>
            </w:r>
          </w:p>
        </w:tc>
      </w:tr>
      <w:tr w:rsidR="00000000">
        <w:trPr>
          <w:divId w:val="15157355"/>
          <w:tblCellSpacing w:w="15" w:type="dxa"/>
        </w:trPr>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Lesson 4</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Feb. 6</w:t>
            </w:r>
          </w:p>
        </w:tc>
      </w:tr>
      <w:tr w:rsidR="00000000">
        <w:trPr>
          <w:divId w:val="15157355"/>
          <w:tblCellSpacing w:w="15" w:type="dxa"/>
        </w:trPr>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Lesson 5</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Feb. 13</w:t>
            </w:r>
          </w:p>
        </w:tc>
      </w:tr>
      <w:tr w:rsidR="00000000">
        <w:trPr>
          <w:divId w:val="15157355"/>
          <w:tblCellSpacing w:w="15" w:type="dxa"/>
        </w:trPr>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Lesson 6</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Feb. 20</w:t>
            </w:r>
          </w:p>
        </w:tc>
      </w:tr>
      <w:tr w:rsidR="00000000">
        <w:trPr>
          <w:divId w:val="15157355"/>
          <w:tblCellSpacing w:w="15" w:type="dxa"/>
        </w:trPr>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Lesson 7</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Feb. 27</w:t>
            </w:r>
          </w:p>
        </w:tc>
      </w:tr>
      <w:tr w:rsidR="00000000">
        <w:trPr>
          <w:divId w:val="15157355"/>
          <w:tblCellSpacing w:w="15" w:type="dxa"/>
        </w:trPr>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Lesson 8</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Mar. 6</w:t>
            </w:r>
          </w:p>
        </w:tc>
      </w:tr>
      <w:tr w:rsidR="00000000">
        <w:trPr>
          <w:divId w:val="15157355"/>
          <w:tblCellSpacing w:w="15" w:type="dxa"/>
        </w:trPr>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 xml:space="preserve">Lesson 9 </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Mar. 13</w:t>
            </w:r>
          </w:p>
        </w:tc>
      </w:tr>
      <w:tr w:rsidR="00000000">
        <w:trPr>
          <w:divId w:val="15157355"/>
          <w:tblCellSpacing w:w="15" w:type="dxa"/>
        </w:trPr>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Lesson 10</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Mar. 20</w:t>
            </w:r>
          </w:p>
        </w:tc>
      </w:tr>
      <w:tr w:rsidR="00000000">
        <w:trPr>
          <w:divId w:val="15157355"/>
          <w:tblCellSpacing w:w="15" w:type="dxa"/>
        </w:trPr>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Reading Evaluation</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April 10</w:t>
            </w:r>
          </w:p>
        </w:tc>
      </w:tr>
      <w:tr w:rsidR="00000000">
        <w:trPr>
          <w:divId w:val="15157355"/>
          <w:tblCellSpacing w:w="15" w:type="dxa"/>
        </w:trPr>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 xml:space="preserve">Final Exam </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Finals Week</w:t>
            </w:r>
          </w:p>
        </w:tc>
      </w:tr>
    </w:tbl>
    <w:p w:rsidR="00000000" w:rsidRDefault="006C6BF9">
      <w:pPr>
        <w:pStyle w:val="Heading2"/>
        <w:divId w:val="15157355"/>
        <w:rPr>
          <w:rFonts w:eastAsia="Times New Roman"/>
        </w:rPr>
      </w:pPr>
      <w:r>
        <w:rPr>
          <w:rFonts w:eastAsia="Times New Roman"/>
        </w:rPr>
        <w:t>Grading</w:t>
      </w:r>
    </w:p>
    <w:p w:rsidR="00000000" w:rsidRDefault="006C6BF9">
      <w:pPr>
        <w:pStyle w:val="NormalWeb"/>
        <w:divId w:val="15157355"/>
      </w:pPr>
      <w:r>
        <w:t xml:space="preserve">The final grade will be assigned after taking into account your scores from the following categories.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1"/>
        <w:gridCol w:w="1226"/>
        <w:gridCol w:w="2147"/>
      </w:tblGrid>
      <w:tr w:rsidR="00000000">
        <w:trPr>
          <w:divId w:val="15157355"/>
          <w:tblHeader/>
          <w:tblCellSpacing w:w="15" w:type="dxa"/>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6C6BF9">
            <w:pPr>
              <w:jc w:val="center"/>
              <w:rPr>
                <w:rFonts w:eastAsia="Times New Roman"/>
                <w:b/>
                <w:bCs/>
              </w:rPr>
            </w:pPr>
            <w:r>
              <w:rPr>
                <w:rFonts w:eastAsia="Times New Roman"/>
                <w:b/>
                <w:bCs/>
              </w:rPr>
              <w:t>Assessment</w:t>
            </w:r>
          </w:p>
        </w:tc>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6C6BF9">
            <w:pPr>
              <w:jc w:val="center"/>
              <w:rPr>
                <w:rFonts w:eastAsia="Times New Roman"/>
                <w:b/>
                <w:bCs/>
              </w:rPr>
            </w:pPr>
            <w:r>
              <w:rPr>
                <w:rFonts w:eastAsia="Times New Roman"/>
                <w:b/>
                <w:bCs/>
              </w:rPr>
              <w:t>Number</w:t>
            </w:r>
          </w:p>
        </w:tc>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6C6BF9">
            <w:pPr>
              <w:jc w:val="center"/>
              <w:rPr>
                <w:rFonts w:eastAsia="Times New Roman"/>
                <w:b/>
                <w:bCs/>
              </w:rPr>
            </w:pPr>
            <w:r>
              <w:rPr>
                <w:rFonts w:eastAsia="Times New Roman"/>
                <w:b/>
                <w:bCs/>
              </w:rPr>
              <w:t>Percent of Grade</w:t>
            </w:r>
          </w:p>
        </w:tc>
      </w:tr>
      <w:tr w:rsidR="00000000">
        <w:trPr>
          <w:divId w:val="15157355"/>
          <w:tblCellSpacing w:w="15" w:type="dxa"/>
        </w:trPr>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Quizzes</w:t>
            </w:r>
          </w:p>
        </w:tc>
        <w:tc>
          <w:tcPr>
            <w:tcW w:w="0" w:type="auto"/>
            <w:tcMar>
              <w:top w:w="108" w:type="dxa"/>
              <w:left w:w="108" w:type="dxa"/>
              <w:bottom w:w="108" w:type="dxa"/>
              <w:right w:w="108" w:type="dxa"/>
            </w:tcMar>
            <w:hideMark/>
          </w:tcPr>
          <w:p w:rsidR="00000000" w:rsidRDefault="006C6BF9">
            <w:pPr>
              <w:jc w:val="center"/>
              <w:rPr>
                <w:rFonts w:eastAsia="Times New Roman"/>
              </w:rPr>
            </w:pPr>
            <w:r>
              <w:rPr>
                <w:rFonts w:eastAsia="Times New Roman"/>
              </w:rPr>
              <w:t xml:space="preserve">10 </w:t>
            </w:r>
          </w:p>
        </w:tc>
        <w:tc>
          <w:tcPr>
            <w:tcW w:w="0" w:type="auto"/>
            <w:tcMar>
              <w:top w:w="108" w:type="dxa"/>
              <w:left w:w="108" w:type="dxa"/>
              <w:bottom w:w="108" w:type="dxa"/>
              <w:right w:w="108" w:type="dxa"/>
            </w:tcMar>
            <w:hideMark/>
          </w:tcPr>
          <w:p w:rsidR="00000000" w:rsidRDefault="006C6BF9">
            <w:pPr>
              <w:jc w:val="center"/>
              <w:rPr>
                <w:rFonts w:eastAsia="Times New Roman"/>
              </w:rPr>
            </w:pPr>
            <w:r>
              <w:rPr>
                <w:rFonts w:eastAsia="Times New Roman"/>
              </w:rPr>
              <w:t>20%</w:t>
            </w:r>
          </w:p>
        </w:tc>
      </w:tr>
      <w:tr w:rsidR="00000000">
        <w:trPr>
          <w:divId w:val="15157355"/>
          <w:tblCellSpacing w:w="15" w:type="dxa"/>
        </w:trPr>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Application Assignments</w:t>
            </w:r>
          </w:p>
        </w:tc>
        <w:tc>
          <w:tcPr>
            <w:tcW w:w="0" w:type="auto"/>
            <w:tcMar>
              <w:top w:w="108" w:type="dxa"/>
              <w:left w:w="108" w:type="dxa"/>
              <w:bottom w:w="108" w:type="dxa"/>
              <w:right w:w="108" w:type="dxa"/>
            </w:tcMar>
            <w:hideMark/>
          </w:tcPr>
          <w:p w:rsidR="00000000" w:rsidRDefault="006C6BF9">
            <w:pPr>
              <w:jc w:val="center"/>
              <w:rPr>
                <w:rFonts w:eastAsia="Times New Roman"/>
              </w:rPr>
            </w:pPr>
            <w:r>
              <w:rPr>
                <w:rFonts w:eastAsia="Times New Roman"/>
              </w:rPr>
              <w:t xml:space="preserve">9 </w:t>
            </w:r>
          </w:p>
        </w:tc>
        <w:tc>
          <w:tcPr>
            <w:tcW w:w="0" w:type="auto"/>
            <w:tcMar>
              <w:top w:w="108" w:type="dxa"/>
              <w:left w:w="108" w:type="dxa"/>
              <w:bottom w:w="108" w:type="dxa"/>
              <w:right w:w="108" w:type="dxa"/>
            </w:tcMar>
            <w:hideMark/>
          </w:tcPr>
          <w:p w:rsidR="00000000" w:rsidRDefault="006C6BF9">
            <w:pPr>
              <w:jc w:val="center"/>
              <w:rPr>
                <w:rFonts w:eastAsia="Times New Roman"/>
              </w:rPr>
            </w:pPr>
            <w:r>
              <w:rPr>
                <w:rFonts w:eastAsia="Times New Roman"/>
              </w:rPr>
              <w:t>40%</w:t>
            </w:r>
          </w:p>
        </w:tc>
      </w:tr>
      <w:tr w:rsidR="00000000">
        <w:trPr>
          <w:divId w:val="15157355"/>
          <w:tblCellSpacing w:w="15" w:type="dxa"/>
        </w:trPr>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Facebook Discussion Topics</w:t>
            </w:r>
          </w:p>
        </w:tc>
        <w:tc>
          <w:tcPr>
            <w:tcW w:w="0" w:type="auto"/>
            <w:tcMar>
              <w:top w:w="108" w:type="dxa"/>
              <w:left w:w="108" w:type="dxa"/>
              <w:bottom w:w="108" w:type="dxa"/>
              <w:right w:w="108" w:type="dxa"/>
            </w:tcMar>
            <w:hideMark/>
          </w:tcPr>
          <w:p w:rsidR="00000000" w:rsidRDefault="006C6BF9">
            <w:pPr>
              <w:jc w:val="center"/>
              <w:rPr>
                <w:rFonts w:eastAsia="Times New Roman"/>
              </w:rPr>
            </w:pPr>
            <w:r>
              <w:rPr>
                <w:rFonts w:eastAsia="Times New Roman"/>
              </w:rPr>
              <w:t>9</w:t>
            </w:r>
          </w:p>
        </w:tc>
        <w:tc>
          <w:tcPr>
            <w:tcW w:w="0" w:type="auto"/>
            <w:tcMar>
              <w:top w:w="108" w:type="dxa"/>
              <w:left w:w="108" w:type="dxa"/>
              <w:bottom w:w="108" w:type="dxa"/>
              <w:right w:w="108" w:type="dxa"/>
            </w:tcMar>
            <w:hideMark/>
          </w:tcPr>
          <w:p w:rsidR="00000000" w:rsidRDefault="006C6BF9">
            <w:pPr>
              <w:jc w:val="center"/>
              <w:rPr>
                <w:rFonts w:eastAsia="Times New Roman"/>
              </w:rPr>
            </w:pPr>
            <w:r>
              <w:rPr>
                <w:rFonts w:eastAsia="Times New Roman"/>
              </w:rPr>
              <w:t>5%</w:t>
            </w:r>
          </w:p>
        </w:tc>
      </w:tr>
      <w:tr w:rsidR="00000000">
        <w:trPr>
          <w:divId w:val="15157355"/>
          <w:tblCellSpacing w:w="15" w:type="dxa"/>
        </w:trPr>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Course Readings Evaluation</w:t>
            </w:r>
          </w:p>
        </w:tc>
        <w:tc>
          <w:tcPr>
            <w:tcW w:w="0" w:type="auto"/>
            <w:tcMar>
              <w:top w:w="108" w:type="dxa"/>
              <w:left w:w="108" w:type="dxa"/>
              <w:bottom w:w="108" w:type="dxa"/>
              <w:right w:w="108" w:type="dxa"/>
            </w:tcMar>
            <w:hideMark/>
          </w:tcPr>
          <w:p w:rsidR="00000000" w:rsidRDefault="006C6BF9">
            <w:pPr>
              <w:jc w:val="center"/>
              <w:rPr>
                <w:rFonts w:eastAsia="Times New Roman"/>
              </w:rPr>
            </w:pPr>
            <w:r>
              <w:rPr>
                <w:rFonts w:eastAsia="Times New Roman"/>
              </w:rPr>
              <w:t>1</w:t>
            </w:r>
          </w:p>
        </w:tc>
        <w:tc>
          <w:tcPr>
            <w:tcW w:w="0" w:type="auto"/>
            <w:tcMar>
              <w:top w:w="108" w:type="dxa"/>
              <w:left w:w="108" w:type="dxa"/>
              <w:bottom w:w="108" w:type="dxa"/>
              <w:right w:w="108" w:type="dxa"/>
            </w:tcMar>
            <w:hideMark/>
          </w:tcPr>
          <w:p w:rsidR="00000000" w:rsidRDefault="006C6BF9">
            <w:pPr>
              <w:jc w:val="center"/>
              <w:rPr>
                <w:rFonts w:eastAsia="Times New Roman"/>
              </w:rPr>
            </w:pPr>
            <w:r>
              <w:rPr>
                <w:rFonts w:eastAsia="Times New Roman"/>
              </w:rPr>
              <w:t>15%</w:t>
            </w:r>
          </w:p>
        </w:tc>
      </w:tr>
      <w:tr w:rsidR="00000000">
        <w:trPr>
          <w:divId w:val="15157355"/>
          <w:tblCellSpacing w:w="15" w:type="dxa"/>
        </w:trPr>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Final Exam</w:t>
            </w:r>
          </w:p>
        </w:tc>
        <w:tc>
          <w:tcPr>
            <w:tcW w:w="0" w:type="auto"/>
            <w:tcMar>
              <w:top w:w="108" w:type="dxa"/>
              <w:left w:w="108" w:type="dxa"/>
              <w:bottom w:w="108" w:type="dxa"/>
              <w:right w:w="108" w:type="dxa"/>
            </w:tcMar>
            <w:hideMark/>
          </w:tcPr>
          <w:p w:rsidR="00000000" w:rsidRDefault="006C6BF9">
            <w:pPr>
              <w:jc w:val="center"/>
              <w:rPr>
                <w:rFonts w:eastAsia="Times New Roman"/>
              </w:rPr>
            </w:pPr>
            <w:r>
              <w:rPr>
                <w:rFonts w:eastAsia="Times New Roman"/>
              </w:rPr>
              <w:t>1</w:t>
            </w:r>
          </w:p>
        </w:tc>
        <w:tc>
          <w:tcPr>
            <w:tcW w:w="0" w:type="auto"/>
            <w:tcMar>
              <w:top w:w="108" w:type="dxa"/>
              <w:left w:w="108" w:type="dxa"/>
              <w:bottom w:w="108" w:type="dxa"/>
              <w:right w:w="108" w:type="dxa"/>
            </w:tcMar>
            <w:hideMark/>
          </w:tcPr>
          <w:p w:rsidR="00000000" w:rsidRDefault="006C6BF9">
            <w:pPr>
              <w:jc w:val="center"/>
              <w:rPr>
                <w:rFonts w:eastAsia="Times New Roman"/>
              </w:rPr>
            </w:pPr>
            <w:r>
              <w:rPr>
                <w:rFonts w:eastAsia="Times New Roman"/>
              </w:rPr>
              <w:t xml:space="preserve">20% </w:t>
            </w:r>
          </w:p>
        </w:tc>
      </w:tr>
    </w:tbl>
    <w:p w:rsidR="00000000" w:rsidRDefault="006C6BF9">
      <w:pPr>
        <w:pStyle w:val="NormalWeb"/>
        <w:divId w:val="15157355"/>
      </w:pPr>
      <w:r>
        <w:t xml:space="preserve">Your final grade will be based on this scale: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1"/>
        <w:gridCol w:w="1754"/>
      </w:tblGrid>
      <w:tr w:rsidR="00000000">
        <w:trPr>
          <w:divId w:val="15157355"/>
          <w:tblHeader/>
          <w:tblCellSpacing w:w="15" w:type="dxa"/>
        </w:trPr>
        <w:tc>
          <w:tcPr>
            <w:tcW w:w="0" w:type="auto"/>
            <w:gridSpan w:val="2"/>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6C6BF9">
            <w:pPr>
              <w:jc w:val="center"/>
              <w:rPr>
                <w:rFonts w:eastAsia="Times New Roman"/>
                <w:b/>
                <w:bCs/>
              </w:rPr>
            </w:pPr>
            <w:r>
              <w:rPr>
                <w:rFonts w:eastAsia="Times New Roman"/>
                <w:b/>
                <w:bCs/>
              </w:rPr>
              <w:t>Grading Scale</w:t>
            </w:r>
          </w:p>
        </w:tc>
      </w:tr>
      <w:tr w:rsidR="00000000">
        <w:trPr>
          <w:divId w:val="15157355"/>
          <w:tblCellSpacing w:w="15" w:type="dxa"/>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6C6BF9">
            <w:pPr>
              <w:jc w:val="center"/>
              <w:rPr>
                <w:rFonts w:eastAsia="Times New Roman"/>
                <w:b/>
                <w:bCs/>
              </w:rPr>
            </w:pPr>
            <w:r>
              <w:rPr>
                <w:rFonts w:eastAsia="Times New Roman"/>
                <w:b/>
                <w:bCs/>
              </w:rPr>
              <w:t>A</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95%–100%</w:t>
            </w:r>
          </w:p>
        </w:tc>
      </w:tr>
      <w:tr w:rsidR="00000000">
        <w:trPr>
          <w:divId w:val="15157355"/>
          <w:tblCellSpacing w:w="15" w:type="dxa"/>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6C6BF9">
            <w:pPr>
              <w:jc w:val="center"/>
              <w:rPr>
                <w:rFonts w:eastAsia="Times New Roman"/>
                <w:b/>
                <w:bCs/>
              </w:rPr>
            </w:pPr>
            <w:r>
              <w:rPr>
                <w:rFonts w:eastAsia="Times New Roman"/>
                <w:b/>
                <w:bCs/>
              </w:rPr>
              <w:t>A−</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90%–94%</w:t>
            </w:r>
          </w:p>
        </w:tc>
      </w:tr>
      <w:tr w:rsidR="00000000">
        <w:trPr>
          <w:divId w:val="15157355"/>
          <w:tblCellSpacing w:w="15" w:type="dxa"/>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6C6BF9">
            <w:pPr>
              <w:jc w:val="center"/>
              <w:rPr>
                <w:rFonts w:eastAsia="Times New Roman"/>
                <w:b/>
                <w:bCs/>
              </w:rPr>
            </w:pPr>
            <w:r>
              <w:rPr>
                <w:rFonts w:eastAsia="Times New Roman"/>
                <w:b/>
                <w:bCs/>
              </w:rPr>
              <w:t>B+</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87%–89%</w:t>
            </w:r>
          </w:p>
        </w:tc>
      </w:tr>
      <w:tr w:rsidR="00000000">
        <w:trPr>
          <w:divId w:val="15157355"/>
          <w:tblCellSpacing w:w="15" w:type="dxa"/>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6C6BF9">
            <w:pPr>
              <w:jc w:val="center"/>
              <w:rPr>
                <w:rFonts w:eastAsia="Times New Roman"/>
                <w:b/>
                <w:bCs/>
              </w:rPr>
            </w:pPr>
            <w:r>
              <w:rPr>
                <w:rFonts w:eastAsia="Times New Roman"/>
                <w:b/>
                <w:bCs/>
              </w:rPr>
              <w:t>B</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83%–86%</w:t>
            </w:r>
          </w:p>
        </w:tc>
      </w:tr>
      <w:tr w:rsidR="00000000">
        <w:trPr>
          <w:divId w:val="15157355"/>
          <w:tblCellSpacing w:w="15" w:type="dxa"/>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6C6BF9">
            <w:pPr>
              <w:jc w:val="center"/>
              <w:rPr>
                <w:rFonts w:eastAsia="Times New Roman"/>
                <w:b/>
                <w:bCs/>
              </w:rPr>
            </w:pPr>
            <w:r>
              <w:rPr>
                <w:rFonts w:eastAsia="Times New Roman"/>
                <w:b/>
                <w:bCs/>
              </w:rPr>
              <w:t>B−</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80%–82%</w:t>
            </w:r>
          </w:p>
        </w:tc>
      </w:tr>
      <w:tr w:rsidR="00000000">
        <w:trPr>
          <w:divId w:val="15157355"/>
          <w:tblCellSpacing w:w="15" w:type="dxa"/>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6C6BF9">
            <w:pPr>
              <w:jc w:val="center"/>
              <w:rPr>
                <w:rFonts w:eastAsia="Times New Roman"/>
                <w:b/>
                <w:bCs/>
              </w:rPr>
            </w:pPr>
            <w:r>
              <w:rPr>
                <w:rFonts w:eastAsia="Times New Roman"/>
                <w:b/>
                <w:bCs/>
              </w:rPr>
              <w:t>C+</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77%–</w:t>
            </w:r>
            <w:r>
              <w:rPr>
                <w:rFonts w:eastAsia="Times New Roman"/>
              </w:rPr>
              <w:t>79%</w:t>
            </w:r>
          </w:p>
        </w:tc>
      </w:tr>
      <w:tr w:rsidR="00000000">
        <w:trPr>
          <w:divId w:val="15157355"/>
          <w:tblCellSpacing w:w="15" w:type="dxa"/>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6C6BF9">
            <w:pPr>
              <w:jc w:val="center"/>
              <w:rPr>
                <w:rFonts w:eastAsia="Times New Roman"/>
                <w:b/>
                <w:bCs/>
              </w:rPr>
            </w:pPr>
            <w:r>
              <w:rPr>
                <w:rFonts w:eastAsia="Times New Roman"/>
                <w:b/>
                <w:bCs/>
              </w:rPr>
              <w:t>C</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73%–76%</w:t>
            </w:r>
          </w:p>
        </w:tc>
      </w:tr>
      <w:tr w:rsidR="00000000">
        <w:trPr>
          <w:divId w:val="15157355"/>
          <w:tblCellSpacing w:w="15" w:type="dxa"/>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6C6BF9">
            <w:pPr>
              <w:jc w:val="center"/>
              <w:rPr>
                <w:rFonts w:eastAsia="Times New Roman"/>
                <w:b/>
                <w:bCs/>
              </w:rPr>
            </w:pPr>
            <w:r>
              <w:rPr>
                <w:rFonts w:eastAsia="Times New Roman"/>
                <w:b/>
                <w:bCs/>
              </w:rPr>
              <w:t>C−</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70%–72%</w:t>
            </w:r>
          </w:p>
        </w:tc>
      </w:tr>
      <w:tr w:rsidR="00000000">
        <w:trPr>
          <w:divId w:val="15157355"/>
          <w:tblCellSpacing w:w="15" w:type="dxa"/>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6C6BF9">
            <w:pPr>
              <w:jc w:val="center"/>
              <w:rPr>
                <w:rFonts w:eastAsia="Times New Roman"/>
                <w:b/>
                <w:bCs/>
              </w:rPr>
            </w:pPr>
            <w:r>
              <w:rPr>
                <w:rFonts w:eastAsia="Times New Roman"/>
                <w:b/>
                <w:bCs/>
              </w:rPr>
              <w:t>D+</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67%–69%</w:t>
            </w:r>
          </w:p>
        </w:tc>
      </w:tr>
      <w:tr w:rsidR="00000000">
        <w:trPr>
          <w:divId w:val="15157355"/>
          <w:tblCellSpacing w:w="15" w:type="dxa"/>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6C6BF9">
            <w:pPr>
              <w:jc w:val="center"/>
              <w:rPr>
                <w:rFonts w:eastAsia="Times New Roman"/>
                <w:b/>
                <w:bCs/>
              </w:rPr>
            </w:pPr>
            <w:r>
              <w:rPr>
                <w:rFonts w:eastAsia="Times New Roman"/>
                <w:b/>
                <w:bCs/>
              </w:rPr>
              <w:t>D</w:t>
            </w:r>
          </w:p>
        </w:tc>
        <w:tc>
          <w:tcPr>
            <w:tcW w:w="0" w:type="auto"/>
            <w:tcMar>
              <w:top w:w="108" w:type="dxa"/>
              <w:left w:w="108" w:type="dxa"/>
              <w:bottom w:w="108" w:type="dxa"/>
              <w:right w:w="108" w:type="dxa"/>
            </w:tcMar>
            <w:hideMark/>
          </w:tcPr>
          <w:p w:rsidR="00000000" w:rsidRDefault="006C6BF9">
            <w:pPr>
              <w:pStyle w:val="NormalWeb"/>
            </w:pPr>
            <w:r>
              <w:t>63%–66%</w:t>
            </w:r>
          </w:p>
        </w:tc>
      </w:tr>
      <w:tr w:rsidR="00000000">
        <w:trPr>
          <w:divId w:val="15157355"/>
          <w:tblCellSpacing w:w="15" w:type="dxa"/>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6C6BF9">
            <w:pPr>
              <w:jc w:val="center"/>
              <w:rPr>
                <w:rFonts w:eastAsia="Times New Roman"/>
                <w:b/>
                <w:bCs/>
              </w:rPr>
            </w:pPr>
            <w:r>
              <w:rPr>
                <w:rFonts w:eastAsia="Times New Roman"/>
                <w:b/>
                <w:bCs/>
              </w:rPr>
              <w:t>D−</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60%–62%</w:t>
            </w:r>
          </w:p>
        </w:tc>
      </w:tr>
      <w:tr w:rsidR="00000000">
        <w:trPr>
          <w:divId w:val="15157355"/>
          <w:tblCellSpacing w:w="15" w:type="dxa"/>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6C6BF9">
            <w:pPr>
              <w:jc w:val="center"/>
              <w:rPr>
                <w:rFonts w:eastAsia="Times New Roman"/>
                <w:b/>
                <w:bCs/>
              </w:rPr>
            </w:pPr>
            <w:r>
              <w:rPr>
                <w:rFonts w:eastAsia="Times New Roman"/>
                <w:b/>
                <w:bCs/>
              </w:rPr>
              <w:t>E (fail)</w:t>
            </w:r>
          </w:p>
        </w:tc>
        <w:tc>
          <w:tcPr>
            <w:tcW w:w="0" w:type="auto"/>
            <w:tcMar>
              <w:top w:w="108" w:type="dxa"/>
              <w:left w:w="108" w:type="dxa"/>
              <w:bottom w:w="108" w:type="dxa"/>
              <w:right w:w="108" w:type="dxa"/>
            </w:tcMar>
            <w:hideMark/>
          </w:tcPr>
          <w:p w:rsidR="00000000" w:rsidRDefault="006C6BF9">
            <w:pPr>
              <w:rPr>
                <w:rFonts w:eastAsia="Times New Roman"/>
              </w:rPr>
            </w:pPr>
            <w:r>
              <w:rPr>
                <w:rFonts w:eastAsia="Times New Roman"/>
              </w:rPr>
              <w:t>59% and below</w:t>
            </w:r>
          </w:p>
        </w:tc>
      </w:tr>
    </w:tbl>
    <w:p w:rsidR="006C6BF9" w:rsidRDefault="006C6BF9">
      <w:pPr>
        <w:divId w:val="15157355"/>
        <w:rPr>
          <w:rFonts w:eastAsia="Times New Roman"/>
        </w:rPr>
      </w:pPr>
    </w:p>
    <w:sectPr w:rsidR="006C6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70B7B"/>
    <w:multiLevelType w:val="multilevel"/>
    <w:tmpl w:val="2560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2148BB"/>
    <w:multiLevelType w:val="multilevel"/>
    <w:tmpl w:val="D68C4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9B240C"/>
    <w:multiLevelType w:val="multilevel"/>
    <w:tmpl w:val="4A0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E4144D"/>
    <w:multiLevelType w:val="multilevel"/>
    <w:tmpl w:val="EBAA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E3D53"/>
    <w:rsid w:val="006C6BF9"/>
    <w:rsid w:val="006E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semiHidden/>
    <w:unhideWhenUsed/>
    <w:rsid w:val="006E3D53"/>
    <w:rPr>
      <w:rFonts w:ascii="Tahoma" w:hAnsi="Tahoma" w:cs="Tahoma"/>
      <w:sz w:val="16"/>
      <w:szCs w:val="16"/>
    </w:rPr>
  </w:style>
  <w:style w:type="character" w:customStyle="1" w:styleId="BalloonTextChar">
    <w:name w:val="Balloon Text Char"/>
    <w:basedOn w:val="DefaultParagraphFont"/>
    <w:link w:val="BalloonText"/>
    <w:uiPriority w:val="99"/>
    <w:semiHidden/>
    <w:rsid w:val="006E3D5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semiHidden/>
    <w:unhideWhenUsed/>
    <w:rsid w:val="006E3D53"/>
    <w:rPr>
      <w:rFonts w:ascii="Tahoma" w:hAnsi="Tahoma" w:cs="Tahoma"/>
      <w:sz w:val="16"/>
      <w:szCs w:val="16"/>
    </w:rPr>
  </w:style>
  <w:style w:type="character" w:customStyle="1" w:styleId="BalloonTextChar">
    <w:name w:val="Balloon Text Char"/>
    <w:basedOn w:val="DefaultParagraphFont"/>
    <w:link w:val="BalloonText"/>
    <w:uiPriority w:val="99"/>
    <w:semiHidden/>
    <w:rsid w:val="006E3D5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543433">
      <w:bodyDiv w:val="1"/>
      <w:marLeft w:val="0"/>
      <w:marRight w:val="0"/>
      <w:marTop w:val="0"/>
      <w:marBottom w:val="960"/>
      <w:divBdr>
        <w:top w:val="none" w:sz="0" w:space="0" w:color="auto"/>
        <w:left w:val="none" w:sz="0" w:space="0" w:color="auto"/>
        <w:bottom w:val="none" w:sz="0" w:space="0" w:color="auto"/>
        <w:right w:val="none" w:sz="0" w:space="0" w:color="auto"/>
      </w:divBdr>
      <w:divsChild>
        <w:div w:id="677384754">
          <w:marLeft w:val="0"/>
          <w:marRight w:val="0"/>
          <w:marTop w:val="0"/>
          <w:marBottom w:val="0"/>
          <w:divBdr>
            <w:top w:val="none" w:sz="0" w:space="0" w:color="auto"/>
            <w:left w:val="none" w:sz="0" w:space="0" w:color="auto"/>
            <w:bottom w:val="none" w:sz="0" w:space="0" w:color="auto"/>
            <w:right w:val="none" w:sz="0" w:space="0" w:color="auto"/>
          </w:divBdr>
          <w:divsChild>
            <w:div w:id="445657673">
              <w:marLeft w:val="0"/>
              <w:marRight w:val="0"/>
              <w:marTop w:val="0"/>
              <w:marBottom w:val="96"/>
              <w:divBdr>
                <w:top w:val="none" w:sz="0" w:space="0" w:color="auto"/>
                <w:left w:val="none" w:sz="0" w:space="0" w:color="auto"/>
                <w:bottom w:val="none" w:sz="0" w:space="0" w:color="auto"/>
                <w:right w:val="none" w:sz="0" w:space="0" w:color="auto"/>
              </w:divBdr>
            </w:div>
          </w:divsChild>
        </w:div>
        <w:div w:id="1107233633">
          <w:marLeft w:val="0"/>
          <w:marRight w:val="0"/>
          <w:marTop w:val="0"/>
          <w:marBottom w:val="0"/>
          <w:divBdr>
            <w:top w:val="none" w:sz="0" w:space="0" w:color="auto"/>
            <w:left w:val="none" w:sz="0" w:space="0" w:color="auto"/>
            <w:bottom w:val="none" w:sz="0" w:space="0" w:color="auto"/>
            <w:right w:val="none" w:sz="0" w:space="0" w:color="auto"/>
          </w:divBdr>
          <w:divsChild>
            <w:div w:id="151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file:///C:\Users\mjh235.BYU\Desktop\BYU%20Online%20Syllabi\00e_ApplicationAssignmentInstru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mjh235.BYU\Desktop\Media\Images\WelcomeObj.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1013</Words>
  <Characters>5778</Characters>
  <Application>Microsoft Office Word</Application>
  <DocSecurity>0</DocSecurity>
  <Lines>48</Lines>
  <Paragraphs>13</Paragraphs>
  <ScaleCrop>false</ScaleCrop>
  <Company>BYU DCE</Company>
  <LinksUpToDate>false</LinksUpToDate>
  <CharactersWithSpaces>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Joel Hemingway</dc:creator>
  <cp:lastModifiedBy>Joel Hemingway</cp:lastModifiedBy>
  <cp:revision>2</cp:revision>
  <dcterms:created xsi:type="dcterms:W3CDTF">2015-03-18T20:23:00Z</dcterms:created>
  <dcterms:modified xsi:type="dcterms:W3CDTF">2015-03-18T20:23:00Z</dcterms:modified>
</cp:coreProperties>
</file>