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A7CED">
      <w:pPr>
        <w:divId w:val="291134066"/>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A7CED">
      <w:pPr>
        <w:pStyle w:val="Heading1"/>
        <w:divId w:val="85541975"/>
        <w:rPr>
          <w:rFonts w:eastAsia="Times New Roman"/>
        </w:rPr>
      </w:pPr>
      <w:r>
        <w:rPr>
          <w:rFonts w:eastAsia="Times New Roman"/>
        </w:rPr>
        <w:t>Syllabus</w:t>
      </w:r>
    </w:p>
    <w:p w:rsidR="00000000" w:rsidRDefault="00FA7CED">
      <w:pPr>
        <w:pStyle w:val="Heading2"/>
        <w:divId w:val="85541975"/>
        <w:rPr>
          <w:rFonts w:eastAsia="Times New Roman"/>
        </w:rPr>
      </w:pPr>
      <w:r>
        <w:rPr>
          <w:rFonts w:eastAsia="Times New Roman"/>
        </w:rPr>
        <w:t xml:space="preserve">Welcome to BYU Online! </w:t>
      </w:r>
    </w:p>
    <w:p w:rsidR="00000000" w:rsidRDefault="00FA7CED">
      <w:pPr>
        <w:pStyle w:val="NormalWeb"/>
        <w:divId w:val="85541975"/>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webinars will allow for information sharing, special lectures, guest lectures and exa</w:t>
      </w:r>
      <w:r>
        <w:rPr>
          <w:rFonts w:eastAsia="Times New Roman"/>
        </w:rPr>
        <w:t xml:space="preserve">m reviews. You will be able to interact with your instructor and other members of the class. </w:t>
      </w:r>
    </w:p>
    <w:p w:rsidR="00000000" w:rsidRDefault="00FA7CED">
      <w:pPr>
        <w:numPr>
          <w:ilvl w:val="0"/>
          <w:numId w:val="1"/>
        </w:numPr>
        <w:spacing w:before="100" w:beforeAutospacing="1" w:after="100" w:afterAutospacing="1" w:line="348" w:lineRule="atLeast"/>
        <w:ind w:left="0"/>
        <w:divId w:val="85541975"/>
        <w:rPr>
          <w:rFonts w:eastAsia="Times New Roman"/>
        </w:rPr>
      </w:pPr>
      <w:r>
        <w:rPr>
          <w:rStyle w:val="Strong"/>
          <w:rFonts w:eastAsia="Times New Roman"/>
        </w:rPr>
        <w:t>Discussion Board</w:t>
      </w:r>
      <w:r>
        <w:rPr>
          <w:rFonts w:eastAsia="Times New Roman"/>
        </w:rPr>
        <w:t xml:space="preserve"> – This course contains a monitored course discussion board. This discussion board will allow you to post, respond to and evaluate various topics </w:t>
      </w:r>
      <w:r>
        <w:rPr>
          <w:rFonts w:eastAsia="Times New Roman"/>
        </w:rPr>
        <w:t xml:space="preserve">related to the course material. </w:t>
      </w:r>
    </w:p>
    <w:p w:rsidR="00000000" w:rsidRDefault="00FA7CED">
      <w:pPr>
        <w:pStyle w:val="NormalWeb"/>
        <w:divId w:val="85541975"/>
      </w:pPr>
      <w:r>
        <w:t>As part of the pilot, we will be asking you to help assess the success and effectiveness of this course, the faculty member, the course delivery and the course support. Your participation in this assessment effort will be c</w:t>
      </w:r>
      <w:r>
        <w:t>ritical to future opportunities for online learning at BYU. Please be prepared to provide meaningful feedback about your experience.</w:t>
      </w:r>
    </w:p>
    <w:p w:rsidR="00000000" w:rsidRDefault="00FA7CED">
      <w:pPr>
        <w:pStyle w:val="Heading2"/>
        <w:divId w:val="85541975"/>
        <w:rPr>
          <w:rFonts w:eastAsia="Times New Roman"/>
        </w:rPr>
      </w:pPr>
      <w:r>
        <w:rPr>
          <w:rFonts w:eastAsia="Times New Roman"/>
        </w:rPr>
        <w:t xml:space="preserve">Course TA Information </w:t>
      </w:r>
    </w:p>
    <w:p w:rsidR="00000000" w:rsidRDefault="00FA7CED">
      <w:pPr>
        <w:pStyle w:val="NormalWeb"/>
        <w:divId w:val="85541975"/>
      </w:pPr>
      <w:r>
        <w:t xml:space="preserve">Your TA for this course is </w:t>
      </w:r>
      <w:r>
        <w:rPr>
          <w:rStyle w:val="Strong"/>
        </w:rPr>
        <w:t>David Skanchy</w:t>
      </w:r>
      <w:r>
        <w:t>. Please contact your TA if you have any questions, run into</w:t>
      </w:r>
      <w:r>
        <w:t xml:space="preserve"> difficulties with the course, and to schedule checkpoints. </w:t>
      </w:r>
    </w:p>
    <w:p w:rsidR="00000000" w:rsidRDefault="00FA7CED">
      <w:pPr>
        <w:numPr>
          <w:ilvl w:val="0"/>
          <w:numId w:val="2"/>
        </w:numPr>
        <w:spacing w:before="100" w:beforeAutospacing="1" w:after="100" w:afterAutospacing="1" w:line="348" w:lineRule="atLeast"/>
        <w:ind w:left="0"/>
        <w:divId w:val="85541975"/>
        <w:rPr>
          <w:rFonts w:eastAsia="Times New Roman"/>
        </w:rPr>
      </w:pPr>
      <w:r>
        <w:rPr>
          <w:rFonts w:eastAsia="Times New Roman"/>
        </w:rPr>
        <w:t>David Skanchy</w:t>
      </w:r>
    </w:p>
    <w:p w:rsidR="00000000" w:rsidRDefault="00FA7CED">
      <w:pPr>
        <w:numPr>
          <w:ilvl w:val="0"/>
          <w:numId w:val="2"/>
        </w:numPr>
        <w:spacing w:before="100" w:beforeAutospacing="1" w:after="100" w:afterAutospacing="1" w:line="348" w:lineRule="atLeast"/>
        <w:ind w:left="0"/>
        <w:divId w:val="85541975"/>
        <w:rPr>
          <w:rFonts w:eastAsia="Times New Roman"/>
        </w:rPr>
      </w:pPr>
      <w:r>
        <w:rPr>
          <w:rFonts w:eastAsia="Times New Roman"/>
        </w:rPr>
        <w:t>ta_pdbio210@byu.edu</w:t>
      </w:r>
    </w:p>
    <w:p w:rsidR="00000000" w:rsidRDefault="00FA7CED">
      <w:pPr>
        <w:numPr>
          <w:ilvl w:val="0"/>
          <w:numId w:val="2"/>
        </w:numPr>
        <w:spacing w:before="100" w:beforeAutospacing="1" w:after="100" w:afterAutospacing="1" w:line="348" w:lineRule="atLeast"/>
        <w:ind w:left="0"/>
        <w:divId w:val="85541975"/>
        <w:rPr>
          <w:rFonts w:eastAsia="Times New Roman"/>
        </w:rPr>
      </w:pPr>
      <w:r>
        <w:rPr>
          <w:rFonts w:eastAsia="Times New Roman"/>
        </w:rPr>
        <w:t>801-422-2776</w:t>
      </w:r>
    </w:p>
    <w:p w:rsidR="00000000" w:rsidRDefault="00FA7CED">
      <w:pPr>
        <w:pStyle w:val="NormalWeb"/>
        <w:divId w:val="85541975"/>
      </w:pPr>
      <w:r>
        <w:t>and</w:t>
      </w:r>
    </w:p>
    <w:p w:rsidR="00000000" w:rsidRDefault="00FA7CED">
      <w:pPr>
        <w:numPr>
          <w:ilvl w:val="0"/>
          <w:numId w:val="3"/>
        </w:numPr>
        <w:spacing w:before="100" w:beforeAutospacing="1" w:after="100" w:afterAutospacing="1" w:line="348" w:lineRule="atLeast"/>
        <w:ind w:left="0"/>
        <w:divId w:val="85541975"/>
        <w:rPr>
          <w:rFonts w:eastAsia="Times New Roman"/>
        </w:rPr>
      </w:pPr>
      <w:r>
        <w:rPr>
          <w:rFonts w:eastAsia="Times New Roman"/>
        </w:rPr>
        <w:t>Heidi Jorgensen</w:t>
      </w:r>
    </w:p>
    <w:p w:rsidR="00000000" w:rsidRDefault="00FA7CED">
      <w:pPr>
        <w:numPr>
          <w:ilvl w:val="0"/>
          <w:numId w:val="3"/>
        </w:numPr>
        <w:spacing w:before="100" w:beforeAutospacing="1" w:after="100" w:afterAutospacing="1" w:line="348" w:lineRule="atLeast"/>
        <w:ind w:left="0"/>
        <w:divId w:val="85541975"/>
        <w:rPr>
          <w:rFonts w:eastAsia="Times New Roman"/>
        </w:rPr>
      </w:pPr>
      <w:hyperlink r:id="rId7" w:history="1">
        <w:r>
          <w:rPr>
            <w:rStyle w:val="Hyperlink"/>
            <w:rFonts w:eastAsia="Times New Roman"/>
          </w:rPr>
          <w:t>heidiplewe@gmail.com</w:t>
        </w:r>
      </w:hyperlink>
    </w:p>
    <w:p w:rsidR="00000000" w:rsidRDefault="00FA7CED">
      <w:pPr>
        <w:numPr>
          <w:ilvl w:val="0"/>
          <w:numId w:val="3"/>
        </w:numPr>
        <w:spacing w:before="100" w:beforeAutospacing="1" w:after="100" w:afterAutospacing="1" w:line="348" w:lineRule="atLeast"/>
        <w:ind w:left="0"/>
        <w:divId w:val="85541975"/>
        <w:rPr>
          <w:rFonts w:eastAsia="Times New Roman"/>
        </w:rPr>
      </w:pPr>
      <w:r>
        <w:rPr>
          <w:rFonts w:eastAsia="Times New Roman"/>
        </w:rPr>
        <w:t>618-567-2392</w:t>
      </w:r>
    </w:p>
    <w:p w:rsidR="00000000" w:rsidRDefault="00FA7CED">
      <w:pPr>
        <w:pStyle w:val="NormalWeb"/>
        <w:divId w:val="85541975"/>
      </w:pPr>
      <w:r>
        <w:t xml:space="preserve">Remember, your TA is your first line of contact, </w:t>
      </w:r>
      <w:r>
        <w:t>and will be able to help you with most issues that come up. He is looking forward to getting to know you!</w:t>
      </w:r>
    </w:p>
    <w:p w:rsidR="00000000" w:rsidRDefault="00FA7CED">
      <w:pPr>
        <w:pStyle w:val="Heading2"/>
        <w:divId w:val="85541975"/>
        <w:rPr>
          <w:rFonts w:eastAsia="Times New Roman"/>
        </w:rPr>
      </w:pPr>
      <w:r>
        <w:rPr>
          <w:rFonts w:eastAsia="Times New Roman"/>
        </w:rPr>
        <w:t>Course Overview</w:t>
      </w:r>
    </w:p>
    <w:p w:rsidR="00000000" w:rsidRDefault="00FA7CED">
      <w:pPr>
        <w:pStyle w:val="NormalWeb"/>
        <w:divId w:val="85541975"/>
      </w:pPr>
      <w:r>
        <w:t>You will learn, in quite some detail, the structural nature and significance of each of the major organ systems, and how each system carries out its unique role in the living organism. You will come to a greater appreciation of some of the clinical concern</w:t>
      </w:r>
      <w:r>
        <w:t>s in keeping your body alive and functioning well. You will also understand the procreation process and the miracle of life as a human develops from a single microscopic cell called the zygote. The result of this developmental process is a multicellular or</w:t>
      </w:r>
      <w:r>
        <w:t xml:space="preserve">ganism that has the ability to perform such marvelous physiological, physical, and mental feats as eating, running, thinking, and reasoning—and even comprehending PDBIO 210. </w:t>
      </w:r>
    </w:p>
    <w:p w:rsidR="00000000" w:rsidRDefault="00FA7CED">
      <w:pPr>
        <w:pStyle w:val="NormalWeb"/>
        <w:divId w:val="85541975"/>
      </w:pPr>
      <w:r>
        <w:t xml:space="preserve">You may be wondering how a laboratory experience for this science course will be </w:t>
      </w:r>
      <w:r>
        <w:t xml:space="preserve">fulfilled. We will do our best to present the material through video presentations, the Anatomy Laboratory Manual, and the </w:t>
      </w:r>
      <w:r>
        <w:rPr>
          <w:rStyle w:val="Emphasis"/>
        </w:rPr>
        <w:t>Human Anatomy</w:t>
      </w:r>
      <w:r>
        <w:t xml:space="preserve"> textbook in a manner that will help you learn it. With a front-row seat, you will have the opportunity of being instruc</w:t>
      </w:r>
      <w:r>
        <w:t xml:space="preserve">ted by a teaching assistant (TA) who will use models, charts, and human cadavers to help identify anatomical structure. As you study the body, you will discover its intricate design and come to a greater appreciation of it and what a marvelous creation it </w:t>
      </w:r>
      <w:r>
        <w:t xml:space="preserve">is. This course is designed so that your grade will reflect how much effort you put forth. </w:t>
      </w:r>
    </w:p>
    <w:p w:rsidR="00000000" w:rsidRDefault="00FA7CED">
      <w:pPr>
        <w:pStyle w:val="NormalWeb"/>
        <w:divId w:val="85541975"/>
      </w:pPr>
      <w:r>
        <w:t xml:space="preserve">There are three steps that will help you learn the material and prepare to take the exams: </w:t>
      </w:r>
    </w:p>
    <w:p w:rsidR="00000000" w:rsidRDefault="00FA7CED">
      <w:pPr>
        <w:numPr>
          <w:ilvl w:val="0"/>
          <w:numId w:val="4"/>
        </w:numPr>
        <w:spacing w:before="100" w:beforeAutospacing="1" w:after="100" w:afterAutospacing="1" w:line="348" w:lineRule="atLeast"/>
        <w:ind w:left="0"/>
        <w:divId w:val="85541975"/>
        <w:rPr>
          <w:rFonts w:eastAsia="Times New Roman"/>
        </w:rPr>
      </w:pPr>
      <w:r>
        <w:rPr>
          <w:rFonts w:eastAsia="Times New Roman"/>
        </w:rPr>
        <w:t>Follow the instructions at the beginning of each lesson, paying particul</w:t>
      </w:r>
      <w:r>
        <w:rPr>
          <w:rFonts w:eastAsia="Times New Roman"/>
        </w:rPr>
        <w:t xml:space="preserve">ar attention to the objectives. </w:t>
      </w:r>
    </w:p>
    <w:p w:rsidR="00000000" w:rsidRDefault="00FA7CED">
      <w:pPr>
        <w:numPr>
          <w:ilvl w:val="0"/>
          <w:numId w:val="4"/>
        </w:numPr>
        <w:spacing w:before="100" w:beforeAutospacing="1" w:after="100" w:afterAutospacing="1" w:line="348" w:lineRule="atLeast"/>
        <w:ind w:left="0"/>
        <w:divId w:val="85541975"/>
        <w:rPr>
          <w:rFonts w:eastAsia="Times New Roman"/>
        </w:rPr>
      </w:pPr>
      <w:r>
        <w:rPr>
          <w:rFonts w:eastAsia="Times New Roman"/>
        </w:rPr>
        <w:t xml:space="preserve">Read the assigned chapters in both the textbook and laboratory manual and view the video presentations. </w:t>
      </w:r>
    </w:p>
    <w:p w:rsidR="00000000" w:rsidRDefault="00FA7CED">
      <w:pPr>
        <w:numPr>
          <w:ilvl w:val="0"/>
          <w:numId w:val="4"/>
        </w:numPr>
        <w:spacing w:before="100" w:beforeAutospacing="1" w:after="100" w:afterAutospacing="1" w:line="348" w:lineRule="atLeast"/>
        <w:ind w:left="0"/>
        <w:divId w:val="85541975"/>
        <w:rPr>
          <w:rFonts w:eastAsia="Times New Roman"/>
        </w:rPr>
      </w:pPr>
      <w:r>
        <w:rPr>
          <w:rFonts w:eastAsia="Times New Roman"/>
        </w:rPr>
        <w:t xml:space="preserve">Review the material by completing the Discussion Material, the Self Check questions, and the quizzes. </w:t>
      </w:r>
    </w:p>
    <w:p w:rsidR="00000000" w:rsidRDefault="00FA7CED">
      <w:pPr>
        <w:pStyle w:val="Heading2"/>
        <w:divId w:val="85541975"/>
        <w:rPr>
          <w:rFonts w:eastAsia="Times New Roman"/>
        </w:rPr>
      </w:pPr>
      <w:r>
        <w:rPr>
          <w:rFonts w:eastAsia="Times New Roman"/>
        </w:rPr>
        <w:t>BYU Course Outc</w:t>
      </w:r>
      <w:r>
        <w:rPr>
          <w:rFonts w:eastAsia="Times New Roman"/>
        </w:rPr>
        <w:t>omes</w:t>
      </w:r>
    </w:p>
    <w:p w:rsidR="00000000" w:rsidRDefault="00FA7CED">
      <w:pPr>
        <w:numPr>
          <w:ilvl w:val="0"/>
          <w:numId w:val="5"/>
        </w:numPr>
        <w:spacing w:before="100" w:beforeAutospacing="1" w:after="100" w:afterAutospacing="1" w:line="348" w:lineRule="atLeast"/>
        <w:ind w:left="0"/>
        <w:divId w:val="85541975"/>
        <w:rPr>
          <w:rFonts w:eastAsia="Times New Roman"/>
        </w:rPr>
      </w:pPr>
      <w:r>
        <w:rPr>
          <w:rStyle w:val="Strong"/>
          <w:rFonts w:eastAsia="Times New Roman"/>
        </w:rPr>
        <w:t>Tissue Structures</w:t>
      </w:r>
      <w:r>
        <w:rPr>
          <w:rFonts w:eastAsia="Times New Roman"/>
        </w:rPr>
        <w:t xml:space="preserve"> </w:t>
      </w:r>
    </w:p>
    <w:p w:rsidR="00000000" w:rsidRDefault="00FA7CED">
      <w:pPr>
        <w:pStyle w:val="NormalWeb"/>
        <w:divId w:val="85541975"/>
      </w:pPr>
      <w:r>
        <w:t>Students will demonstrate an understanding of the basic microscopic underpinnings of tissue structures and be able to name them.</w:t>
      </w:r>
    </w:p>
    <w:p w:rsidR="00000000" w:rsidRDefault="00FA7CED">
      <w:pPr>
        <w:numPr>
          <w:ilvl w:val="0"/>
          <w:numId w:val="5"/>
        </w:numPr>
        <w:spacing w:before="100" w:beforeAutospacing="1" w:after="100" w:afterAutospacing="1" w:line="348" w:lineRule="atLeast"/>
        <w:ind w:left="0"/>
        <w:divId w:val="85541975"/>
        <w:rPr>
          <w:rFonts w:eastAsia="Times New Roman"/>
        </w:rPr>
      </w:pPr>
      <w:r>
        <w:rPr>
          <w:rStyle w:val="Strong"/>
          <w:rFonts w:eastAsia="Times New Roman"/>
        </w:rPr>
        <w:t>The Human Body</w:t>
      </w:r>
    </w:p>
    <w:p w:rsidR="00000000" w:rsidRDefault="00FA7CED">
      <w:pPr>
        <w:pStyle w:val="NormalWeb"/>
        <w:divId w:val="85541975"/>
      </w:pPr>
      <w:r>
        <w:t>Students will demonstrate a greater understanding and appreciation for the human body, i</w:t>
      </w:r>
      <w:r>
        <w:t>t’s overall design and connections to other living organisms, and what a marvelous creation it is.</w:t>
      </w:r>
    </w:p>
    <w:p w:rsidR="00000000" w:rsidRDefault="00FA7CED">
      <w:pPr>
        <w:pStyle w:val="Heading2"/>
        <w:divId w:val="85541975"/>
        <w:rPr>
          <w:rFonts w:eastAsia="Times New Roman"/>
        </w:rPr>
      </w:pPr>
      <w:r>
        <w:rPr>
          <w:rFonts w:eastAsia="Times New Roman"/>
        </w:rPr>
        <w:t>Course Learning Outcomes</w:t>
      </w:r>
    </w:p>
    <w:p w:rsidR="00000000" w:rsidRDefault="00FA7CED">
      <w:pPr>
        <w:numPr>
          <w:ilvl w:val="0"/>
          <w:numId w:val="6"/>
        </w:numPr>
        <w:spacing w:before="100" w:beforeAutospacing="1" w:after="100" w:afterAutospacing="1" w:line="348" w:lineRule="atLeast"/>
        <w:ind w:left="0"/>
        <w:divId w:val="85541975"/>
        <w:rPr>
          <w:rFonts w:eastAsia="Times New Roman"/>
        </w:rPr>
      </w:pPr>
      <w:r>
        <w:rPr>
          <w:rStyle w:val="Strong"/>
          <w:rFonts w:eastAsia="Times New Roman"/>
        </w:rPr>
        <w:t>Overall Goal</w:t>
      </w:r>
    </w:p>
    <w:p w:rsidR="00000000" w:rsidRDefault="00FA7CED">
      <w:pPr>
        <w:pStyle w:val="NormalWeb"/>
        <w:divId w:val="85541975"/>
      </w:pPr>
      <w:r>
        <w:t xml:space="preserve">Students will develop a greater understanding and appreciation for the human body. As the anatomical structures of the </w:t>
      </w:r>
      <w:r>
        <w:t>body are studied, the students will discover the body’s design and come to a greater appreciation of it and what a marvelous creation it is.</w:t>
      </w:r>
    </w:p>
    <w:p w:rsidR="00000000" w:rsidRDefault="00FA7CED">
      <w:pPr>
        <w:numPr>
          <w:ilvl w:val="0"/>
          <w:numId w:val="6"/>
        </w:numPr>
        <w:spacing w:before="100" w:beforeAutospacing="1" w:after="100" w:afterAutospacing="1" w:line="348" w:lineRule="atLeast"/>
        <w:ind w:left="0"/>
        <w:divId w:val="85541975"/>
        <w:rPr>
          <w:rFonts w:eastAsia="Times New Roman"/>
        </w:rPr>
      </w:pPr>
      <w:r>
        <w:rPr>
          <w:rStyle w:val="Strong"/>
          <w:rFonts w:eastAsia="Times New Roman"/>
        </w:rPr>
        <w:t>Learning Outcomes</w:t>
      </w:r>
    </w:p>
    <w:p w:rsidR="00000000" w:rsidRDefault="00FA7CED">
      <w:pPr>
        <w:numPr>
          <w:ilvl w:val="1"/>
          <w:numId w:val="7"/>
        </w:numPr>
        <w:spacing w:before="100" w:beforeAutospacing="1" w:after="100" w:afterAutospacing="1" w:line="348" w:lineRule="atLeast"/>
        <w:ind w:hanging="360"/>
        <w:divId w:val="85541975"/>
        <w:rPr>
          <w:rFonts w:eastAsia="Times New Roman"/>
        </w:rPr>
      </w:pPr>
      <w:r>
        <w:rPr>
          <w:rFonts w:eastAsia="Times New Roman"/>
        </w:rPr>
        <w:t>Students will be able to demonstrate their knowledge of human anatomy by proficient performance o</w:t>
      </w:r>
      <w:r>
        <w:rPr>
          <w:rFonts w:eastAsia="Times New Roman"/>
        </w:rPr>
        <w:t>n exams that test the names, location, and function of each of the body’s organs and organ systems, thereby preparing them for success in future courses and for success in health-related professions.</w:t>
      </w:r>
    </w:p>
    <w:p w:rsidR="00000000" w:rsidRDefault="00FA7CED">
      <w:pPr>
        <w:numPr>
          <w:ilvl w:val="1"/>
          <w:numId w:val="7"/>
        </w:numPr>
        <w:spacing w:before="100" w:beforeAutospacing="1" w:after="100" w:afterAutospacing="1" w:line="348" w:lineRule="atLeast"/>
        <w:ind w:hanging="360"/>
        <w:divId w:val="85541975"/>
        <w:rPr>
          <w:rFonts w:eastAsia="Times New Roman"/>
        </w:rPr>
      </w:pPr>
      <w:r>
        <w:rPr>
          <w:rFonts w:eastAsia="Times New Roman"/>
        </w:rPr>
        <w:t xml:space="preserve">Students will demonstrate an understanding of the basic </w:t>
      </w:r>
      <w:r>
        <w:rPr>
          <w:rFonts w:eastAsia="Times New Roman"/>
        </w:rPr>
        <w:t>microscopic underpinnings of tissue structures and be able to name them.</w:t>
      </w:r>
    </w:p>
    <w:p w:rsidR="00000000" w:rsidRDefault="00FA7CED">
      <w:pPr>
        <w:numPr>
          <w:ilvl w:val="1"/>
          <w:numId w:val="7"/>
        </w:numPr>
        <w:spacing w:before="100" w:beforeAutospacing="1" w:after="100" w:afterAutospacing="1" w:line="348" w:lineRule="atLeast"/>
        <w:ind w:hanging="360"/>
        <w:divId w:val="85541975"/>
        <w:rPr>
          <w:rFonts w:eastAsia="Times New Roman"/>
        </w:rPr>
      </w:pPr>
      <w:r>
        <w:rPr>
          <w:rFonts w:eastAsia="Times New Roman"/>
        </w:rPr>
        <w:t>Students will demonstrate a greater understanding and appreciation for the human body, its overall design and connections to other living organisms, and what a marvelous creation it i</w:t>
      </w:r>
      <w:r>
        <w:rPr>
          <w:rFonts w:eastAsia="Times New Roman"/>
        </w:rPr>
        <w:t>s.</w:t>
      </w:r>
    </w:p>
    <w:p w:rsidR="00000000" w:rsidRDefault="00FA7CED">
      <w:pPr>
        <w:numPr>
          <w:ilvl w:val="1"/>
          <w:numId w:val="7"/>
        </w:numPr>
        <w:spacing w:before="100" w:beforeAutospacing="1" w:after="100" w:afterAutospacing="1" w:line="348" w:lineRule="atLeast"/>
        <w:ind w:hanging="360"/>
        <w:divId w:val="85541975"/>
        <w:rPr>
          <w:rFonts w:eastAsia="Times New Roman"/>
        </w:rPr>
      </w:pPr>
      <w:r>
        <w:rPr>
          <w:rFonts w:eastAsia="Times New Roman"/>
        </w:rPr>
        <w:t>Students will be able to list the name, location, and function of each of the body’s organs and organ systems.</w:t>
      </w:r>
    </w:p>
    <w:p w:rsidR="00000000" w:rsidRDefault="00FA7CED">
      <w:pPr>
        <w:pStyle w:val="Heading2"/>
        <w:divId w:val="85541975"/>
        <w:rPr>
          <w:rFonts w:eastAsia="Times New Roman"/>
        </w:rPr>
      </w:pPr>
      <w:r>
        <w:rPr>
          <w:rFonts w:eastAsia="Times New Roman"/>
        </w:rPr>
        <w:t>Course Materials</w:t>
      </w:r>
    </w:p>
    <w:p w:rsidR="00000000" w:rsidRDefault="00FA7CED">
      <w:pPr>
        <w:pStyle w:val="Heading3"/>
        <w:divId w:val="85541975"/>
        <w:rPr>
          <w:rFonts w:eastAsia="Times New Roman"/>
        </w:rPr>
      </w:pPr>
      <w:r>
        <w:rPr>
          <w:rFonts w:eastAsia="Times New Roman"/>
        </w:rPr>
        <w:t>Textbook and Access Code</w:t>
      </w:r>
    </w:p>
    <w:p w:rsidR="00000000" w:rsidRDefault="00FA7CED">
      <w:pPr>
        <w:pStyle w:val="NormalWeb"/>
        <w:divId w:val="85541975"/>
      </w:pPr>
      <w:r>
        <w:t xml:space="preserve">You will need to purchase access to </w:t>
      </w:r>
      <w:hyperlink r:id="rId8" w:tgtFrame="_blank" w:history="1">
        <w:r>
          <w:rPr>
            <w:rStyle w:val="Hyperlink"/>
          </w:rPr>
          <w:t>ConnectPlus</w:t>
        </w:r>
      </w:hyperlink>
      <w:r>
        <w:t xml:space="preserve"> and a version of the textbook </w:t>
      </w:r>
      <w:r>
        <w:rPr>
          <w:rStyle w:val="Emphasis"/>
        </w:rPr>
        <w:t>Human Anatomy</w:t>
      </w:r>
      <w:r>
        <w:t>, 4th edition (2014), by Michael McKinley, Valerie O'Loughlin, Ronald Harris, Elizabeth Pennefathe</w:t>
      </w:r>
      <w:r>
        <w:t xml:space="preserve">r-O'Brien McKinley.  </w:t>
      </w:r>
    </w:p>
    <w:p w:rsidR="00000000" w:rsidRDefault="00FA7CED">
      <w:pPr>
        <w:pStyle w:val="NormalWeb"/>
        <w:divId w:val="85541975"/>
      </w:pPr>
      <w:r>
        <w:t xml:space="preserve">Please be aware that earlier textbook editions (or a different textbook altogether) </w:t>
      </w:r>
      <w:r>
        <w:rPr>
          <w:rStyle w:val="Strong"/>
          <w:i/>
          <w:iCs/>
        </w:rPr>
        <w:t>will not</w:t>
      </w:r>
      <w:r>
        <w:t xml:space="preserve"> match this course. Should you chose to use one, you will need to buy Connect Plus/APR access for the 4th edition </w:t>
      </w:r>
      <w:r>
        <w:rPr>
          <w:rStyle w:val="Strong"/>
          <w:i/>
          <w:iCs/>
        </w:rPr>
        <w:t>in addition</w:t>
      </w:r>
      <w:r>
        <w:t xml:space="preserve"> to it. </w:t>
      </w:r>
    </w:p>
    <w:p w:rsidR="00000000" w:rsidRDefault="00FA7CED">
      <w:pPr>
        <w:pStyle w:val="NormalWeb"/>
        <w:divId w:val="85541975"/>
      </w:pPr>
      <w:r>
        <w:t>You have</w:t>
      </w:r>
      <w:r>
        <w:t xml:space="preserve"> a number of options from which to choose:</w:t>
      </w:r>
    </w:p>
    <w:p w:rsidR="00000000" w:rsidRDefault="00FA7CED">
      <w:pPr>
        <w:numPr>
          <w:ilvl w:val="0"/>
          <w:numId w:val="8"/>
        </w:numPr>
        <w:spacing w:before="100" w:beforeAutospacing="1" w:after="100" w:afterAutospacing="1" w:line="348" w:lineRule="atLeast"/>
        <w:ind w:left="0"/>
        <w:divId w:val="85541975"/>
        <w:rPr>
          <w:rFonts w:eastAsia="Times New Roman"/>
        </w:rPr>
      </w:pPr>
      <w:r>
        <w:rPr>
          <w:rStyle w:val="Strong"/>
          <w:rFonts w:eastAsia="Times New Roman"/>
        </w:rPr>
        <w:t>E-book with access code:</w:t>
      </w:r>
      <w:r>
        <w:rPr>
          <w:rFonts w:eastAsia="Times New Roman"/>
        </w:rPr>
        <w:t xml:space="preserve"> ConnectPlus Code for </w:t>
      </w:r>
      <w:r>
        <w:rPr>
          <w:rStyle w:val="Emphasis"/>
          <w:rFonts w:eastAsia="Times New Roman"/>
        </w:rPr>
        <w:t>Human Anatomy</w:t>
      </w:r>
      <w:r>
        <w:rPr>
          <w:rFonts w:eastAsia="Times New Roman"/>
        </w:rPr>
        <w:t xml:space="preserve">, 4th edition, by Michael McKinley and Valerie Dean O'Loughlin; McGraw-Hill (2014). (ISBN 9781259333989; 1-year access) </w:t>
      </w:r>
    </w:p>
    <w:p w:rsidR="00000000" w:rsidRDefault="00FA7CED">
      <w:pPr>
        <w:numPr>
          <w:ilvl w:val="1"/>
          <w:numId w:val="8"/>
        </w:numPr>
        <w:spacing w:before="100" w:beforeAutospacing="1" w:after="100" w:afterAutospacing="1" w:line="348" w:lineRule="atLeast"/>
        <w:ind w:left="0"/>
        <w:divId w:val="85541975"/>
        <w:rPr>
          <w:rFonts w:eastAsia="Times New Roman"/>
        </w:rPr>
      </w:pPr>
      <w:r>
        <w:rPr>
          <w:rStyle w:val="Emphasis"/>
          <w:rFonts w:eastAsia="Times New Roman"/>
          <w:b/>
          <w:bCs/>
        </w:rPr>
        <w:t xml:space="preserve">Note: </w:t>
      </w:r>
      <w:r>
        <w:rPr>
          <w:rFonts w:eastAsia="Times New Roman"/>
        </w:rPr>
        <w:t xml:space="preserve">When you buy the access code, you get access to the e-book along with it. </w:t>
      </w:r>
    </w:p>
    <w:p w:rsidR="00000000" w:rsidRDefault="00FA7CED">
      <w:pPr>
        <w:numPr>
          <w:ilvl w:val="0"/>
          <w:numId w:val="8"/>
        </w:numPr>
        <w:spacing w:before="100" w:beforeAutospacing="1" w:after="100" w:afterAutospacing="1" w:line="348" w:lineRule="atLeast"/>
        <w:ind w:left="0"/>
        <w:divId w:val="85541975"/>
        <w:rPr>
          <w:rFonts w:eastAsia="Times New Roman"/>
        </w:rPr>
      </w:pPr>
      <w:r>
        <w:rPr>
          <w:rStyle w:val="Strong"/>
          <w:rFonts w:eastAsia="Times New Roman"/>
        </w:rPr>
        <w:t>Loose-leaf with access code and e-book:</w:t>
      </w:r>
      <w:r>
        <w:rPr>
          <w:rFonts w:eastAsia="Times New Roman"/>
        </w:rPr>
        <w:t xml:space="preserve"> </w:t>
      </w:r>
      <w:r>
        <w:rPr>
          <w:rStyle w:val="Emphasis"/>
          <w:rFonts w:eastAsia="Times New Roman"/>
        </w:rPr>
        <w:t>Human Anatomy</w:t>
      </w:r>
      <w:r>
        <w:rPr>
          <w:rFonts w:eastAsia="Times New Roman"/>
        </w:rPr>
        <w:t xml:space="preserve"> (with ConnectPlus access code), 4th edition, by Michael McKinley and Valerie Dean O'Loughlin; McGraw-Hill (2014). (ISBN 9781259</w:t>
      </w:r>
      <w:r>
        <w:rPr>
          <w:rFonts w:eastAsia="Times New Roman"/>
        </w:rPr>
        <w:t xml:space="preserve">334023; 1-year access) </w:t>
      </w:r>
    </w:p>
    <w:p w:rsidR="00000000" w:rsidRDefault="00FA7CED">
      <w:pPr>
        <w:pStyle w:val="NormalWeb"/>
        <w:numPr>
          <w:ilvl w:val="0"/>
          <w:numId w:val="8"/>
        </w:numPr>
        <w:ind w:left="0"/>
        <w:divId w:val="85541975"/>
      </w:pPr>
      <w:r>
        <w:rPr>
          <w:rStyle w:val="Strong"/>
        </w:rPr>
        <w:t xml:space="preserve">Hardcover with access code and e-book: </w:t>
      </w:r>
      <w:r>
        <w:rPr>
          <w:rStyle w:val="Emphasis"/>
        </w:rPr>
        <w:t>Human Anatomy,</w:t>
      </w:r>
      <w:r>
        <w:t xml:space="preserve"> 4th edition, by Michael McKinley and Valerie Dean O'Loughlin; McGraw-Hill (2014). (ISBN 9781259334016; 1-year access)</w:t>
      </w:r>
    </w:p>
    <w:p w:rsidR="00000000" w:rsidRDefault="00FA7CED">
      <w:pPr>
        <w:pStyle w:val="NormalWeb"/>
        <w:divId w:val="85541975"/>
      </w:pPr>
      <w:r>
        <w:t>As you read each chapter, pay particular attention to the bo</w:t>
      </w:r>
      <w:r>
        <w:t>ld-face headings and descriptive terms. Use the lesson introductions to help you focus on the salient features of each lesson and also to help assess your comprehension. You will learn that anatomy has its own beautiful language based on Latin and Greek de</w:t>
      </w:r>
      <w:r>
        <w:t>scriptive terms. Refer to the glossary in your textbook or lab manual to assist with some of the more difficult terms. Note that all organs have a functional purpose and are interdependent. Also note that levels of organization exist in the body—a hierarch</w:t>
      </w:r>
      <w:r>
        <w:t xml:space="preserve">y from submicroscopic molecular particles to the much larger cellular, tissue, and organ structures. </w:t>
      </w:r>
    </w:p>
    <w:p w:rsidR="00000000" w:rsidRDefault="00FA7CED">
      <w:pPr>
        <w:pStyle w:val="NormalWeb"/>
        <w:divId w:val="85541975"/>
      </w:pPr>
      <w:r>
        <w:rPr>
          <w:rStyle w:val="Strong"/>
        </w:rPr>
        <w:t>MyContent Course Code:</w:t>
      </w:r>
      <w:r>
        <w:t xml:space="preserve"> ghWM3</w:t>
      </w:r>
    </w:p>
    <w:p w:rsidR="00000000" w:rsidRDefault="00FA7CED">
      <w:pPr>
        <w:pStyle w:val="Heading3"/>
        <w:divId w:val="85541975"/>
        <w:rPr>
          <w:rFonts w:eastAsia="Times New Roman"/>
        </w:rPr>
      </w:pPr>
      <w:r>
        <w:rPr>
          <w:rFonts w:eastAsia="Times New Roman"/>
        </w:rPr>
        <w:t>Laboratory Manual</w:t>
      </w:r>
    </w:p>
    <w:p w:rsidR="00000000" w:rsidRDefault="00FA7CED">
      <w:pPr>
        <w:pStyle w:val="NormalWeb"/>
        <w:divId w:val="85541975"/>
      </w:pPr>
      <w:r>
        <w:t xml:space="preserve">The laboratory manual, </w:t>
      </w:r>
      <w:r>
        <w:rPr>
          <w:rStyle w:val="Emphasis"/>
        </w:rPr>
        <w:t>Human Anatomy Laboratory Manual 2013 Edition</w:t>
      </w:r>
      <w:r>
        <w:t>, developed by BYU's Physiology and Deve</w:t>
      </w:r>
      <w:r>
        <w:t>lopmental Biology Department, is also required for this course. It is provided in PDF format in your course (in the Human Anatomy Laboratory Manual and Virtual Lab section of your course). You may purchase a printed copy of it from BYU Bookstore if you'd l</w:t>
      </w:r>
      <w:r>
        <w:t>ike, but that version has a slightly different organization, so it may be more challenging to use.</w:t>
      </w:r>
    </w:p>
    <w:p w:rsidR="00000000" w:rsidRDefault="00FA7CED">
      <w:pPr>
        <w:pStyle w:val="NormalWeb"/>
        <w:divId w:val="85541975"/>
      </w:pPr>
      <w:r>
        <w:t>You will use the laboratory manual in lessons 5, 6, 8, 9, 11, 12, 13, 14, 15, 16, 17, 18, and 19.</w:t>
      </w:r>
    </w:p>
    <w:p w:rsidR="00000000" w:rsidRDefault="00FA7CED">
      <w:pPr>
        <w:pStyle w:val="Heading3"/>
        <w:divId w:val="85541975"/>
        <w:rPr>
          <w:rFonts w:eastAsia="Times New Roman"/>
        </w:rPr>
      </w:pPr>
      <w:r>
        <w:rPr>
          <w:rFonts w:eastAsia="Times New Roman"/>
        </w:rPr>
        <w:t>Virtual Human Anatomy Laboratory</w:t>
      </w:r>
    </w:p>
    <w:p w:rsidR="00000000" w:rsidRDefault="00FA7CED">
      <w:pPr>
        <w:pStyle w:val="NormalWeb"/>
        <w:divId w:val="85541975"/>
      </w:pPr>
      <w:r>
        <w:t xml:space="preserve">The Virtual Human Anatomy </w:t>
      </w:r>
      <w:r>
        <w:t>Laboratory is a series of videos that will guide you through learning the major anatomical features of the human body. Watch them and review them often. These videos are located in the Human Anatomy Laboratory Manual and Virtual Lab section of your course.</w:t>
      </w:r>
    </w:p>
    <w:p w:rsidR="00000000" w:rsidRDefault="00FA7CED">
      <w:pPr>
        <w:pStyle w:val="NormalWeb"/>
        <w:divId w:val="85541975"/>
      </w:pPr>
      <w:r>
        <w:rPr>
          <w:rStyle w:val="Emphasis"/>
        </w:rPr>
        <w:t>Study hint</w:t>
      </w:r>
      <w:r>
        <w:t>: For practice, try turning off the volume and naming the parts as the virtual TA points them out.</w:t>
      </w:r>
    </w:p>
    <w:p w:rsidR="00000000" w:rsidRDefault="00FA7CED">
      <w:pPr>
        <w:pStyle w:val="Heading2"/>
        <w:divId w:val="85541975"/>
        <w:rPr>
          <w:rFonts w:eastAsia="Times New Roman"/>
        </w:rPr>
      </w:pPr>
      <w:r>
        <w:rPr>
          <w:rFonts w:eastAsia="Times New Roman"/>
        </w:rPr>
        <w:t>Course Organization</w:t>
      </w:r>
    </w:p>
    <w:p w:rsidR="00000000" w:rsidRDefault="00FA7CED">
      <w:pPr>
        <w:pStyle w:val="Heading3"/>
        <w:divId w:val="85541975"/>
        <w:rPr>
          <w:rFonts w:eastAsia="Times New Roman"/>
        </w:rPr>
      </w:pPr>
      <w:r>
        <w:rPr>
          <w:rFonts w:eastAsia="Times New Roman"/>
        </w:rPr>
        <w:t>Course Deadlines</w:t>
      </w:r>
    </w:p>
    <w:p w:rsidR="00000000" w:rsidRDefault="00FA7CED">
      <w:pPr>
        <w:pStyle w:val="NormalWeb"/>
        <w:divId w:val="85541975"/>
      </w:pPr>
      <w:r>
        <w:t>You must complete the following exams by the deadlines stated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jc w:val="center"/>
            </w:pPr>
            <w:r>
              <w:rPr>
                <w:rStyle w:val="Strong"/>
              </w:rPr>
              <w:t>Deadline</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jc w:val="center"/>
            </w:pPr>
            <w:r>
              <w:rPr>
                <w:rStyle w:val="Strong"/>
              </w:rPr>
              <w:t>Quiz/Exam</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January 17</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 2, 3</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January 31</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4, 5, 6</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February 14</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7, 8, 9</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January 5 – February 20</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Content Midterm Exam**</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February 21</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10, 11</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January 5 – February 27</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Lab Midterm Exam**</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 xml:space="preserve">March 7 </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12, 13</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March 21</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14, 15, 16</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April 4</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17, 18</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April 11</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Quiz 19</w:t>
            </w:r>
          </w:p>
        </w:tc>
      </w:tr>
      <w:tr w:rsidR="00000000">
        <w:trPr>
          <w:divId w:val="85541975"/>
          <w:tblCellSpacing w:w="0" w:type="dxa"/>
        </w:trPr>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March 2 – April 22</w:t>
            </w:r>
          </w:p>
        </w:tc>
        <w:tc>
          <w:tcPr>
            <w:tcW w:w="442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FA7CED">
            <w:pPr>
              <w:pStyle w:val="NormalWeb"/>
            </w:pPr>
            <w:r>
              <w:t>Content Final Exam**</w:t>
            </w:r>
            <w:r>
              <w:br/>
              <w:t>Lab Final Exam**</w:t>
            </w:r>
          </w:p>
        </w:tc>
      </w:tr>
    </w:tbl>
    <w:p w:rsidR="00000000" w:rsidRDefault="00FA7CED">
      <w:pPr>
        <w:pStyle w:val="NormalWeb"/>
        <w:divId w:val="85541975"/>
      </w:pPr>
      <w:r>
        <w:t>*All quizzes will be due at 11:59 PM on date indicated</w:t>
      </w:r>
      <w:r>
        <w:br/>
        <w:t>**All exams must be scheduled at least 48 hours in advance and can be taken at anytime</w:t>
      </w:r>
    </w:p>
    <w:p w:rsidR="00000000" w:rsidRDefault="00FA7CED">
      <w:pPr>
        <w:pStyle w:val="Heading3"/>
        <w:divId w:val="85541975"/>
        <w:rPr>
          <w:rFonts w:eastAsia="Times New Roman"/>
        </w:rPr>
      </w:pPr>
      <w:r>
        <w:rPr>
          <w:rFonts w:eastAsia="Times New Roman"/>
        </w:rPr>
        <w:t>Quizzes</w:t>
      </w:r>
    </w:p>
    <w:p w:rsidR="00000000" w:rsidRDefault="00FA7CED">
      <w:pPr>
        <w:pStyle w:val="NormalWeb"/>
        <w:divId w:val="85541975"/>
      </w:pPr>
      <w:r>
        <w:t>There are a total of 19 quizzes, one for each lesson in this course. The lowest score will be dropped, so only 18 of them will count towards your final grade. I recommend that you study and prepare for each quiz and treat it as an opportunity to practice f</w:t>
      </w:r>
      <w:r>
        <w:t xml:space="preserve">or the exams. You will be able to take each quiz only once. </w:t>
      </w:r>
    </w:p>
    <w:p w:rsidR="00000000" w:rsidRDefault="00FA7CED">
      <w:pPr>
        <w:pStyle w:val="Heading4"/>
        <w:divId w:val="85541975"/>
        <w:rPr>
          <w:rFonts w:eastAsia="Times New Roman"/>
        </w:rPr>
      </w:pPr>
      <w:r>
        <w:rPr>
          <w:rFonts w:eastAsia="Times New Roman"/>
        </w:rPr>
        <w:t>Self Check Practice Questions</w:t>
      </w:r>
    </w:p>
    <w:p w:rsidR="00000000" w:rsidRDefault="00FA7CED">
      <w:pPr>
        <w:pStyle w:val="NormalWeb"/>
        <w:divId w:val="85541975"/>
      </w:pPr>
      <w:r>
        <w:t>Some of the lessons will have Self Check questions for you to test your knowledge and help you practice for the quizzes and exams. These do not count as part of your</w:t>
      </w:r>
      <w:r>
        <w:t xml:space="preserve"> grade. Please take advantage of them to enhance your studies!</w:t>
      </w:r>
    </w:p>
    <w:p w:rsidR="00000000" w:rsidRDefault="00FA7CED">
      <w:pPr>
        <w:pStyle w:val="NormalWeb"/>
        <w:divId w:val="85541975"/>
      </w:pPr>
      <w:r>
        <w:t>The midcourse laboratory exam and the midcourse content exam both have practice exams to help you get a feel for what the exams will be like. They will consist of 20 questions taken from your l</w:t>
      </w:r>
      <w:r>
        <w:t>esson quizzes and the midcourse exams. You will have 20 minutes to take these practice exams, so you will not have time to look up the answers. (While the actual exams are not time, making these practice exams timed will help you practice more effectively.</w:t>
      </w:r>
      <w:r>
        <w:t xml:space="preserve">) You can take the practice exams as many times as you would like and they do not count as part of your grade. </w:t>
      </w:r>
    </w:p>
    <w:p w:rsidR="00000000" w:rsidRDefault="00FA7CED">
      <w:pPr>
        <w:pStyle w:val="Heading3"/>
        <w:divId w:val="85541975"/>
        <w:rPr>
          <w:rFonts w:eastAsia="Times New Roman"/>
        </w:rPr>
      </w:pPr>
      <w:r>
        <w:rPr>
          <w:rFonts w:eastAsia="Times New Roman"/>
        </w:rPr>
        <w:t>Exams</w:t>
      </w:r>
    </w:p>
    <w:p w:rsidR="00000000" w:rsidRDefault="00FA7CED">
      <w:pPr>
        <w:pStyle w:val="Heading4"/>
        <w:divId w:val="85541975"/>
        <w:rPr>
          <w:rFonts w:eastAsia="Times New Roman"/>
        </w:rPr>
      </w:pPr>
      <w:r>
        <w:rPr>
          <w:rFonts w:eastAsia="Times New Roman"/>
        </w:rPr>
        <w:t>Midcourse Exams</w:t>
      </w:r>
    </w:p>
    <w:p w:rsidR="00000000" w:rsidRDefault="00FA7CED">
      <w:pPr>
        <w:pStyle w:val="NormalWeb"/>
        <w:divId w:val="85541975"/>
      </w:pPr>
      <w:r>
        <w:t>There are two midcourse exams: an instructor-graded anatomical terms (laboratory) exam and a computer-graded content exam.</w:t>
      </w:r>
      <w:r>
        <w:t xml:space="preserve"> </w:t>
      </w:r>
    </w:p>
    <w:p w:rsidR="00000000" w:rsidRDefault="00FA7CED">
      <w:pPr>
        <w:pStyle w:val="NormalWeb"/>
        <w:divId w:val="85541975"/>
      </w:pPr>
      <w:r>
        <w:t>The content midcourse exam will have multiple-choice questions covering lessons 1 through 9 and the associated chapters in your textbook.</w:t>
      </w:r>
    </w:p>
    <w:p w:rsidR="00000000" w:rsidRDefault="00FA7CED">
      <w:pPr>
        <w:pStyle w:val="NormalWeb"/>
        <w:divId w:val="85541975"/>
      </w:pPr>
      <w:r>
        <w:t>The anatomical terms (laboratory) exam comes after lesson 11 and will consist of color photos of anatomical parts wi</w:t>
      </w:r>
      <w:r>
        <w:t>th specific, possibly highlighted, features indicated. You will need to identify these anatomical parts using the full name, correctly spelled. The question format will be fill-in-the-blank, but you will write your answers on a separate piece of paper whic</w:t>
      </w:r>
      <w:r>
        <w:t xml:space="preserve">h will be provided with your exam. </w:t>
      </w:r>
    </w:p>
    <w:p w:rsidR="00000000" w:rsidRDefault="00FA7CED">
      <w:pPr>
        <w:pStyle w:val="NormalWeb"/>
        <w:divId w:val="85541975"/>
      </w:pPr>
      <w:r>
        <w:t xml:space="preserve">As mentioned above, there are practice exams for each midcourse exam that do not count towards your grade. Please take advantage of the opportunity to practice! </w:t>
      </w:r>
    </w:p>
    <w:p w:rsidR="00000000" w:rsidRDefault="00FA7CED">
      <w:pPr>
        <w:pStyle w:val="Heading4"/>
        <w:divId w:val="85541975"/>
        <w:rPr>
          <w:rFonts w:eastAsia="Times New Roman"/>
        </w:rPr>
      </w:pPr>
      <w:r>
        <w:rPr>
          <w:rFonts w:eastAsia="Times New Roman"/>
        </w:rPr>
        <w:t>Final Exams</w:t>
      </w:r>
    </w:p>
    <w:p w:rsidR="00000000" w:rsidRDefault="00FA7CED">
      <w:pPr>
        <w:pStyle w:val="NormalWeb"/>
        <w:divId w:val="85541975"/>
      </w:pPr>
      <w:r>
        <w:t xml:space="preserve">Similar to the two midcourse exams, there are </w:t>
      </w:r>
      <w:r>
        <w:t>two final exams: an instructor-graded anatomical terms (laboratory) exam and a computer-graded content exam. You will need to complete the final lab exam before you can request the final content exam. (There are no practice exams for the final exam.)</w:t>
      </w:r>
    </w:p>
    <w:p w:rsidR="00000000" w:rsidRDefault="00FA7CED">
      <w:pPr>
        <w:pStyle w:val="NormalWeb"/>
        <w:divId w:val="85541975"/>
      </w:pPr>
      <w:r>
        <w:t>The a</w:t>
      </w:r>
      <w:r>
        <w:t xml:space="preserve">natomical terms (laboratory) exam will consist of color photos of anatomical parts with specific features indicated. You will need to identify these anatomical parts using the correctly spelled full name. The question format will be fill-in-the-blank, but </w:t>
      </w:r>
      <w:r>
        <w:t xml:space="preserve">you will write your answers on a separate piece of paper which will be provided with your exam when you are taking a proctored, written exam. </w:t>
      </w:r>
    </w:p>
    <w:p w:rsidR="00000000" w:rsidRDefault="00FA7CED">
      <w:pPr>
        <w:pStyle w:val="NormalWeb"/>
        <w:divId w:val="85541975"/>
      </w:pPr>
      <w:r>
        <w:t>The content final exam is comprehensive. It is composed of 125 multiple-choice questions with the majority of tho</w:t>
      </w:r>
      <w:r>
        <w:t>se questions based on material covered in the second half of the course (which includes lessons 10 through 19 with their associated chapters in your textbook).</w:t>
      </w:r>
    </w:p>
    <w:p w:rsidR="00000000" w:rsidRDefault="00FA7CED">
      <w:pPr>
        <w:pStyle w:val="NormalWeb"/>
        <w:divId w:val="85541975"/>
      </w:pPr>
      <w:r>
        <w:rPr>
          <w:rStyle w:val="Strong"/>
        </w:rPr>
        <w:t xml:space="preserve">You must pass the final exam with at least a 50% to pass this course. </w:t>
      </w:r>
    </w:p>
    <w:p w:rsidR="00000000" w:rsidRDefault="00FA7CED">
      <w:pPr>
        <w:pStyle w:val="NormalWeb"/>
        <w:divId w:val="85541975"/>
      </w:pPr>
      <w:r>
        <w:rPr>
          <w:rStyle w:val="Strong"/>
          <w:i/>
          <w:iCs/>
        </w:rPr>
        <w:t>Please note:</w:t>
      </w:r>
      <w:r>
        <w:t xml:space="preserve"> BYU standard</w:t>
      </w:r>
      <w:r>
        <w:t xml:space="preserve">s expect English language proficiency for all courses, including Independent Study courses. Therefore dictionaries of any kind will not be allowed for testing. </w:t>
      </w:r>
    </w:p>
    <w:p w:rsidR="00000000" w:rsidRDefault="00FA7CED">
      <w:pPr>
        <w:pStyle w:val="Heading2"/>
        <w:divId w:val="85541975"/>
        <w:rPr>
          <w:rFonts w:eastAsia="Times New Roman"/>
        </w:rPr>
      </w:pPr>
      <w:r>
        <w:rPr>
          <w:rFonts w:eastAsia="Times New Roman"/>
        </w:rPr>
        <w:t>Grading</w:t>
      </w:r>
    </w:p>
    <w:p w:rsidR="00000000" w:rsidRDefault="00FA7CED">
      <w:pPr>
        <w:pStyle w:val="NormalWeb"/>
        <w:divId w:val="85541975"/>
      </w:pPr>
      <w:r>
        <w:t xml:space="preserve">Your grade will be based on this breakdown: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6"/>
        <w:gridCol w:w="861"/>
      </w:tblGrid>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18* Quizzes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36%</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Midcourse Content Exam</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13%</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Midcourse Laboratory (Anatomical Terms) Exam</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13%</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pStyle w:val="NormalWeb"/>
            </w:pPr>
            <w:r>
              <w:t>Final Laboratory (Anatomical Terms) Exam</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13%</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Final Content Exam</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24%</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Style w:val="Strong"/>
                <w:rFonts w:eastAsia="Times New Roman"/>
              </w:rPr>
              <w:t>Total</w:t>
            </w:r>
          </w:p>
        </w:tc>
        <w:tc>
          <w:tcPr>
            <w:tcW w:w="0" w:type="auto"/>
            <w:tcMar>
              <w:top w:w="108" w:type="dxa"/>
              <w:left w:w="108" w:type="dxa"/>
              <w:bottom w:w="108" w:type="dxa"/>
              <w:right w:w="108" w:type="dxa"/>
            </w:tcMar>
            <w:hideMark/>
          </w:tcPr>
          <w:p w:rsidR="00000000" w:rsidRDefault="00FA7CED">
            <w:pPr>
              <w:rPr>
                <w:rFonts w:eastAsia="Times New Roman"/>
              </w:rPr>
            </w:pPr>
            <w:r>
              <w:rPr>
                <w:rStyle w:val="Strong"/>
                <w:rFonts w:eastAsia="Times New Roman"/>
              </w:rPr>
              <w:t>100%</w:t>
            </w:r>
          </w:p>
        </w:tc>
      </w:tr>
    </w:tbl>
    <w:p w:rsidR="00000000" w:rsidRDefault="00FA7CED">
      <w:pPr>
        <w:pStyle w:val="NormalWeb"/>
        <w:divId w:val="85541975"/>
      </w:pPr>
      <w:r>
        <w:t>*The lowest score of 19 quizzes is dropped.</w:t>
      </w:r>
    </w:p>
    <w:p w:rsidR="00000000" w:rsidRDefault="00FA7CED">
      <w:pPr>
        <w:pStyle w:val="Heading3"/>
        <w:divId w:val="85541975"/>
        <w:rPr>
          <w:rFonts w:eastAsia="Times New Roman"/>
        </w:rPr>
      </w:pPr>
      <w:r>
        <w:rPr>
          <w:rFonts w:eastAsia="Times New Roman"/>
        </w:rPr>
        <w:t>Grading Scale</w:t>
      </w:r>
    </w:p>
    <w:p w:rsidR="00000000" w:rsidRDefault="00FA7CED">
      <w:pPr>
        <w:pStyle w:val="NormalWeb"/>
        <w:divId w:val="85541975"/>
      </w:pPr>
      <w:r>
        <w:t>Your final grade will be determined by the following 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1754"/>
      </w:tblGrid>
      <w:tr w:rsidR="00000000">
        <w:trPr>
          <w:divId w:val="85541975"/>
          <w:tblHeade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A7CED">
            <w:pPr>
              <w:jc w:val="center"/>
              <w:rPr>
                <w:rFonts w:eastAsia="Times New Roman"/>
                <w:b/>
                <w:bCs/>
              </w:rPr>
            </w:pPr>
            <w:r>
              <w:rPr>
                <w:rFonts w:eastAsia="Times New Roman"/>
                <w:b/>
                <w:bCs/>
              </w:rPr>
              <w:t>Grading Scale</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A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100–94%</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A-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93-89%</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B+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88-85%</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B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84-81%</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B-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80-77%</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C+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76-73%</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C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72-70%</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C-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69-66%</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D+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65-61%</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D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60-56%</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D-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55-51%</w:t>
            </w:r>
          </w:p>
        </w:tc>
      </w:tr>
      <w:tr w:rsidR="00000000">
        <w:trPr>
          <w:divId w:val="85541975"/>
          <w:tblCellSpacing w:w="15" w:type="dxa"/>
        </w:trPr>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 xml:space="preserve">E (fail) </w:t>
            </w:r>
          </w:p>
        </w:tc>
        <w:tc>
          <w:tcPr>
            <w:tcW w:w="0" w:type="auto"/>
            <w:tcMar>
              <w:top w:w="108" w:type="dxa"/>
              <w:left w:w="108" w:type="dxa"/>
              <w:bottom w:w="108" w:type="dxa"/>
              <w:right w:w="108" w:type="dxa"/>
            </w:tcMar>
            <w:hideMark/>
          </w:tcPr>
          <w:p w:rsidR="00000000" w:rsidRDefault="00FA7CED">
            <w:pPr>
              <w:rPr>
                <w:rFonts w:eastAsia="Times New Roman"/>
              </w:rPr>
            </w:pPr>
            <w:r>
              <w:rPr>
                <w:rFonts w:eastAsia="Times New Roman"/>
              </w:rPr>
              <w:t>50% and below</w:t>
            </w:r>
          </w:p>
        </w:tc>
      </w:tr>
    </w:tbl>
    <w:p w:rsidR="00FA7CED" w:rsidRDefault="00FA7CED">
      <w:pPr>
        <w:divId w:val="85541975"/>
        <w:rPr>
          <w:rFonts w:eastAsia="Times New Roman"/>
        </w:rPr>
      </w:pPr>
    </w:p>
    <w:sectPr w:rsidR="00FA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5A7"/>
    <w:multiLevelType w:val="multilevel"/>
    <w:tmpl w:val="96C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6635A"/>
    <w:multiLevelType w:val="multilevel"/>
    <w:tmpl w:val="762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5ABC"/>
    <w:multiLevelType w:val="multilevel"/>
    <w:tmpl w:val="45CE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4009A"/>
    <w:multiLevelType w:val="multilevel"/>
    <w:tmpl w:val="74B6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F50F0"/>
    <w:multiLevelType w:val="multilevel"/>
    <w:tmpl w:val="80886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C36899"/>
    <w:multiLevelType w:val="multilevel"/>
    <w:tmpl w:val="1E4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323BA"/>
    <w:multiLevelType w:val="multilevel"/>
    <w:tmpl w:val="B148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4"/>
    <w:lvlOverride w:ilvl="1">
      <w:lvl w:ilvl="1">
        <w:numFmt w:val="lowerLetter"/>
        <w:lvlText w:val="%2."/>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A5769"/>
    <w:rsid w:val="00BA5769"/>
    <w:rsid w:val="00FA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A5769"/>
    <w:rPr>
      <w:rFonts w:ascii="Tahoma" w:hAnsi="Tahoma" w:cs="Tahoma"/>
      <w:sz w:val="16"/>
      <w:szCs w:val="16"/>
    </w:rPr>
  </w:style>
  <w:style w:type="character" w:customStyle="1" w:styleId="BalloonTextChar">
    <w:name w:val="Balloon Text Char"/>
    <w:basedOn w:val="DefaultParagraphFont"/>
    <w:link w:val="BalloonText"/>
    <w:uiPriority w:val="99"/>
    <w:semiHidden/>
    <w:rsid w:val="00BA576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A5769"/>
    <w:rPr>
      <w:rFonts w:ascii="Tahoma" w:hAnsi="Tahoma" w:cs="Tahoma"/>
      <w:sz w:val="16"/>
      <w:szCs w:val="16"/>
    </w:rPr>
  </w:style>
  <w:style w:type="character" w:customStyle="1" w:styleId="BalloonTextChar">
    <w:name w:val="Balloon Text Char"/>
    <w:basedOn w:val="DefaultParagraphFont"/>
    <w:link w:val="BalloonText"/>
    <w:uiPriority w:val="99"/>
    <w:semiHidden/>
    <w:rsid w:val="00BA576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75431">
      <w:bodyDiv w:val="1"/>
      <w:marLeft w:val="0"/>
      <w:marRight w:val="0"/>
      <w:marTop w:val="0"/>
      <w:marBottom w:val="960"/>
      <w:divBdr>
        <w:top w:val="none" w:sz="0" w:space="0" w:color="auto"/>
        <w:left w:val="none" w:sz="0" w:space="0" w:color="auto"/>
        <w:bottom w:val="none" w:sz="0" w:space="0" w:color="auto"/>
        <w:right w:val="none" w:sz="0" w:space="0" w:color="auto"/>
      </w:divBdr>
      <w:divsChild>
        <w:div w:id="1572540964">
          <w:marLeft w:val="0"/>
          <w:marRight w:val="0"/>
          <w:marTop w:val="0"/>
          <w:marBottom w:val="0"/>
          <w:divBdr>
            <w:top w:val="none" w:sz="0" w:space="0" w:color="auto"/>
            <w:left w:val="none" w:sz="0" w:space="0" w:color="auto"/>
            <w:bottom w:val="none" w:sz="0" w:space="0" w:color="auto"/>
            <w:right w:val="none" w:sz="0" w:space="0" w:color="auto"/>
          </w:divBdr>
          <w:divsChild>
            <w:div w:id="291134066">
              <w:marLeft w:val="0"/>
              <w:marRight w:val="0"/>
              <w:marTop w:val="0"/>
              <w:marBottom w:val="96"/>
              <w:divBdr>
                <w:top w:val="none" w:sz="0" w:space="0" w:color="auto"/>
                <w:left w:val="none" w:sz="0" w:space="0" w:color="auto"/>
                <w:bottom w:val="none" w:sz="0" w:space="0" w:color="auto"/>
                <w:right w:val="none" w:sz="0" w:space="0" w:color="auto"/>
              </w:divBdr>
            </w:div>
          </w:divsChild>
        </w:div>
        <w:div w:id="1632707034">
          <w:marLeft w:val="0"/>
          <w:marRight w:val="0"/>
          <w:marTop w:val="0"/>
          <w:marBottom w:val="0"/>
          <w:divBdr>
            <w:top w:val="none" w:sz="0" w:space="0" w:color="auto"/>
            <w:left w:val="none" w:sz="0" w:space="0" w:color="auto"/>
            <w:bottom w:val="none" w:sz="0" w:space="0" w:color="auto"/>
            <w:right w:val="none" w:sz="0" w:space="0" w:color="auto"/>
          </w:divBdr>
          <w:divsChild>
            <w:div w:id="85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mcgraw-hill.com/connect/shortUrl.do?accessUrl=m_stark_001_1" TargetMode="External"/><Relationship Id="rId3" Type="http://schemas.microsoft.com/office/2007/relationships/stylesWithEffects" Target="stylesWithEffects.xml"/><Relationship Id="rId7" Type="http://schemas.openxmlformats.org/officeDocument/2006/relationships/hyperlink" Target="mailto:heidiplew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1999</Words>
  <Characters>11398</Characters>
  <Application>Microsoft Office Word</Application>
  <DocSecurity>0</DocSecurity>
  <Lines>94</Lines>
  <Paragraphs>26</Paragraphs>
  <ScaleCrop>false</ScaleCrop>
  <Company>BYU DCE</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