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33674">
      <w:pPr>
        <w:divId w:val="2084837237"/>
        <w:rPr>
          <w:rFonts w:eastAsia="Times New Roman"/>
        </w:rPr>
      </w:pPr>
      <w:bookmarkStart w:id="0" w:name="_GoBack"/>
      <w:bookmarkEnd w:id="0"/>
      <w:r>
        <w:rPr>
          <w:rFonts w:eastAsia="Times New Roman"/>
          <w:noProof/>
        </w:rPr>
        <w:drawing>
          <wp:inline distT="0" distB="0" distL="0" distR="0">
            <wp:extent cx="304800" cy="304800"/>
            <wp:effectExtent l="0" t="0" r="0" b="0"/>
            <wp:docPr id="1" name="Picture 1" descr="C:\Users\mjh235.BYU\Desktop\Media\Images\welcomeOb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h235.BYU\Desktop\Media\Images\welcomeObj.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33674">
      <w:pPr>
        <w:pStyle w:val="Heading2"/>
        <w:divId w:val="1723870152"/>
        <w:rPr>
          <w:rFonts w:eastAsia="Times New Roman"/>
        </w:rPr>
      </w:pPr>
      <w:r>
        <w:rPr>
          <w:rFonts w:eastAsia="Times New Roman"/>
        </w:rPr>
        <w:t xml:space="preserve">Welcome to BYU Online! </w:t>
      </w:r>
    </w:p>
    <w:p w:rsidR="00000000" w:rsidRDefault="00F33674">
      <w:pPr>
        <w:pStyle w:val="NormalWeb"/>
        <w:divId w:val="1723870152"/>
      </w:pPr>
      <w:r>
        <w:t>This course is part of a small pilot of online courses at BYU. This course is a highly structured learning experience that meets the university’</w:t>
      </w:r>
      <w:r>
        <w:t>s general education requirements and will mirror the intensity of the on-campus course. This course differs from on-campus courses and other online courses in the following ways:</w:t>
      </w:r>
    </w:p>
    <w:p w:rsidR="00000000" w:rsidRDefault="00F33674">
      <w:pPr>
        <w:numPr>
          <w:ilvl w:val="0"/>
          <w:numId w:val="1"/>
        </w:numPr>
        <w:spacing w:before="100" w:beforeAutospacing="1" w:after="100" w:afterAutospacing="1" w:line="348" w:lineRule="atLeast"/>
        <w:ind w:left="0"/>
        <w:divId w:val="1723870152"/>
        <w:rPr>
          <w:rFonts w:eastAsia="Times New Roman"/>
        </w:rPr>
      </w:pPr>
      <w:r>
        <w:rPr>
          <w:rFonts w:eastAsia="Times New Roman"/>
        </w:rPr>
        <w:t>Course Content – Aside from your textbook, all of the course content is conta</w:t>
      </w:r>
      <w:r>
        <w:rPr>
          <w:rFonts w:eastAsia="Times New Roman"/>
        </w:rPr>
        <w:t xml:space="preserve">ined online. You will also submit all your assignments and complete all your course quizzes online. </w:t>
      </w:r>
    </w:p>
    <w:p w:rsidR="00000000" w:rsidRDefault="00F33674">
      <w:pPr>
        <w:numPr>
          <w:ilvl w:val="0"/>
          <w:numId w:val="1"/>
        </w:numPr>
        <w:spacing w:before="100" w:beforeAutospacing="1" w:after="100" w:afterAutospacing="1" w:line="348" w:lineRule="atLeast"/>
        <w:ind w:left="0"/>
        <w:divId w:val="1723870152"/>
        <w:rPr>
          <w:rFonts w:eastAsia="Times New Roman"/>
        </w:rPr>
      </w:pPr>
      <w:r>
        <w:rPr>
          <w:rFonts w:eastAsia="Times New Roman"/>
        </w:rPr>
        <w:t>Course Completion – You are allowed to complete this course at your own pace, though there are deadlines for the two exams and two portfolios. The only res</w:t>
      </w:r>
      <w:r>
        <w:rPr>
          <w:rFonts w:eastAsia="Times New Roman"/>
        </w:rPr>
        <w:t xml:space="preserve">trictions are you cannot complete the course before October 15, and you must complete the course by the end of the semester. </w:t>
      </w:r>
    </w:p>
    <w:p w:rsidR="00000000" w:rsidRDefault="00F33674">
      <w:pPr>
        <w:numPr>
          <w:ilvl w:val="0"/>
          <w:numId w:val="1"/>
        </w:numPr>
        <w:spacing w:before="100" w:beforeAutospacing="1" w:after="100" w:afterAutospacing="1" w:line="348" w:lineRule="atLeast"/>
        <w:ind w:left="0"/>
        <w:divId w:val="1723870152"/>
        <w:rPr>
          <w:rFonts w:eastAsia="Times New Roman"/>
        </w:rPr>
      </w:pPr>
      <w:r>
        <w:rPr>
          <w:rFonts w:eastAsia="Times New Roman"/>
        </w:rPr>
        <w:t xml:space="preserve">Orientation Meeting – You are required to attend an initial class meeting. At this meeting, you will meet your instructor, course </w:t>
      </w:r>
      <w:r>
        <w:rPr>
          <w:rFonts w:eastAsia="Times New Roman"/>
        </w:rPr>
        <w:t>TAs and other members of the class. You will also have the opportunity to ask any questions you have about the class and how it operates.</w:t>
      </w:r>
    </w:p>
    <w:p w:rsidR="00000000" w:rsidRDefault="00F33674">
      <w:pPr>
        <w:numPr>
          <w:ilvl w:val="0"/>
          <w:numId w:val="1"/>
        </w:numPr>
        <w:spacing w:before="100" w:beforeAutospacing="1" w:after="100" w:afterAutospacing="1" w:line="348" w:lineRule="atLeast"/>
        <w:ind w:left="0"/>
        <w:divId w:val="1723870152"/>
        <w:rPr>
          <w:rFonts w:eastAsia="Times New Roman"/>
        </w:rPr>
      </w:pPr>
      <w:r>
        <w:rPr>
          <w:rFonts w:eastAsia="Times New Roman"/>
        </w:rPr>
        <w:t xml:space="preserve">Course TA – This course has a specific TA that you can contact with questions about the course or course content. The </w:t>
      </w:r>
      <w:r>
        <w:rPr>
          <w:rFonts w:eastAsia="Times New Roman"/>
        </w:rPr>
        <w:t>TA will also assist you in creating a course completion schedule and meet with you for one of the course checkpoints.</w:t>
      </w:r>
    </w:p>
    <w:p w:rsidR="00000000" w:rsidRDefault="00F33674">
      <w:pPr>
        <w:numPr>
          <w:ilvl w:val="0"/>
          <w:numId w:val="1"/>
        </w:numPr>
        <w:spacing w:before="100" w:beforeAutospacing="1" w:after="100" w:afterAutospacing="1" w:line="348" w:lineRule="atLeast"/>
        <w:ind w:left="0"/>
        <w:divId w:val="1723870152"/>
        <w:rPr>
          <w:rFonts w:eastAsia="Times New Roman"/>
        </w:rPr>
      </w:pPr>
      <w:r>
        <w:rPr>
          <w:rFonts w:eastAsia="Times New Roman"/>
        </w:rPr>
        <w:t xml:space="preserve">Checkpoints – Throughout the course you will be required to meet with the instructor or course TA </w:t>
      </w:r>
      <w:r>
        <w:rPr>
          <w:rStyle w:val="Strong"/>
          <w:rFonts w:eastAsia="Times New Roman"/>
        </w:rPr>
        <w:t>three</w:t>
      </w:r>
      <w:r>
        <w:rPr>
          <w:rFonts w:eastAsia="Times New Roman"/>
        </w:rPr>
        <w:t xml:space="preserve"> times. These meetings will take pl</w:t>
      </w:r>
      <w:r>
        <w:rPr>
          <w:rFonts w:eastAsia="Times New Roman"/>
        </w:rPr>
        <w:t xml:space="preserve">ace in Adobe Connect. These checkpoints will allow you to discuss your progress in the course and help you follow your course completion plan. </w:t>
      </w:r>
    </w:p>
    <w:p w:rsidR="00000000" w:rsidRDefault="00F33674">
      <w:pPr>
        <w:numPr>
          <w:ilvl w:val="0"/>
          <w:numId w:val="1"/>
        </w:numPr>
        <w:spacing w:before="100" w:beforeAutospacing="1" w:after="100" w:afterAutospacing="1" w:line="348" w:lineRule="atLeast"/>
        <w:ind w:left="0"/>
        <w:divId w:val="1723870152"/>
        <w:rPr>
          <w:rFonts w:eastAsia="Times New Roman"/>
        </w:rPr>
      </w:pPr>
      <w:r>
        <w:rPr>
          <w:rFonts w:eastAsia="Times New Roman"/>
        </w:rPr>
        <w:t>Webinars – A webinar is a scheduled class session that you will attend through Adobe Connect. These webinars wil</w:t>
      </w:r>
      <w:r>
        <w:rPr>
          <w:rFonts w:eastAsia="Times New Roman"/>
        </w:rPr>
        <w:t xml:space="preserve">l allow for information sharing, special lectures, and guest lectures. You will be able to interact with your instructor and other members of the class. </w:t>
      </w:r>
    </w:p>
    <w:p w:rsidR="00000000" w:rsidRDefault="00F33674">
      <w:pPr>
        <w:numPr>
          <w:ilvl w:val="0"/>
          <w:numId w:val="1"/>
        </w:numPr>
        <w:spacing w:before="100" w:beforeAutospacing="1" w:after="100" w:afterAutospacing="1" w:line="348" w:lineRule="atLeast"/>
        <w:ind w:left="0"/>
        <w:divId w:val="1723870152"/>
        <w:rPr>
          <w:rFonts w:eastAsia="Times New Roman"/>
        </w:rPr>
      </w:pPr>
      <w:r>
        <w:rPr>
          <w:rFonts w:eastAsia="Times New Roman"/>
        </w:rPr>
        <w:t>Discussion Board – This course contains a monitored course discussion board. This discussion board wil</w:t>
      </w:r>
      <w:r>
        <w:rPr>
          <w:rFonts w:eastAsia="Times New Roman"/>
        </w:rPr>
        <w:t xml:space="preserve">l allow you to post, respond to, and evaluate various topics related to the course material. </w:t>
      </w:r>
    </w:p>
    <w:p w:rsidR="00000000" w:rsidRDefault="00F33674">
      <w:pPr>
        <w:pStyle w:val="NormalWeb"/>
        <w:divId w:val="1723870152"/>
      </w:pPr>
      <w:r>
        <w:t>As part of the pilot, we will be asking you to help assess the success and effectiveness of this course, the faculty member, the course delivery, and the course s</w:t>
      </w:r>
      <w:r>
        <w:t>upport. Your participation in this assessment effort will be critical to future opportunities for online learning at BYU. Please be prepared to provide meaningful feedback about your experience.</w:t>
      </w:r>
    </w:p>
    <w:p w:rsidR="00000000" w:rsidRDefault="00F33674">
      <w:pPr>
        <w:pStyle w:val="Heading2"/>
        <w:divId w:val="1723870152"/>
        <w:rPr>
          <w:rFonts w:eastAsia="Times New Roman"/>
        </w:rPr>
      </w:pPr>
      <w:r>
        <w:rPr>
          <w:rFonts w:eastAsia="Times New Roman"/>
        </w:rPr>
        <w:t xml:space="preserve">Course TA Information </w:t>
      </w:r>
    </w:p>
    <w:p w:rsidR="00000000" w:rsidRDefault="00F33674">
      <w:pPr>
        <w:pStyle w:val="NormalWeb"/>
        <w:divId w:val="1723870152"/>
      </w:pPr>
      <w:r>
        <w:t xml:space="preserve">Your TA for this course is </w:t>
      </w:r>
      <w:r>
        <w:rPr>
          <w:rStyle w:val="Strong"/>
        </w:rPr>
        <w:t>Isaac Sheff</w:t>
      </w:r>
      <w:r>
        <w:rPr>
          <w:rStyle w:val="Strong"/>
        </w:rPr>
        <w:t>ield</w:t>
      </w:r>
      <w:r>
        <w:t xml:space="preserve">. Please contact your TA if you have any questions, run into difficulties with the course, and to schedule checkpoints. </w:t>
      </w:r>
    </w:p>
    <w:p w:rsidR="00000000" w:rsidRDefault="00F33674">
      <w:pPr>
        <w:numPr>
          <w:ilvl w:val="0"/>
          <w:numId w:val="2"/>
        </w:numPr>
        <w:spacing w:before="100" w:beforeAutospacing="1" w:after="100" w:afterAutospacing="1" w:line="348" w:lineRule="atLeast"/>
        <w:ind w:left="0"/>
        <w:divId w:val="1723870152"/>
        <w:rPr>
          <w:rFonts w:eastAsia="Times New Roman"/>
        </w:rPr>
      </w:pPr>
      <w:r>
        <w:rPr>
          <w:rFonts w:eastAsia="Times New Roman"/>
        </w:rPr>
        <w:t>Remember, his name is Isaac Sheffield.</w:t>
      </w:r>
    </w:p>
    <w:p w:rsidR="00000000" w:rsidRDefault="00F33674">
      <w:pPr>
        <w:numPr>
          <w:ilvl w:val="0"/>
          <w:numId w:val="2"/>
        </w:numPr>
        <w:spacing w:before="100" w:beforeAutospacing="1" w:after="100" w:afterAutospacing="1" w:line="348" w:lineRule="atLeast"/>
        <w:ind w:left="0"/>
        <w:divId w:val="1723870152"/>
        <w:rPr>
          <w:rFonts w:eastAsia="Times New Roman"/>
        </w:rPr>
      </w:pPr>
      <w:hyperlink r:id="rId7" w:history="1">
        <w:r>
          <w:rPr>
            <w:rStyle w:val="Hyperlink"/>
            <w:rFonts w:eastAsia="Times New Roman"/>
          </w:rPr>
          <w:t>ta_psych111@byu.edu</w:t>
        </w:r>
      </w:hyperlink>
    </w:p>
    <w:p w:rsidR="00000000" w:rsidRDefault="00F33674">
      <w:pPr>
        <w:numPr>
          <w:ilvl w:val="0"/>
          <w:numId w:val="2"/>
        </w:numPr>
        <w:spacing w:before="100" w:beforeAutospacing="1" w:after="100" w:afterAutospacing="1" w:line="348" w:lineRule="atLeast"/>
        <w:ind w:left="0"/>
        <w:divId w:val="1723870152"/>
        <w:rPr>
          <w:rFonts w:eastAsia="Times New Roman"/>
        </w:rPr>
      </w:pPr>
      <w:r>
        <w:rPr>
          <w:rFonts w:eastAsia="Times New Roman"/>
        </w:rPr>
        <w:t>801-422-6028</w:t>
      </w:r>
    </w:p>
    <w:p w:rsidR="00000000" w:rsidRDefault="00F33674">
      <w:pPr>
        <w:pStyle w:val="NormalWeb"/>
        <w:divId w:val="1723870152"/>
      </w:pPr>
      <w:r>
        <w:t>Remember, your T</w:t>
      </w:r>
      <w:r>
        <w:t>A is your first line of contact, and he will be able to help you with any issues that come up. He is looking forward to getting to know you!</w:t>
      </w:r>
    </w:p>
    <w:p w:rsidR="00000000" w:rsidRDefault="00F33674">
      <w:pPr>
        <w:pStyle w:val="Heading2"/>
        <w:divId w:val="1723870152"/>
        <w:rPr>
          <w:rFonts w:eastAsia="Times New Roman"/>
        </w:rPr>
      </w:pPr>
      <w:r>
        <w:rPr>
          <w:rFonts w:eastAsia="Times New Roman"/>
        </w:rPr>
        <w:t>Overview</w:t>
      </w:r>
    </w:p>
    <w:p w:rsidR="00000000" w:rsidRDefault="00F33674">
      <w:pPr>
        <w:pStyle w:val="NormalWeb"/>
        <w:divId w:val="1723870152"/>
      </w:pPr>
      <w:r>
        <w:t>Welcome to BYU! People sometimes believe that psychology is about learning to “understand themselves,” but</w:t>
      </w:r>
      <w:r>
        <w:t xml:space="preserve"> that simply is not accurate. Psychology is the study of behavior broadly construed. Psychology includes the study of how others think, feel, and behave.  As you read through this document, </w:t>
      </w:r>
      <w:r>
        <w:rPr>
          <w:rStyle w:val="Strong"/>
        </w:rPr>
        <w:t>please</w:t>
      </w:r>
      <w:r>
        <w:t xml:space="preserve"> pay attention to course policies, objectives, and design.</w:t>
      </w:r>
    </w:p>
    <w:p w:rsidR="00000000" w:rsidRDefault="00F33674">
      <w:pPr>
        <w:pStyle w:val="Heading2"/>
        <w:divId w:val="1723870152"/>
        <w:rPr>
          <w:rFonts w:eastAsia="Times New Roman"/>
        </w:rPr>
      </w:pPr>
      <w:r>
        <w:rPr>
          <w:rFonts w:eastAsia="Times New Roman"/>
        </w:rPr>
        <w:t>C</w:t>
      </w:r>
      <w:r>
        <w:rPr>
          <w:rFonts w:eastAsia="Times New Roman"/>
        </w:rPr>
        <w:t>ourse Objectives</w:t>
      </w:r>
    </w:p>
    <w:p w:rsidR="00000000" w:rsidRDefault="00F33674">
      <w:pPr>
        <w:pStyle w:val="NormalWeb"/>
        <w:divId w:val="1723870152"/>
      </w:pPr>
      <w:r>
        <w:t>This is typically a student’s first formal course in psychology and as such provides introductory level coverage of topics such as neuroscience, personality, development, cognition, and language, as well as psychological disorders and thei</w:t>
      </w:r>
      <w:r>
        <w:t>r treatment. Given the “survey” nature of this course, we will devote a limited amount of time to each of these topical areas where the Department of Psychology offers upper division courses that are more topically focused. It is also important to emphasiz</w:t>
      </w:r>
      <w:r>
        <w:t>e that psychology is a scientific discipline, meaning that a premium is placed on research; as such students will also be introduced to some of the elementary issues in psychological research and statistics. Given the above backdrop, the course will be mor</w:t>
      </w:r>
      <w:r>
        <w:t xml:space="preserve">e theoretical in nature rather than providing practical applications. </w:t>
      </w:r>
    </w:p>
    <w:p w:rsidR="00000000" w:rsidRDefault="00F33674">
      <w:pPr>
        <w:pStyle w:val="Heading3"/>
        <w:divId w:val="1723870152"/>
        <w:rPr>
          <w:rFonts w:eastAsia="Times New Roman"/>
        </w:rPr>
      </w:pPr>
      <w:r>
        <w:rPr>
          <w:rFonts w:eastAsia="Times New Roman"/>
        </w:rPr>
        <w:t>BS in Psychology Program Objectives</w:t>
      </w:r>
    </w:p>
    <w:p w:rsidR="00000000" w:rsidRDefault="00F33674">
      <w:pPr>
        <w:pStyle w:val="NormalWeb"/>
        <w:divId w:val="1723870152"/>
      </w:pPr>
      <w:r>
        <w:t xml:space="preserve">Graduates will </w:t>
      </w:r>
    </w:p>
    <w:p w:rsidR="00000000" w:rsidRDefault="00F33674">
      <w:pPr>
        <w:numPr>
          <w:ilvl w:val="0"/>
          <w:numId w:val="3"/>
        </w:numPr>
        <w:spacing w:before="100" w:beforeAutospacing="1" w:after="100" w:afterAutospacing="1" w:line="348" w:lineRule="atLeast"/>
        <w:ind w:left="0"/>
        <w:divId w:val="1723870152"/>
        <w:rPr>
          <w:rFonts w:eastAsia="Times New Roman"/>
        </w:rPr>
      </w:pPr>
      <w:r>
        <w:rPr>
          <w:rFonts w:eastAsia="Times New Roman"/>
        </w:rPr>
        <w:t>Be able to demonstrate more extensive knowledge and deeper understanding of the major core content areas of psychology at a depth tha</w:t>
      </w:r>
      <w:r>
        <w:rPr>
          <w:rFonts w:eastAsia="Times New Roman"/>
        </w:rPr>
        <w:t xml:space="preserve">t clearly exceeds the undergraduate level. </w:t>
      </w:r>
    </w:p>
    <w:p w:rsidR="00000000" w:rsidRDefault="00F33674">
      <w:pPr>
        <w:numPr>
          <w:ilvl w:val="0"/>
          <w:numId w:val="3"/>
        </w:numPr>
        <w:spacing w:before="100" w:beforeAutospacing="1" w:after="100" w:afterAutospacing="1" w:line="348" w:lineRule="atLeast"/>
        <w:ind w:left="0"/>
        <w:divId w:val="1723870152"/>
        <w:rPr>
          <w:rFonts w:eastAsia="Times New Roman"/>
        </w:rPr>
      </w:pPr>
      <w:r>
        <w:rPr>
          <w:rFonts w:eastAsia="Times New Roman"/>
        </w:rPr>
        <w:t xml:space="preserve">Be able to demonstrate technical sophistication related to their self-selected area of scholarly specialty by using laboratory apparatus, software applications, survey instruments, etc. </w:t>
      </w:r>
    </w:p>
    <w:p w:rsidR="00000000" w:rsidRDefault="00F33674">
      <w:pPr>
        <w:numPr>
          <w:ilvl w:val="0"/>
          <w:numId w:val="3"/>
        </w:numPr>
        <w:spacing w:before="100" w:beforeAutospacing="1" w:after="100" w:afterAutospacing="1" w:line="348" w:lineRule="atLeast"/>
        <w:ind w:left="0"/>
        <w:divId w:val="1723870152"/>
        <w:rPr>
          <w:rFonts w:eastAsia="Times New Roman"/>
        </w:rPr>
      </w:pPr>
      <w:r>
        <w:rPr>
          <w:rFonts w:eastAsia="Times New Roman"/>
        </w:rPr>
        <w:t xml:space="preserve">Be able to design, produce, analyze, and report original research that contributes to their self-selected area of scholarly specialty. </w:t>
      </w:r>
    </w:p>
    <w:p w:rsidR="00000000" w:rsidRDefault="00F33674">
      <w:pPr>
        <w:numPr>
          <w:ilvl w:val="0"/>
          <w:numId w:val="3"/>
        </w:numPr>
        <w:spacing w:before="100" w:beforeAutospacing="1" w:after="100" w:afterAutospacing="1" w:line="348" w:lineRule="atLeast"/>
        <w:ind w:left="0"/>
        <w:divId w:val="1723870152"/>
        <w:rPr>
          <w:rFonts w:eastAsia="Times New Roman"/>
        </w:rPr>
      </w:pPr>
      <w:r>
        <w:rPr>
          <w:rFonts w:eastAsia="Times New Roman"/>
        </w:rPr>
        <w:t>Be able to weigh evidence, tolerate ambiguity, act ethically, and reflect other values that are the underpinnings of psy</w:t>
      </w:r>
      <w:r>
        <w:rPr>
          <w:rFonts w:eastAsia="Times New Roman"/>
        </w:rPr>
        <w:t>chology as an academic and professional discipline. In particular, they should be able to critically reflect on these values in light of their knowledge of and commitment to the restored gospel of Jesus Christ and to sustain personal values that are true t</w:t>
      </w:r>
      <w:r>
        <w:rPr>
          <w:rFonts w:eastAsia="Times New Roman"/>
        </w:rPr>
        <w:t xml:space="preserve">o the gospel while maintaining their scholarly study of psychology. </w:t>
      </w:r>
    </w:p>
    <w:p w:rsidR="00000000" w:rsidRDefault="00F33674">
      <w:pPr>
        <w:pStyle w:val="Heading2"/>
        <w:divId w:val="1723870152"/>
        <w:rPr>
          <w:rFonts w:eastAsia="Times New Roman"/>
        </w:rPr>
      </w:pPr>
      <w:r>
        <w:rPr>
          <w:rFonts w:eastAsia="Times New Roman"/>
        </w:rPr>
        <w:t>Required Text</w:t>
      </w:r>
    </w:p>
    <w:p w:rsidR="00000000" w:rsidRDefault="00F33674">
      <w:pPr>
        <w:pStyle w:val="NormalWeb"/>
        <w:divId w:val="1723870152"/>
      </w:pPr>
      <w:r>
        <w:t xml:space="preserve">Schacter, D., Gilbert, D., Wegner, D., and Nock, M. (2014) </w:t>
      </w:r>
      <w:r>
        <w:rPr>
          <w:rStyle w:val="Emphasis"/>
        </w:rPr>
        <w:t>Psychology,</w:t>
      </w:r>
      <w:r>
        <w:t xml:space="preserve"> 3rd Ed. New York: Worth.</w:t>
      </w:r>
    </w:p>
    <w:p w:rsidR="00000000" w:rsidRDefault="00F33674">
      <w:pPr>
        <w:pStyle w:val="NormalWeb"/>
        <w:divId w:val="1723870152"/>
      </w:pPr>
      <w:r>
        <w:rPr>
          <w:rStyle w:val="Strong"/>
        </w:rPr>
        <w:t>Additional Resource</w:t>
      </w:r>
      <w:r>
        <w:t xml:space="preserve">: </w:t>
      </w:r>
      <w:r>
        <w:rPr>
          <w:rStyle w:val="Emphasis"/>
        </w:rPr>
        <w:t>LaunchPad</w:t>
      </w:r>
      <w:r>
        <w:t>, which should have been bundled with your text</w:t>
      </w:r>
      <w:r>
        <w:t>.</w:t>
      </w:r>
    </w:p>
    <w:p w:rsidR="00000000" w:rsidRDefault="00F33674">
      <w:pPr>
        <w:pStyle w:val="NormalWeb"/>
        <w:divId w:val="1723870152"/>
      </w:pPr>
      <w:r>
        <w:rPr>
          <w:rStyle w:val="Strong"/>
        </w:rPr>
        <w:t>Note:</w:t>
      </w:r>
      <w:r>
        <w:t xml:space="preserve"> You can purchase one of two versions:</w:t>
      </w:r>
    </w:p>
    <w:p w:rsidR="00000000" w:rsidRDefault="00F33674">
      <w:pPr>
        <w:numPr>
          <w:ilvl w:val="0"/>
          <w:numId w:val="4"/>
        </w:numPr>
        <w:spacing w:before="100" w:beforeAutospacing="1" w:after="100" w:afterAutospacing="1" w:line="348" w:lineRule="atLeast"/>
        <w:ind w:left="0"/>
        <w:divId w:val="1723870152"/>
        <w:rPr>
          <w:rFonts w:eastAsia="Times New Roman"/>
        </w:rPr>
      </w:pPr>
      <w:r>
        <w:rPr>
          <w:rFonts w:eastAsia="Times New Roman"/>
        </w:rPr>
        <w:t xml:space="preserve">Version 1: electronic version + loose leaf text </w:t>
      </w:r>
    </w:p>
    <w:p w:rsidR="00000000" w:rsidRDefault="00F33674">
      <w:pPr>
        <w:numPr>
          <w:ilvl w:val="0"/>
          <w:numId w:val="4"/>
        </w:numPr>
        <w:spacing w:before="100" w:beforeAutospacing="1" w:after="100" w:afterAutospacing="1" w:line="348" w:lineRule="atLeast"/>
        <w:ind w:left="0"/>
        <w:divId w:val="1723870152"/>
        <w:rPr>
          <w:rFonts w:eastAsia="Times New Roman"/>
        </w:rPr>
      </w:pPr>
      <w:r>
        <w:rPr>
          <w:rFonts w:eastAsia="Times New Roman"/>
        </w:rPr>
        <w:t xml:space="preserve">Version 2: electronic version only </w:t>
      </w:r>
    </w:p>
    <w:p w:rsidR="00000000" w:rsidRDefault="00F33674">
      <w:pPr>
        <w:pStyle w:val="Heading2"/>
        <w:divId w:val="1723870152"/>
        <w:rPr>
          <w:rFonts w:eastAsia="Times New Roman"/>
        </w:rPr>
      </w:pPr>
      <w:r>
        <w:rPr>
          <w:rFonts w:eastAsia="Times New Roman"/>
        </w:rPr>
        <w:t>General Course Design</w:t>
      </w:r>
    </w:p>
    <w:p w:rsidR="00000000" w:rsidRDefault="00F33674">
      <w:pPr>
        <w:pStyle w:val="NormalWeb"/>
        <w:divId w:val="1723870152"/>
      </w:pPr>
      <w:r>
        <w:t>There are three basic instructional activities: (a) course lectures, (b) assigned readings, and (c) sup</w:t>
      </w:r>
      <w:r>
        <w:t xml:space="preserve">plemental activities associated with LaunchPad. The lectures and readings are designed to convey the conceptual and logical foundations associated with developing an understanding of psychology. </w:t>
      </w:r>
    </w:p>
    <w:p w:rsidR="00000000" w:rsidRDefault="00F33674">
      <w:pPr>
        <w:pStyle w:val="NormalWeb"/>
        <w:divId w:val="1723870152"/>
      </w:pPr>
      <w:r>
        <w:t>The purpose of the LaunchPad is to (1) provide students with</w:t>
      </w:r>
      <w:r>
        <w:t xml:space="preserve"> various simulations and demonstrations, (2) a way to guide you in your studying, and (3) it can provide you personalized reviews for material that you find particularly difficult. LaunchPad also has a research and writing component where you can learn how</w:t>
      </w:r>
      <w:r>
        <w:t xml:space="preserve"> to locate and download various research articles as well as assistance in writing for the social sciences. LaunchPad also contains a copy of the book in its entirety such that you can read the text from any computer with an internet connection. </w:t>
      </w:r>
    </w:p>
    <w:p w:rsidR="00000000" w:rsidRDefault="00F33674">
      <w:pPr>
        <w:pStyle w:val="Heading2"/>
        <w:divId w:val="1723870152"/>
        <w:rPr>
          <w:rFonts w:eastAsia="Times New Roman"/>
        </w:rPr>
      </w:pPr>
      <w:r>
        <w:rPr>
          <w:rFonts w:eastAsia="Times New Roman"/>
        </w:rPr>
        <w:t>Student E</w:t>
      </w:r>
      <w:r>
        <w:rPr>
          <w:rFonts w:eastAsia="Times New Roman"/>
        </w:rPr>
        <w:t>valuation</w:t>
      </w:r>
    </w:p>
    <w:p w:rsidR="00000000" w:rsidRDefault="00F33674">
      <w:pPr>
        <w:pStyle w:val="Heading3"/>
        <w:divId w:val="1723870152"/>
        <w:rPr>
          <w:rFonts w:eastAsia="Times New Roman"/>
        </w:rPr>
      </w:pPr>
      <w:r>
        <w:rPr>
          <w:rFonts w:eastAsia="Times New Roman"/>
        </w:rPr>
        <w:t>Major Course Examinations</w:t>
      </w:r>
    </w:p>
    <w:p w:rsidR="00000000" w:rsidRDefault="00F33674">
      <w:pPr>
        <w:pStyle w:val="NormalWeb"/>
        <w:divId w:val="1723870152"/>
      </w:pPr>
      <w:r>
        <w:t>There will be FOUR major course examinations. The first exam will occur about four weeks into the term, the second exam will occur about the eighth or ninth week of the term, and the third exam will occur at about the el</w:t>
      </w:r>
      <w:r>
        <w:t>eventh week. The last exam, the final exam, will be given during finals week and is comprehensive. The first three major exams are not comprehensive; however, they do build upon those concepts previously covered. Because this is an online course, these dat</w:t>
      </w:r>
      <w:r>
        <w:t>es/timelines are suggestions.</w:t>
      </w:r>
    </w:p>
    <w:p w:rsidR="00000000" w:rsidRDefault="00F33674">
      <w:pPr>
        <w:pStyle w:val="NormalWeb"/>
        <w:divId w:val="1723870152"/>
      </w:pPr>
      <w:r>
        <w:rPr>
          <w:rStyle w:val="Strong"/>
        </w:rPr>
        <w:t>Note</w:t>
      </w:r>
      <w:r>
        <w:t>: The exams for this course will be administered online, proctored these exams remotely via Adobe Connect. Please see the exam preparation pages for more information about scheduling a time and how the exams will work.</w:t>
      </w:r>
    </w:p>
    <w:p w:rsidR="00000000" w:rsidRDefault="00F33674">
      <w:pPr>
        <w:pStyle w:val="Heading3"/>
        <w:divId w:val="1723870152"/>
        <w:rPr>
          <w:rFonts w:eastAsia="Times New Roman"/>
        </w:rPr>
      </w:pPr>
      <w:r>
        <w:rPr>
          <w:rFonts w:eastAsia="Times New Roman"/>
        </w:rPr>
        <w:t>Imp</w:t>
      </w:r>
      <w:r>
        <w:rPr>
          <w:rFonts w:eastAsia="Times New Roman"/>
        </w:rPr>
        <w:t>ortant Exam Note</w:t>
      </w:r>
    </w:p>
    <w:p w:rsidR="00000000" w:rsidRDefault="00F33674">
      <w:pPr>
        <w:pStyle w:val="NormalWeb"/>
        <w:divId w:val="1723870152"/>
      </w:pPr>
      <w:r>
        <w:t>In order to be prepared for your online exam, you are required to set up a test run for Adobe Connect with BYU Independent Study’s Technical Support before your first checkpoint; this will ensure that you understand the software and also t</w:t>
      </w:r>
      <w:r>
        <w:t xml:space="preserve">hat your computer is compatible with the screen sharing portion of the software. </w:t>
      </w:r>
    </w:p>
    <w:p w:rsidR="00000000" w:rsidRDefault="00F33674">
      <w:pPr>
        <w:pStyle w:val="NormalWeb"/>
        <w:divId w:val="1723870152"/>
      </w:pPr>
      <w:r>
        <w:t>You can call, email, or chat with a representative during our business hours Mon - Fri 8am - 6pm:</w:t>
      </w:r>
    </w:p>
    <w:p w:rsidR="00000000" w:rsidRDefault="00F33674">
      <w:pPr>
        <w:pStyle w:val="NormalWeb"/>
        <w:divId w:val="1723870152"/>
      </w:pPr>
      <w:r>
        <w:t xml:space="preserve">Toll free number: 1-877-897-8085 </w:t>
      </w:r>
      <w:r>
        <w:br/>
        <w:t xml:space="preserve">Local Number: 1-801-422-8524 </w:t>
      </w:r>
      <w:r>
        <w:br/>
        <w:t xml:space="preserve">Email: </w:t>
      </w:r>
      <w:hyperlink r:id="rId8" w:history="1">
        <w:r>
          <w:rPr>
            <w:rStyle w:val="Hyperlink"/>
          </w:rPr>
          <w:t>istech@byu.edu</w:t>
        </w:r>
      </w:hyperlink>
    </w:p>
    <w:p w:rsidR="00000000" w:rsidRDefault="00F33674">
      <w:pPr>
        <w:pStyle w:val="NormalWeb"/>
        <w:divId w:val="1723870152"/>
      </w:pPr>
      <w:r>
        <w:t>Chat Link:</w:t>
      </w:r>
      <w:r>
        <w:br/>
      </w:r>
      <w:hyperlink r:id="rId9" w:tgtFrame="_blank" w:history="1">
        <w:r>
          <w:rPr>
            <w:rStyle w:val="Hyperlink"/>
          </w:rPr>
          <w:t>Click to Chat</w:t>
        </w:r>
      </w:hyperlink>
    </w:p>
    <w:p w:rsidR="00000000" w:rsidRDefault="00F33674">
      <w:pPr>
        <w:pStyle w:val="NormalWeb"/>
        <w:divId w:val="1723870152"/>
      </w:pPr>
      <w:r>
        <w:rPr>
          <w:rStyle w:val="Strong"/>
        </w:rPr>
        <w:t>Note:</w:t>
      </w:r>
      <w:r>
        <w:t xml:space="preserve"> Your TA will not be able to post a grade fo</w:t>
      </w:r>
      <w:r>
        <w:t xml:space="preserve">r your first checkpoint until you have completed the test run. </w:t>
      </w:r>
    </w:p>
    <w:p w:rsidR="00000000" w:rsidRDefault="00F33674">
      <w:pPr>
        <w:pStyle w:val="Heading3"/>
        <w:divId w:val="1723870152"/>
        <w:rPr>
          <w:rFonts w:eastAsia="Times New Roman"/>
        </w:rPr>
      </w:pPr>
      <w:r>
        <w:rPr>
          <w:rFonts w:eastAsia="Times New Roman"/>
        </w:rPr>
        <w:t>Learning Curve: Found on LaunchPad</w:t>
      </w:r>
    </w:p>
    <w:p w:rsidR="00000000" w:rsidRDefault="00F33674">
      <w:pPr>
        <w:pStyle w:val="NormalWeb"/>
        <w:divId w:val="1723870152"/>
      </w:pPr>
      <w:r>
        <w:t xml:space="preserve">After reading and </w:t>
      </w:r>
      <w:r>
        <w:rPr>
          <w:rStyle w:val="Emphasis"/>
        </w:rPr>
        <w:t>studying each chapter</w:t>
      </w:r>
      <w:r>
        <w:t xml:space="preserve"> you are required to complete the on-line Learning Curve. Each activity will require you to answer a series of questio</w:t>
      </w:r>
      <w:r>
        <w:t>ns  (correctly) until your status bar is complete. Each time you get an answer right it gives you another item that is slightly more difficult than the one before, if you get the item wrong it gives you an easier item. Harder items give you more on the sta</w:t>
      </w:r>
      <w:r>
        <w:t xml:space="preserve">tus bar – easier items give you less. If you are stumped it can show you a hint, give you the answer, etc. LaunchPad has FAQ for you in terms of the details. </w:t>
      </w:r>
    </w:p>
    <w:p w:rsidR="00000000" w:rsidRDefault="00F33674">
      <w:pPr>
        <w:pStyle w:val="NormalWeb"/>
        <w:divId w:val="1723870152"/>
      </w:pPr>
      <w:r>
        <w:rPr>
          <w:rStyle w:val="Strong"/>
        </w:rPr>
        <w:t>Note:</w:t>
      </w:r>
      <w:r>
        <w:t xml:space="preserve"> You </w:t>
      </w:r>
      <w:r>
        <w:rPr>
          <w:rStyle w:val="Emphasis"/>
        </w:rPr>
        <w:t>can</w:t>
      </w:r>
      <w:r>
        <w:t xml:space="preserve"> stop in the middle and come back to </w:t>
      </w:r>
      <w:r>
        <w:t>an activity if you get tired or bored in the middle of it and it will pick up where you left off.</w:t>
      </w:r>
    </w:p>
    <w:p w:rsidR="00000000" w:rsidRDefault="00F33674">
      <w:pPr>
        <w:pStyle w:val="Heading4"/>
        <w:divId w:val="1723870152"/>
        <w:rPr>
          <w:rFonts w:eastAsia="Times New Roman"/>
        </w:rPr>
      </w:pPr>
      <w:r>
        <w:rPr>
          <w:rStyle w:val="Strong"/>
          <w:rFonts w:eastAsia="Times New Roman"/>
          <w:b/>
          <w:bCs/>
        </w:rPr>
        <w:t>A note about the Learning Curve</w:t>
      </w:r>
    </w:p>
    <w:p w:rsidR="00000000" w:rsidRDefault="00F33674">
      <w:pPr>
        <w:pStyle w:val="NormalWeb"/>
        <w:divId w:val="1723870152"/>
      </w:pPr>
      <w:r>
        <w:t>These are for you in terms of studying for the exams. Some of the items are darn hard! You can have your book open when you do</w:t>
      </w:r>
      <w:r>
        <w:t xml:space="preserve"> these. The wise student would take the Learning Curve activities/quizzes (those relevant for that exam) before you take the exam. In the past some students decide to take all Learning Curve activities – for all chapters at the end of the semester – this i</w:t>
      </w:r>
      <w:r>
        <w:t xml:space="preserve">s crazy. Complete the Learning Curve activities as you complete each chapter and have had a chance to study the material. </w:t>
      </w:r>
      <w:r>
        <w:rPr>
          <w:rStyle w:val="Strong"/>
        </w:rPr>
        <w:t>ALL LEARNING CURVE ACTIVITIES MUST BE COMPLETED BY DECEMBER 11TH AT 3PM!</w:t>
      </w:r>
    </w:p>
    <w:p w:rsidR="00000000" w:rsidRDefault="00F33674">
      <w:pPr>
        <w:pStyle w:val="Heading4"/>
        <w:divId w:val="1723870152"/>
        <w:rPr>
          <w:rFonts w:eastAsia="Times New Roman"/>
        </w:rPr>
      </w:pPr>
      <w:r>
        <w:rPr>
          <w:rStyle w:val="Strong"/>
          <w:rFonts w:eastAsia="Times New Roman"/>
          <w:b/>
          <w:bCs/>
        </w:rPr>
        <w:t>Scoring for Learning Curve</w:t>
      </w:r>
    </w:p>
    <w:p w:rsidR="00000000" w:rsidRDefault="00F33674">
      <w:pPr>
        <w:pStyle w:val="NormalWeb"/>
        <w:divId w:val="1723870152"/>
      </w:pPr>
      <w:r>
        <w:t>These are scored as a pass/fail—so</w:t>
      </w:r>
      <w:r>
        <w:t>rt of. Once you complete a Learning Curve activity you get 1 point - stop or end anytime beforehand it is recorded as a 0. At the end of the term I will average your Learning Curve activities—which for everyone should be a 100% (75 points)—then I take that</w:t>
      </w:r>
      <w:r>
        <w:t xml:space="preserve"> 100% times the points allocated toward Learning Curve, which is 75—thus 28/28 (there are 28 Learning Curves – 2 per chapter) = 100% x 75 = 75 points. Say you completed only 26 of the 28 Learning Curve Activities your average percentage would be 26/28 = 93</w:t>
      </w:r>
      <w:r>
        <w:t xml:space="preserve">% - so you would have .93 x 75 = 70 points. STILL if you </w:t>
      </w:r>
      <w:r>
        <w:rPr>
          <w:rStyle w:val="Emphasis"/>
        </w:rPr>
        <w:t>complete</w:t>
      </w:r>
      <w:r>
        <w:t xml:space="preserve"> them all you will have 100% or the full 75 points.</w:t>
      </w:r>
    </w:p>
    <w:p w:rsidR="00000000" w:rsidRDefault="00F33674">
      <w:pPr>
        <w:pStyle w:val="Heading3"/>
        <w:divId w:val="1723870152"/>
        <w:rPr>
          <w:rFonts w:eastAsia="Times New Roman"/>
        </w:rPr>
      </w:pPr>
      <w:r>
        <w:rPr>
          <w:rFonts w:eastAsia="Times New Roman"/>
        </w:rPr>
        <w:t>A Paper—Ugh!</w:t>
      </w:r>
    </w:p>
    <w:p w:rsidR="00000000" w:rsidRDefault="00F33674">
      <w:pPr>
        <w:pStyle w:val="NormalWeb"/>
        <w:divId w:val="1723870152"/>
      </w:pPr>
      <w:r>
        <w:t>You may ask, or others may ask you, what can you do with a BS in psychology? Good question. Here’s one answer. If you can writ</w:t>
      </w:r>
      <w:r>
        <w:t>e well—you can find a job. Prospective employers are always looking for people with solid writing skills. So, like many things in life, practice makes perfect—or at least improves whatever you are working at. So you will write a 2–3 page paper. You will re</w:t>
      </w:r>
      <w:r>
        <w:t xml:space="preserve">ad the article (Wegner, D. M. (2009). </w:t>
      </w:r>
      <w:hyperlink r:id="rId10" w:tgtFrame="_blank" w:history="1">
        <w:r>
          <w:rPr>
            <w:rStyle w:val="Hyperlink"/>
          </w:rPr>
          <w:t>How to Think, Say, or Do Precisely the Worst Thing for Any Occasion</w:t>
        </w:r>
      </w:hyperlink>
      <w:r>
        <w:t xml:space="preserve">. </w:t>
      </w:r>
      <w:r>
        <w:rPr>
          <w:rStyle w:val="Emphasis"/>
        </w:rPr>
        <w:t xml:space="preserve">Science, 325, </w:t>
      </w:r>
      <w:r>
        <w:t>48-50) and write a reaction paper based on this article. One thing I wil</w:t>
      </w:r>
      <w:r>
        <w:t xml:space="preserve">l want you to do toward the end of the paper—about the last fourth of the paper—is to connect a Gospel or LDS perspective into the paper. </w:t>
      </w:r>
    </w:p>
    <w:p w:rsidR="00000000" w:rsidRDefault="00F33674">
      <w:pPr>
        <w:pStyle w:val="NormalWeb"/>
        <w:divId w:val="1723870152"/>
      </w:pPr>
      <w:r>
        <w:rPr>
          <w:rStyle w:val="Strong"/>
        </w:rPr>
        <w:t>Papers that are turned in late will be docked 5 points per day they are late.</w:t>
      </w:r>
    </w:p>
    <w:p w:rsidR="00000000" w:rsidRDefault="00F33674">
      <w:pPr>
        <w:pStyle w:val="NormalWeb"/>
        <w:divId w:val="1723870152"/>
      </w:pPr>
      <w:r>
        <w:rPr>
          <w:rStyle w:val="Strong"/>
        </w:rPr>
        <w:t>Note:</w:t>
      </w:r>
      <w:r>
        <w:t xml:space="preserve"> The details of the assginment aft</w:t>
      </w:r>
      <w:r>
        <w:t>er unit 4, before your second Checkpoint. Read it now if you'd like a preview of the assignment.</w:t>
      </w:r>
    </w:p>
    <w:p w:rsidR="00000000" w:rsidRDefault="00F33674">
      <w:pPr>
        <w:pStyle w:val="NormalWeb"/>
        <w:divId w:val="1723870152"/>
      </w:pPr>
      <w:r>
        <w:t xml:space="preserve">You will turn this paper in twice. </w:t>
      </w:r>
    </w:p>
    <w:p w:rsidR="00000000" w:rsidRDefault="00F33674">
      <w:pPr>
        <w:numPr>
          <w:ilvl w:val="0"/>
          <w:numId w:val="5"/>
        </w:numPr>
        <w:spacing w:before="100" w:beforeAutospacing="1" w:after="100" w:afterAutospacing="1" w:line="348" w:lineRule="atLeast"/>
        <w:ind w:left="0"/>
        <w:divId w:val="1723870152"/>
        <w:rPr>
          <w:rFonts w:eastAsia="Times New Roman"/>
        </w:rPr>
      </w:pPr>
      <w:r>
        <w:rPr>
          <w:rFonts w:eastAsia="Times New Roman"/>
        </w:rPr>
        <w:t>Turn the first draft in before Checkpoint 2. It will be scored out of 40 points. Incorporate my suggestions into your final</w:t>
      </w:r>
      <w:r>
        <w:rPr>
          <w:rFonts w:eastAsia="Times New Roman"/>
        </w:rPr>
        <w:t xml:space="preserve"> draft. </w:t>
      </w:r>
    </w:p>
    <w:p w:rsidR="00000000" w:rsidRDefault="00F33674">
      <w:pPr>
        <w:numPr>
          <w:ilvl w:val="0"/>
          <w:numId w:val="5"/>
        </w:numPr>
        <w:spacing w:before="100" w:beforeAutospacing="1" w:after="100" w:afterAutospacing="1" w:line="348" w:lineRule="atLeast"/>
        <w:ind w:left="0"/>
        <w:divId w:val="1723870152"/>
        <w:rPr>
          <w:rFonts w:eastAsia="Times New Roman"/>
        </w:rPr>
      </w:pPr>
      <w:r>
        <w:rPr>
          <w:rFonts w:eastAsia="Times New Roman"/>
        </w:rPr>
        <w:t xml:space="preserve">Turn in the final draft </w:t>
      </w:r>
      <w:r>
        <w:rPr>
          <w:rStyle w:val="Emphasis"/>
          <w:rFonts w:eastAsia="Times New Roman"/>
        </w:rPr>
        <w:t>with the rough draft</w:t>
      </w:r>
      <w:r>
        <w:rPr>
          <w:rFonts w:eastAsia="Times New Roman"/>
        </w:rPr>
        <w:t xml:space="preserve"> after you complete lesson 16. It will be scored out of 60 points.</w:t>
      </w:r>
    </w:p>
    <w:p w:rsidR="00000000" w:rsidRDefault="00F33674">
      <w:pPr>
        <w:pStyle w:val="Heading2"/>
        <w:divId w:val="1723870152"/>
        <w:rPr>
          <w:rFonts w:eastAsia="Times New Roman"/>
        </w:rPr>
      </w:pPr>
      <w:r>
        <w:rPr>
          <w:rFonts w:eastAsia="Times New Roman"/>
        </w:rPr>
        <w:t>Grade Assignment</w:t>
      </w:r>
    </w:p>
    <w:p w:rsidR="00000000" w:rsidRDefault="00F33674">
      <w:pPr>
        <w:pStyle w:val="NormalWeb"/>
        <w:divId w:val="1723870152"/>
      </w:pPr>
      <w:r>
        <w:t>Grades will be based on each student’s cumulative score on the quizzes, papers, and major examinations. Grade assignmen</w:t>
      </w:r>
      <w:r>
        <w:t>ts will be based on the following basis:</w:t>
      </w:r>
    </w:p>
    <w:tbl>
      <w:tblPr>
        <w:tblW w:w="0" w:type="auto"/>
        <w:jc w:val="center"/>
        <w:tblCellMar>
          <w:top w:w="15" w:type="dxa"/>
          <w:left w:w="15" w:type="dxa"/>
          <w:bottom w:w="15" w:type="dxa"/>
          <w:right w:w="15" w:type="dxa"/>
        </w:tblCellMar>
        <w:tblLook w:val="04A0" w:firstRow="1" w:lastRow="0" w:firstColumn="1" w:lastColumn="0" w:noHBand="0" w:noVBand="1"/>
      </w:tblPr>
      <w:tblGrid>
        <w:gridCol w:w="3022"/>
        <w:gridCol w:w="1223"/>
      </w:tblGrid>
      <w:tr w:rsidR="00000000">
        <w:trPr>
          <w:divId w:val="1723870152"/>
          <w:jc w:val="center"/>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Exam 1</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100 points</w:t>
            </w:r>
          </w:p>
        </w:tc>
      </w:tr>
      <w:tr w:rsidR="00000000">
        <w:trPr>
          <w:divId w:val="1723870152"/>
          <w:jc w:val="center"/>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Exam 2</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100 points</w:t>
            </w:r>
          </w:p>
        </w:tc>
      </w:tr>
      <w:tr w:rsidR="00000000">
        <w:trPr>
          <w:divId w:val="1723870152"/>
          <w:jc w:val="center"/>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Exam 3</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100 points</w:t>
            </w:r>
          </w:p>
        </w:tc>
      </w:tr>
      <w:tr w:rsidR="00000000">
        <w:trPr>
          <w:divId w:val="1723870152"/>
          <w:jc w:val="center"/>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Comprehensive Final Exam</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100 points</w:t>
            </w:r>
          </w:p>
        </w:tc>
      </w:tr>
      <w:tr w:rsidR="00000000">
        <w:trPr>
          <w:divId w:val="1723870152"/>
          <w:jc w:val="center"/>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Wegner Paper: Draft</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40 points</w:t>
            </w:r>
          </w:p>
        </w:tc>
      </w:tr>
      <w:tr w:rsidR="00000000">
        <w:trPr>
          <w:divId w:val="1723870152"/>
          <w:jc w:val="center"/>
        </w:trPr>
        <w:tc>
          <w:tcPr>
            <w:tcW w:w="0" w:type="auto"/>
            <w:tcMar>
              <w:top w:w="108" w:type="dxa"/>
              <w:left w:w="108" w:type="dxa"/>
              <w:bottom w:w="108" w:type="dxa"/>
              <w:right w:w="108" w:type="dxa"/>
            </w:tcMar>
            <w:hideMark/>
          </w:tcPr>
          <w:p w:rsidR="00000000" w:rsidRDefault="00F33674">
            <w:pPr>
              <w:rPr>
                <w:rFonts w:eastAsia="Times New Roman"/>
              </w:rPr>
            </w:pPr>
          </w:p>
        </w:tc>
        <w:tc>
          <w:tcPr>
            <w:tcW w:w="0" w:type="auto"/>
            <w:tcMar>
              <w:top w:w="108" w:type="dxa"/>
              <w:left w:w="108" w:type="dxa"/>
              <w:bottom w:w="108" w:type="dxa"/>
              <w:right w:w="108" w:type="dxa"/>
            </w:tcMar>
            <w:vAlign w:val="center"/>
            <w:hideMark/>
          </w:tcPr>
          <w:p w:rsidR="00000000" w:rsidRDefault="00F33674">
            <w:pPr>
              <w:rPr>
                <w:rFonts w:eastAsia="Times New Roman"/>
                <w:sz w:val="20"/>
                <w:szCs w:val="20"/>
              </w:rPr>
            </w:pPr>
          </w:p>
        </w:tc>
      </w:tr>
      <w:tr w:rsidR="00000000">
        <w:trPr>
          <w:divId w:val="1723870152"/>
          <w:jc w:val="center"/>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Wegner Paper: Final Version</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60 points</w:t>
            </w:r>
          </w:p>
        </w:tc>
      </w:tr>
      <w:tr w:rsidR="00000000">
        <w:trPr>
          <w:divId w:val="1723870152"/>
          <w:jc w:val="center"/>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Learning Curve Activities</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75 points</w:t>
            </w:r>
          </w:p>
        </w:tc>
      </w:tr>
      <w:tr w:rsidR="00000000">
        <w:trPr>
          <w:divId w:val="1723870152"/>
          <w:jc w:val="center"/>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Total Points</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575 points</w:t>
            </w:r>
          </w:p>
        </w:tc>
      </w:tr>
    </w:tbl>
    <w:p w:rsidR="00000000" w:rsidRDefault="00F33674">
      <w:pPr>
        <w:pStyle w:val="NormalWeb"/>
        <w:divId w:val="1723870152"/>
      </w:pPr>
      <w:r>
        <w:t>Because the 75 points for the Learning Curve are really pretty straightforward there are no opportunities for Extra Credit. It is assumed/hoped that everyone—yes everyone—</w:t>
      </w:r>
      <w:r>
        <w:t>will get the full 75 points on the Learning Curve.</w:t>
      </w:r>
    </w:p>
    <w:tbl>
      <w:tblPr>
        <w:tblW w:w="0" w:type="auto"/>
        <w:jc w:val="center"/>
        <w:tblCellMar>
          <w:top w:w="15" w:type="dxa"/>
          <w:left w:w="15" w:type="dxa"/>
          <w:bottom w:w="15" w:type="dxa"/>
          <w:right w:w="15" w:type="dxa"/>
        </w:tblCellMar>
        <w:tblLook w:val="04A0" w:firstRow="1" w:lastRow="0" w:firstColumn="1" w:lastColumn="0" w:noHBand="0" w:noVBand="1"/>
      </w:tblPr>
      <w:tblGrid>
        <w:gridCol w:w="1059"/>
        <w:gridCol w:w="656"/>
      </w:tblGrid>
      <w:tr w:rsidR="00000000">
        <w:trPr>
          <w:divId w:val="1723870152"/>
          <w:jc w:val="center"/>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F33674">
            <w:pPr>
              <w:jc w:val="center"/>
              <w:rPr>
                <w:rFonts w:eastAsia="Times New Roman"/>
                <w:b/>
                <w:bCs/>
              </w:rPr>
            </w:pPr>
            <w:r>
              <w:rPr>
                <w:rStyle w:val="Strong"/>
                <w:rFonts w:eastAsia="Times New Roman"/>
              </w:rPr>
              <w:t>Grades</w:t>
            </w:r>
          </w:p>
        </w:tc>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F33674">
            <w:pPr>
              <w:jc w:val="center"/>
              <w:rPr>
                <w:rFonts w:eastAsia="Times New Roman"/>
                <w:b/>
                <w:bCs/>
              </w:rPr>
            </w:pPr>
            <w:r>
              <w:rPr>
                <w:rStyle w:val="Strong"/>
                <w:rFonts w:eastAsia="Times New Roman"/>
              </w:rPr>
              <w:t>% </w:t>
            </w:r>
          </w:p>
        </w:tc>
      </w:tr>
      <w:tr w:rsidR="00000000">
        <w:trPr>
          <w:divId w:val="1723870152"/>
          <w:jc w:val="center"/>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A</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 xml:space="preserve">93% </w:t>
            </w:r>
          </w:p>
        </w:tc>
      </w:tr>
      <w:tr w:rsidR="00000000">
        <w:trPr>
          <w:divId w:val="1723870152"/>
          <w:jc w:val="center"/>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A–</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90%</w:t>
            </w:r>
          </w:p>
        </w:tc>
      </w:tr>
      <w:tr w:rsidR="00000000">
        <w:trPr>
          <w:divId w:val="1723870152"/>
          <w:jc w:val="center"/>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B+</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87%</w:t>
            </w:r>
          </w:p>
        </w:tc>
      </w:tr>
      <w:tr w:rsidR="00000000">
        <w:trPr>
          <w:divId w:val="1723870152"/>
          <w:jc w:val="center"/>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B</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83%</w:t>
            </w:r>
          </w:p>
        </w:tc>
      </w:tr>
      <w:tr w:rsidR="00000000">
        <w:trPr>
          <w:divId w:val="1723870152"/>
          <w:jc w:val="center"/>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B–</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80%</w:t>
            </w:r>
          </w:p>
        </w:tc>
      </w:tr>
      <w:tr w:rsidR="00000000">
        <w:trPr>
          <w:divId w:val="1723870152"/>
          <w:jc w:val="center"/>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77%</w:t>
            </w:r>
          </w:p>
        </w:tc>
      </w:tr>
      <w:tr w:rsidR="00000000">
        <w:trPr>
          <w:divId w:val="1723870152"/>
          <w:jc w:val="center"/>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73%</w:t>
            </w:r>
          </w:p>
        </w:tc>
      </w:tr>
      <w:tr w:rsidR="00000000">
        <w:trPr>
          <w:divId w:val="1723870152"/>
          <w:jc w:val="center"/>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70%</w:t>
            </w:r>
          </w:p>
        </w:tc>
      </w:tr>
      <w:tr w:rsidR="00000000">
        <w:trPr>
          <w:divId w:val="1723870152"/>
          <w:jc w:val="center"/>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D+</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67%</w:t>
            </w:r>
          </w:p>
        </w:tc>
      </w:tr>
      <w:tr w:rsidR="00000000">
        <w:trPr>
          <w:divId w:val="1723870152"/>
          <w:jc w:val="center"/>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D</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63%</w:t>
            </w:r>
          </w:p>
        </w:tc>
      </w:tr>
      <w:tr w:rsidR="00000000">
        <w:trPr>
          <w:divId w:val="1723870152"/>
          <w:jc w:val="center"/>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D–</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60%</w:t>
            </w:r>
          </w:p>
        </w:tc>
      </w:tr>
    </w:tbl>
    <w:p w:rsidR="00000000" w:rsidRDefault="00F33674">
      <w:pPr>
        <w:pStyle w:val="Heading2"/>
        <w:divId w:val="1723870152"/>
        <w:rPr>
          <w:rFonts w:eastAsia="Times New Roman"/>
        </w:rPr>
      </w:pPr>
      <w:r>
        <w:rPr>
          <w:rFonts w:eastAsia="Times New Roman"/>
        </w:rPr>
        <w:t xml:space="preserve">Plagiarism </w:t>
      </w:r>
    </w:p>
    <w:p w:rsidR="00000000" w:rsidRDefault="00F33674">
      <w:pPr>
        <w:pStyle w:val="NormalWeb"/>
        <w:divId w:val="1723870152"/>
      </w:pPr>
      <w:r>
        <w:t>BYU students should seek to be totally honest in their dealings with others. They should complete their own work and be evaluated based upon that work. They should avoid academic dishonesty and misconduct in all its forms, including plagiarism, fabrication</w:t>
      </w:r>
      <w:r>
        <w:t xml:space="preserve"> or falsification, cheating, and other academic misconduct. Students are responsible not only to adhere to the Honor Code requirement to be honest but also to assist other students in fulfilling their commitment to be honest. (For details, see the complete</w:t>
      </w:r>
      <w:r>
        <w:t xml:space="preserve"> version of the </w:t>
      </w:r>
      <w:hyperlink r:id="rId11" w:tgtFrame="_blank" w:history="1">
        <w:r>
          <w:rPr>
            <w:rStyle w:val="Hyperlink"/>
          </w:rPr>
          <w:t>Academic Honesty Policy</w:t>
        </w:r>
      </w:hyperlink>
      <w:r>
        <w:t>.)</w:t>
      </w:r>
    </w:p>
    <w:p w:rsidR="00000000" w:rsidRDefault="00F33674">
      <w:pPr>
        <w:pStyle w:val="Heading2"/>
        <w:divId w:val="1723870152"/>
        <w:rPr>
          <w:rFonts w:eastAsia="Times New Roman"/>
        </w:rPr>
      </w:pPr>
      <w:r>
        <w:rPr>
          <w:rFonts w:eastAsia="Times New Roman"/>
        </w:rPr>
        <w:t>Course Outline: Suggested Timeline</w:t>
      </w:r>
    </w:p>
    <w:tbl>
      <w:tblPr>
        <w:tblW w:w="0" w:type="auto"/>
        <w:tblCellMar>
          <w:top w:w="15" w:type="dxa"/>
          <w:left w:w="15" w:type="dxa"/>
          <w:bottom w:w="15" w:type="dxa"/>
          <w:right w:w="15" w:type="dxa"/>
        </w:tblCellMar>
        <w:tblLook w:val="04A0" w:firstRow="1" w:lastRow="0" w:firstColumn="1" w:lastColumn="0" w:noHBand="0" w:noVBand="1"/>
      </w:tblPr>
      <w:tblGrid>
        <w:gridCol w:w="792"/>
        <w:gridCol w:w="6808"/>
        <w:gridCol w:w="1166"/>
      </w:tblGrid>
      <w:tr w:rsidR="00000000">
        <w:trPr>
          <w:divId w:val="1723870152"/>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F33674">
            <w:pPr>
              <w:jc w:val="center"/>
              <w:rPr>
                <w:rFonts w:eastAsia="Times New Roman"/>
                <w:b/>
                <w:bCs/>
              </w:rPr>
            </w:pPr>
            <w:r>
              <w:rPr>
                <w:rStyle w:val="Strong"/>
                <w:rFonts w:eastAsia="Times New Roman"/>
              </w:rPr>
              <w:t>Date</w:t>
            </w:r>
          </w:p>
        </w:tc>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F33674">
            <w:pPr>
              <w:jc w:val="center"/>
              <w:rPr>
                <w:rFonts w:eastAsia="Times New Roman"/>
                <w:b/>
                <w:bCs/>
              </w:rPr>
            </w:pPr>
            <w:r>
              <w:rPr>
                <w:rStyle w:val="Strong"/>
                <w:rFonts w:eastAsia="Times New Roman"/>
              </w:rPr>
              <w:t>Topic</w:t>
            </w:r>
          </w:p>
        </w:tc>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F33674">
            <w:pPr>
              <w:jc w:val="center"/>
              <w:rPr>
                <w:rFonts w:eastAsia="Times New Roman"/>
                <w:b/>
                <w:bCs/>
              </w:rPr>
            </w:pPr>
            <w:r>
              <w:rPr>
                <w:rStyle w:val="Strong"/>
                <w:rFonts w:eastAsia="Times New Roman"/>
              </w:rPr>
              <w:t>Reading</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9/2</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Introduction to course and course objectives</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1</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9/4</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Introduction to psychology—beyond behaviorism</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1</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9/9</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The science of observation—psychological methods</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2</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9/11</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Explaining behavior and ethics of research</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2</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9/16</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Neuroscience—cellular level</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3</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9/18</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Neuroscience—cortical level</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3</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9/23</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Sensation and perception—visual system</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4</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9/25</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Sensation and perception—audition and other sensory systems</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4</w:t>
            </w:r>
          </w:p>
        </w:tc>
      </w:tr>
      <w:tr w:rsidR="00000000">
        <w:trPr>
          <w:divId w:val="1723870152"/>
        </w:trPr>
        <w:tc>
          <w:tcPr>
            <w:tcW w:w="0" w:type="auto"/>
            <w:gridSpan w:val="3"/>
            <w:tcMar>
              <w:top w:w="108" w:type="dxa"/>
              <w:left w:w="108" w:type="dxa"/>
              <w:bottom w:w="108" w:type="dxa"/>
              <w:right w:w="108" w:type="dxa"/>
            </w:tcMar>
            <w:hideMark/>
          </w:tcPr>
          <w:p w:rsidR="00000000" w:rsidRDefault="00F33674">
            <w:pPr>
              <w:rPr>
                <w:rFonts w:eastAsia="Times New Roman"/>
              </w:rPr>
            </w:pPr>
            <w:r>
              <w:rPr>
                <w:rStyle w:val="Strong"/>
                <w:rFonts w:eastAsia="Times New Roman"/>
              </w:rPr>
              <w:t xml:space="preserve">Exam 1: 100 points Chs. 1–4 </w:t>
            </w:r>
            <w:r>
              <w:rPr>
                <w:rStyle w:val="Strong"/>
                <w:rFonts w:eastAsia="Times New Roman"/>
              </w:rPr>
              <w:t>(Friday 9/26 through Wednesday 10/1)</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9/30</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Consciousness and sleep</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5</w:t>
            </w:r>
          </w:p>
        </w:tc>
      </w:tr>
      <w:tr w:rsidR="00000000">
        <w:trPr>
          <w:divId w:val="1723870152"/>
        </w:trPr>
        <w:tc>
          <w:tcPr>
            <w:tcW w:w="0" w:type="auto"/>
            <w:gridSpan w:val="3"/>
            <w:tcMar>
              <w:top w:w="108" w:type="dxa"/>
              <w:left w:w="108" w:type="dxa"/>
              <w:bottom w:w="108" w:type="dxa"/>
              <w:right w:w="108" w:type="dxa"/>
            </w:tcMar>
            <w:hideMark/>
          </w:tcPr>
          <w:p w:rsidR="00000000" w:rsidRDefault="00F33674">
            <w:pPr>
              <w:rPr>
                <w:rFonts w:eastAsia="Times New Roman"/>
              </w:rPr>
            </w:pPr>
            <w:r>
              <w:rPr>
                <w:rStyle w:val="Strong"/>
                <w:rFonts w:eastAsia="Times New Roman"/>
              </w:rPr>
              <w:t xml:space="preserve">First Draft of Paper is Due 10/2 </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10/2</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Hypnosis and the effects of drugs on consciousness</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5</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10/7</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Memory—basic processes</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6</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10/9</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 xml:space="preserve">Memory—different </w:t>
            </w:r>
            <w:r>
              <w:rPr>
                <w:rFonts w:eastAsia="Times New Roman"/>
              </w:rPr>
              <w:t>forms of memory —forgetting</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6</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10/14</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Learning—associative and classic conditioning</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7</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10/16</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Learning—operant and observational</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7</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10/21</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Language and communication</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9</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 xml:space="preserve">10/23 </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Decision making and problem solving</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9</w:t>
            </w:r>
          </w:p>
        </w:tc>
      </w:tr>
      <w:tr w:rsidR="00000000">
        <w:trPr>
          <w:divId w:val="1723870152"/>
        </w:trPr>
        <w:tc>
          <w:tcPr>
            <w:tcW w:w="0" w:type="auto"/>
            <w:gridSpan w:val="3"/>
            <w:tcMar>
              <w:top w:w="108" w:type="dxa"/>
              <w:left w:w="108" w:type="dxa"/>
              <w:bottom w:w="108" w:type="dxa"/>
              <w:right w:w="108" w:type="dxa"/>
            </w:tcMar>
            <w:hideMark/>
          </w:tcPr>
          <w:p w:rsidR="00000000" w:rsidRDefault="00F33674">
            <w:pPr>
              <w:rPr>
                <w:rFonts w:eastAsia="Times New Roman"/>
              </w:rPr>
            </w:pPr>
            <w:r>
              <w:rPr>
                <w:rStyle w:val="Strong"/>
                <w:rFonts w:eastAsia="Times New Roman"/>
              </w:rPr>
              <w:t>Exam 2: 100 points Chs. 5–7 and 9 (Friday 10/24 through Wednesday 10/29)</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10/28</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Intelligence</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10</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10/30</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Factors affecting intelligence</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10</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11/4</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Development—infancy and childhood</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11</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11/6</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Development—adolescence and adulthood</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11</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11/11</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Personality—psychodynamic and trait based approaches</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12</w:t>
            </w:r>
          </w:p>
        </w:tc>
      </w:tr>
      <w:tr w:rsidR="00000000">
        <w:trPr>
          <w:divId w:val="1723870152"/>
        </w:trPr>
        <w:tc>
          <w:tcPr>
            <w:tcW w:w="0" w:type="auto"/>
            <w:gridSpan w:val="3"/>
            <w:tcMar>
              <w:top w:w="108" w:type="dxa"/>
              <w:left w:w="108" w:type="dxa"/>
              <w:bottom w:w="108" w:type="dxa"/>
              <w:right w:w="108" w:type="dxa"/>
            </w:tcMar>
            <w:hideMark/>
          </w:tcPr>
          <w:p w:rsidR="00000000" w:rsidRDefault="00F33674">
            <w:pPr>
              <w:rPr>
                <w:rFonts w:eastAsia="Times New Roman"/>
              </w:rPr>
            </w:pPr>
            <w:r>
              <w:rPr>
                <w:rStyle w:val="Strong"/>
                <w:rFonts w:eastAsia="Times New Roman"/>
              </w:rPr>
              <w:t>Final Draft of Paper is Due 11/13</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11/13</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Personality—humanistic and social cognitive approaches</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12</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11/18</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Social psychology—interacting with others</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13</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11/20</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Social psychology—social cognition</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13</w:t>
            </w:r>
          </w:p>
        </w:tc>
      </w:tr>
      <w:tr w:rsidR="00000000">
        <w:trPr>
          <w:divId w:val="1723870152"/>
        </w:trPr>
        <w:tc>
          <w:tcPr>
            <w:tcW w:w="0" w:type="auto"/>
            <w:gridSpan w:val="3"/>
            <w:tcMar>
              <w:top w:w="108" w:type="dxa"/>
              <w:left w:w="108" w:type="dxa"/>
              <w:bottom w:w="108" w:type="dxa"/>
              <w:right w:w="108" w:type="dxa"/>
            </w:tcMar>
            <w:hideMark/>
          </w:tcPr>
          <w:p w:rsidR="00000000" w:rsidRDefault="00F33674">
            <w:pPr>
              <w:rPr>
                <w:rFonts w:eastAsia="Times New Roman"/>
              </w:rPr>
            </w:pPr>
            <w:r>
              <w:rPr>
                <w:rStyle w:val="Strong"/>
                <w:rFonts w:eastAsia="Times New Roman"/>
              </w:rPr>
              <w:t>Exam 3: 100 points Chs. 10–13 (Friday 11/20 through Tuesday 11/25)</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12/2</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Psychological disorders—identifying and anxiety disorders</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15</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12/4</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Psychological disorders—mood and personality disorders</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15</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12/9</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Psychological treatment—classic “talk” therapy</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16</w:t>
            </w:r>
          </w:p>
        </w:tc>
      </w:tr>
      <w:tr w:rsidR="00000000">
        <w:trPr>
          <w:divId w:val="1723870152"/>
        </w:trPr>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 xml:space="preserve">12/11 </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Psychological treatment—neurological and brain based explanations</w:t>
            </w:r>
          </w:p>
        </w:tc>
        <w:tc>
          <w:tcPr>
            <w:tcW w:w="0" w:type="auto"/>
            <w:tcMar>
              <w:top w:w="108" w:type="dxa"/>
              <w:left w:w="108" w:type="dxa"/>
              <w:bottom w:w="108" w:type="dxa"/>
              <w:right w:w="108" w:type="dxa"/>
            </w:tcMar>
            <w:hideMark/>
          </w:tcPr>
          <w:p w:rsidR="00000000" w:rsidRDefault="00F33674">
            <w:pPr>
              <w:rPr>
                <w:rFonts w:eastAsia="Times New Roman"/>
              </w:rPr>
            </w:pPr>
            <w:r>
              <w:rPr>
                <w:rFonts w:eastAsia="Times New Roman"/>
              </w:rPr>
              <w:t>Ch. 16</w:t>
            </w:r>
          </w:p>
        </w:tc>
      </w:tr>
      <w:tr w:rsidR="00000000">
        <w:trPr>
          <w:divId w:val="1723870152"/>
        </w:trPr>
        <w:tc>
          <w:tcPr>
            <w:tcW w:w="0" w:type="auto"/>
            <w:gridSpan w:val="3"/>
            <w:tcMar>
              <w:top w:w="108" w:type="dxa"/>
              <w:left w:w="108" w:type="dxa"/>
              <w:bottom w:w="108" w:type="dxa"/>
              <w:right w:w="108" w:type="dxa"/>
            </w:tcMar>
            <w:hideMark/>
          </w:tcPr>
          <w:p w:rsidR="00000000" w:rsidRDefault="00F33674">
            <w:pPr>
              <w:rPr>
                <w:rFonts w:eastAsia="Times New Roman"/>
              </w:rPr>
            </w:pPr>
            <w:r>
              <w:rPr>
                <w:rStyle w:val="Strong"/>
                <w:rFonts w:eastAsia="Times New Roman"/>
              </w:rPr>
              <w:t>Learning Curve Activities Due 12/11 at 11:59 PM.</w:t>
            </w:r>
          </w:p>
        </w:tc>
      </w:tr>
      <w:tr w:rsidR="00000000">
        <w:trPr>
          <w:divId w:val="1723870152"/>
        </w:trPr>
        <w:tc>
          <w:tcPr>
            <w:tcW w:w="0" w:type="auto"/>
            <w:gridSpan w:val="3"/>
            <w:tcMar>
              <w:top w:w="108" w:type="dxa"/>
              <w:left w:w="108" w:type="dxa"/>
              <w:bottom w:w="108" w:type="dxa"/>
              <w:right w:w="108" w:type="dxa"/>
            </w:tcMar>
            <w:hideMark/>
          </w:tcPr>
          <w:p w:rsidR="00000000" w:rsidRDefault="00F33674">
            <w:pPr>
              <w:rPr>
                <w:rFonts w:eastAsia="Times New Roman"/>
              </w:rPr>
            </w:pPr>
            <w:r>
              <w:rPr>
                <w:rStyle w:val="Strong"/>
                <w:rFonts w:eastAsia="Times New Roman"/>
              </w:rPr>
              <w:t xml:space="preserve">Exam 4: 100 points (12/15 through 12/19): All chapters </w:t>
            </w:r>
            <w:r>
              <w:rPr>
                <w:rStyle w:val="Emphasis"/>
                <w:rFonts w:eastAsia="Times New Roman"/>
                <w:b/>
                <w:bCs/>
              </w:rPr>
              <w:t>except</w:t>
            </w:r>
            <w:r>
              <w:rPr>
                <w:rStyle w:val="Strong"/>
                <w:rFonts w:eastAsia="Times New Roman"/>
              </w:rPr>
              <w:t xml:space="preserve"> Chs. 8 and 14</w:t>
            </w:r>
          </w:p>
        </w:tc>
      </w:tr>
    </w:tbl>
    <w:p w:rsidR="00F33674" w:rsidRDefault="00F33674">
      <w:pPr>
        <w:divId w:val="1723870152"/>
        <w:rPr>
          <w:rFonts w:eastAsia="Times New Roman"/>
        </w:rPr>
      </w:pPr>
    </w:p>
    <w:sectPr w:rsidR="00F33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2FC0"/>
    <w:multiLevelType w:val="multilevel"/>
    <w:tmpl w:val="0E28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794F8B"/>
    <w:multiLevelType w:val="multilevel"/>
    <w:tmpl w:val="7A0C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EB5845"/>
    <w:multiLevelType w:val="multilevel"/>
    <w:tmpl w:val="3E4A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B476B0"/>
    <w:multiLevelType w:val="multilevel"/>
    <w:tmpl w:val="330E2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620778"/>
    <w:multiLevelType w:val="multilevel"/>
    <w:tmpl w:val="9018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D46D43"/>
    <w:rsid w:val="00D46D43"/>
    <w:rsid w:val="00F3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D46D43"/>
    <w:rPr>
      <w:rFonts w:ascii="Tahoma" w:hAnsi="Tahoma" w:cs="Tahoma"/>
      <w:sz w:val="16"/>
      <w:szCs w:val="16"/>
    </w:rPr>
  </w:style>
  <w:style w:type="character" w:customStyle="1" w:styleId="BalloonTextChar">
    <w:name w:val="Balloon Text Char"/>
    <w:basedOn w:val="DefaultParagraphFont"/>
    <w:link w:val="BalloonText"/>
    <w:uiPriority w:val="99"/>
    <w:semiHidden/>
    <w:rsid w:val="00D46D43"/>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D46D43"/>
    <w:rPr>
      <w:rFonts w:ascii="Tahoma" w:hAnsi="Tahoma" w:cs="Tahoma"/>
      <w:sz w:val="16"/>
      <w:szCs w:val="16"/>
    </w:rPr>
  </w:style>
  <w:style w:type="character" w:customStyle="1" w:styleId="BalloonTextChar">
    <w:name w:val="Balloon Text Char"/>
    <w:basedOn w:val="DefaultParagraphFont"/>
    <w:link w:val="BalloonText"/>
    <w:uiPriority w:val="99"/>
    <w:semiHidden/>
    <w:rsid w:val="00D46D4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395148">
      <w:bodyDiv w:val="1"/>
      <w:marLeft w:val="0"/>
      <w:marRight w:val="0"/>
      <w:marTop w:val="0"/>
      <w:marBottom w:val="960"/>
      <w:divBdr>
        <w:top w:val="none" w:sz="0" w:space="0" w:color="auto"/>
        <w:left w:val="none" w:sz="0" w:space="0" w:color="auto"/>
        <w:bottom w:val="none" w:sz="0" w:space="0" w:color="auto"/>
        <w:right w:val="none" w:sz="0" w:space="0" w:color="auto"/>
      </w:divBdr>
      <w:divsChild>
        <w:div w:id="1883975072">
          <w:marLeft w:val="0"/>
          <w:marRight w:val="0"/>
          <w:marTop w:val="0"/>
          <w:marBottom w:val="0"/>
          <w:divBdr>
            <w:top w:val="none" w:sz="0" w:space="0" w:color="auto"/>
            <w:left w:val="none" w:sz="0" w:space="0" w:color="auto"/>
            <w:bottom w:val="none" w:sz="0" w:space="0" w:color="auto"/>
            <w:right w:val="none" w:sz="0" w:space="0" w:color="auto"/>
          </w:divBdr>
          <w:divsChild>
            <w:div w:id="2084837237">
              <w:marLeft w:val="0"/>
              <w:marRight w:val="0"/>
              <w:marTop w:val="0"/>
              <w:marBottom w:val="96"/>
              <w:divBdr>
                <w:top w:val="none" w:sz="0" w:space="0" w:color="auto"/>
                <w:left w:val="none" w:sz="0" w:space="0" w:color="auto"/>
                <w:bottom w:val="none" w:sz="0" w:space="0" w:color="auto"/>
                <w:right w:val="none" w:sz="0" w:space="0" w:color="auto"/>
              </w:divBdr>
            </w:div>
          </w:divsChild>
        </w:div>
        <w:div w:id="484014652">
          <w:marLeft w:val="0"/>
          <w:marRight w:val="0"/>
          <w:marTop w:val="0"/>
          <w:marBottom w:val="0"/>
          <w:divBdr>
            <w:top w:val="none" w:sz="0" w:space="0" w:color="auto"/>
            <w:left w:val="none" w:sz="0" w:space="0" w:color="auto"/>
            <w:bottom w:val="none" w:sz="0" w:space="0" w:color="auto"/>
            <w:right w:val="none" w:sz="0" w:space="0" w:color="auto"/>
          </w:divBdr>
          <w:divsChild>
            <w:div w:id="17238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tech@byu.ed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ta_psych111@by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mjh235.BYU\Desktop\Media\Images\welcomeObj.jpg" TargetMode="External"/><Relationship Id="rId11" Type="http://schemas.openxmlformats.org/officeDocument/2006/relationships/hyperlink" Target="http://saas.byu.edu/catalog/2011-2012ucat/GeneralInfo/AcademicHonesty.php" TargetMode="External"/><Relationship Id="rId5" Type="http://schemas.openxmlformats.org/officeDocument/2006/relationships/webSettings" Target="webSettings.xml"/><Relationship Id="rId10" Type="http://schemas.openxmlformats.org/officeDocument/2006/relationships/hyperlink" Target="file:///C:\Users\mjh235.BYU\Desktop\Media\PDF\WegnerWorstThings.pdf" TargetMode="External"/><Relationship Id="rId4" Type="http://schemas.openxmlformats.org/officeDocument/2006/relationships/settings" Target="settings.xml"/><Relationship Id="rId9" Type="http://schemas.openxmlformats.org/officeDocument/2006/relationships/hyperlink" Target="https://server2.clickandchat.com/chat/chatstart.aspx?domain=elearn.byu.edu&amp;department=Technical%20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2181</Words>
  <Characters>12438</Characters>
  <Application>Microsoft Office Word</Application>
  <DocSecurity>0</DocSecurity>
  <Lines>103</Lines>
  <Paragraphs>29</Paragraphs>
  <ScaleCrop>false</ScaleCrop>
  <Company>BYU DCE</Company>
  <LinksUpToDate>false</LinksUpToDate>
  <CharactersWithSpaces>14590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Joel Hemingway</dc:creator>
  <cp:lastModifiedBy>Joel Hemingway</cp:lastModifiedBy>
  <cp:revision>2</cp:revision>
  <dcterms:created xsi:type="dcterms:W3CDTF">2015-03-18T20:23:00Z</dcterms:created>
  <dcterms:modified xsi:type="dcterms:W3CDTF">2015-03-18T20:23:00Z</dcterms:modified>
</cp:coreProperties>
</file>