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A58B4">
      <w:pPr>
        <w:divId w:val="515383783"/>
        <w:rPr>
          <w:rFonts w:eastAsia="Times New Roman"/>
        </w:rPr>
      </w:pPr>
      <w:bookmarkStart w:id="0" w:name="top"/>
      <w:bookmarkStart w:id="1" w:name="_GoBack"/>
      <w:bookmarkEnd w:id="0"/>
      <w:bookmarkEnd w:id="1"/>
      <w:r>
        <w:rPr>
          <w:rFonts w:eastAsia="Times New Roman"/>
          <w:noProof/>
        </w:rPr>
        <w:drawing>
          <wp:inline distT="0" distB="0" distL="0" distR="0">
            <wp:extent cx="304800" cy="304800"/>
            <wp:effectExtent l="0" t="0" r="0" b="0"/>
            <wp:docPr id="1" name="Picture 1" descr="C:\Users\mjh235.BYU\Desktop\Media\Images\Welcome-O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h235.BYU\Desktop\Media\Images\Welcome-Obj.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A58B4">
      <w:pPr>
        <w:pStyle w:val="Heading1"/>
        <w:divId w:val="2079671145"/>
        <w:rPr>
          <w:rFonts w:eastAsia="Times New Roman"/>
        </w:rPr>
      </w:pPr>
      <w:r>
        <w:rPr>
          <w:rFonts w:eastAsia="Times New Roman"/>
        </w:rPr>
        <w:t>Syllabus</w:t>
      </w:r>
    </w:p>
    <w:p w:rsidR="00000000" w:rsidRDefault="008A58B4">
      <w:pPr>
        <w:pStyle w:val="Heading2"/>
        <w:divId w:val="2079671145"/>
        <w:rPr>
          <w:rFonts w:eastAsia="Times New Roman"/>
        </w:rPr>
      </w:pPr>
      <w:r>
        <w:rPr>
          <w:rFonts w:eastAsia="Times New Roman"/>
        </w:rPr>
        <w:t xml:space="preserve">Welcome to BYU Online! </w:t>
      </w:r>
    </w:p>
    <w:p w:rsidR="00000000" w:rsidRDefault="008A58B4">
      <w:pPr>
        <w:pStyle w:val="NormalWeb"/>
        <w:divId w:val="2079671145"/>
      </w:pPr>
      <w:r>
        <w:t>This course is part of a small pilot of online courses at BYU. This course is a highly structured learning experience that meets the university’</w:t>
      </w:r>
      <w:r>
        <w:t>s general education requirements and will mirror the intensity of the on-campus course. This course differs from on-campus courses and other online courses in the following ways:</w:t>
      </w:r>
    </w:p>
    <w:p w:rsidR="00000000" w:rsidRDefault="008A58B4">
      <w:pPr>
        <w:numPr>
          <w:ilvl w:val="0"/>
          <w:numId w:val="1"/>
        </w:numPr>
        <w:spacing w:before="100" w:beforeAutospacing="1" w:after="100" w:afterAutospacing="1" w:line="348" w:lineRule="atLeast"/>
        <w:ind w:left="0"/>
        <w:divId w:val="2079671145"/>
        <w:rPr>
          <w:rFonts w:eastAsia="Times New Roman"/>
        </w:rPr>
      </w:pPr>
      <w:r>
        <w:rPr>
          <w:rFonts w:eastAsia="Times New Roman"/>
        </w:rPr>
        <w:t>Course Content – Aside from your textbook, all of the course content is conta</w:t>
      </w:r>
      <w:r>
        <w:rPr>
          <w:rFonts w:eastAsia="Times New Roman"/>
        </w:rPr>
        <w:t xml:space="preserve">ined online. You will also submit all your assignments and complete all your course quizzes online. </w:t>
      </w:r>
    </w:p>
    <w:p w:rsidR="00000000" w:rsidRDefault="008A58B4">
      <w:pPr>
        <w:numPr>
          <w:ilvl w:val="0"/>
          <w:numId w:val="1"/>
        </w:numPr>
        <w:spacing w:before="100" w:beforeAutospacing="1" w:after="100" w:afterAutospacing="1" w:line="348" w:lineRule="atLeast"/>
        <w:ind w:left="0"/>
        <w:divId w:val="2079671145"/>
        <w:rPr>
          <w:rFonts w:eastAsia="Times New Roman"/>
        </w:rPr>
      </w:pPr>
      <w:r>
        <w:rPr>
          <w:rFonts w:eastAsia="Times New Roman"/>
        </w:rPr>
        <w:t>Course Completion – You are allowed to complete this course at your own pace. The only restrictions are you cannot complete the course before halfway throu</w:t>
      </w:r>
      <w:r>
        <w:rPr>
          <w:rFonts w:eastAsia="Times New Roman"/>
        </w:rPr>
        <w:t xml:space="preserve">gh the semester and you must complete the course by the end of the semester. </w:t>
      </w:r>
    </w:p>
    <w:p w:rsidR="00000000" w:rsidRDefault="008A58B4">
      <w:pPr>
        <w:numPr>
          <w:ilvl w:val="0"/>
          <w:numId w:val="1"/>
        </w:numPr>
        <w:spacing w:before="100" w:beforeAutospacing="1" w:after="100" w:afterAutospacing="1" w:line="348" w:lineRule="atLeast"/>
        <w:ind w:left="0"/>
        <w:divId w:val="2079671145"/>
        <w:rPr>
          <w:rFonts w:eastAsia="Times New Roman"/>
        </w:rPr>
      </w:pPr>
      <w:r>
        <w:rPr>
          <w:rFonts w:eastAsia="Times New Roman"/>
        </w:rPr>
        <w:t>Orientation Meeting – You are required to attend an initial class meeting. At this meeting, you will meet your instructor, course TAs and other members of the class. You will als</w:t>
      </w:r>
      <w:r>
        <w:rPr>
          <w:rFonts w:eastAsia="Times New Roman"/>
        </w:rPr>
        <w:t>o have the opportunity to ask any questions you have about the class and how it operates.</w:t>
      </w:r>
    </w:p>
    <w:p w:rsidR="00000000" w:rsidRDefault="008A58B4">
      <w:pPr>
        <w:numPr>
          <w:ilvl w:val="0"/>
          <w:numId w:val="1"/>
        </w:numPr>
        <w:spacing w:before="100" w:beforeAutospacing="1" w:after="100" w:afterAutospacing="1" w:line="348" w:lineRule="atLeast"/>
        <w:ind w:left="0"/>
        <w:divId w:val="2079671145"/>
        <w:rPr>
          <w:rFonts w:eastAsia="Times New Roman"/>
        </w:rPr>
      </w:pPr>
      <w:r>
        <w:rPr>
          <w:rFonts w:eastAsia="Times New Roman"/>
        </w:rPr>
        <w:t>Course TA – This course has a specific TA that you can contact with questions about the course or course content. The TA will also assist you in creating a course com</w:t>
      </w:r>
      <w:r>
        <w:rPr>
          <w:rFonts w:eastAsia="Times New Roman"/>
        </w:rPr>
        <w:t>pletion schedule and meet with you for the course checkpoints.</w:t>
      </w:r>
    </w:p>
    <w:p w:rsidR="00000000" w:rsidRDefault="008A58B4">
      <w:pPr>
        <w:numPr>
          <w:ilvl w:val="0"/>
          <w:numId w:val="1"/>
        </w:numPr>
        <w:spacing w:before="100" w:beforeAutospacing="1" w:after="100" w:afterAutospacing="1" w:line="348" w:lineRule="atLeast"/>
        <w:ind w:left="0"/>
        <w:divId w:val="2079671145"/>
        <w:rPr>
          <w:rFonts w:eastAsia="Times New Roman"/>
        </w:rPr>
      </w:pPr>
      <w:r>
        <w:rPr>
          <w:rFonts w:eastAsia="Times New Roman"/>
        </w:rPr>
        <w:t>Checkpoints – Throughout the course you will be required to meet with the course TA 3 times. These meetings will take place in Adobe Connect. These checkpoints will allow you to discuss your pr</w:t>
      </w:r>
      <w:r>
        <w:rPr>
          <w:rFonts w:eastAsia="Times New Roman"/>
        </w:rPr>
        <w:t xml:space="preserve">ogress in the course and help you follow your course completion plan. </w:t>
      </w:r>
    </w:p>
    <w:p w:rsidR="00000000" w:rsidRDefault="008A58B4">
      <w:pPr>
        <w:numPr>
          <w:ilvl w:val="0"/>
          <w:numId w:val="1"/>
        </w:numPr>
        <w:spacing w:before="100" w:beforeAutospacing="1" w:after="100" w:afterAutospacing="1" w:line="348" w:lineRule="atLeast"/>
        <w:ind w:left="0"/>
        <w:divId w:val="2079671145"/>
        <w:rPr>
          <w:rFonts w:eastAsia="Times New Roman"/>
        </w:rPr>
      </w:pPr>
      <w:r>
        <w:rPr>
          <w:rFonts w:eastAsia="Times New Roman"/>
        </w:rPr>
        <w:t>Webinars – A webinar is a scheduled class session that you will attend through Adobe Connect. These webinars will allow for information sharing, special lectures, guest lectures and exa</w:t>
      </w:r>
      <w:r>
        <w:rPr>
          <w:rFonts w:eastAsia="Times New Roman"/>
        </w:rPr>
        <w:t xml:space="preserve">m reviews. You will be able to interact with your instructor and other members of the class. </w:t>
      </w:r>
    </w:p>
    <w:p w:rsidR="00000000" w:rsidRDefault="008A58B4">
      <w:pPr>
        <w:numPr>
          <w:ilvl w:val="0"/>
          <w:numId w:val="1"/>
        </w:numPr>
        <w:spacing w:before="100" w:beforeAutospacing="1" w:after="100" w:afterAutospacing="1" w:line="348" w:lineRule="atLeast"/>
        <w:ind w:left="0"/>
        <w:divId w:val="2079671145"/>
        <w:rPr>
          <w:rFonts w:eastAsia="Times New Roman"/>
        </w:rPr>
      </w:pPr>
      <w:r>
        <w:rPr>
          <w:rFonts w:eastAsia="Times New Roman"/>
        </w:rPr>
        <w:t xml:space="preserve">Discussion Board – This course contains a monitored course discussion board. This discussion board will allow you to post, respond to and evaluate various topics </w:t>
      </w:r>
      <w:r>
        <w:rPr>
          <w:rFonts w:eastAsia="Times New Roman"/>
        </w:rPr>
        <w:t xml:space="preserve">related to the course material. </w:t>
      </w:r>
    </w:p>
    <w:p w:rsidR="00000000" w:rsidRDefault="008A58B4">
      <w:pPr>
        <w:pStyle w:val="NormalWeb"/>
        <w:divId w:val="2079671145"/>
      </w:pPr>
      <w:r>
        <w:t>As part of the pilot, we will be asking you to help assess the success and effectiveness of this course, the faculty member, the course delivery and the course support. Your participation in this assessment effort will be c</w:t>
      </w:r>
      <w:r>
        <w:t>ritical to future opportunities for online learning at BYU. Please be prepared to provide meaningful feedback about your experience.</w:t>
      </w:r>
    </w:p>
    <w:p w:rsidR="00000000" w:rsidRDefault="008A58B4">
      <w:pPr>
        <w:pStyle w:val="Heading2"/>
        <w:divId w:val="2079671145"/>
        <w:rPr>
          <w:rFonts w:eastAsia="Times New Roman"/>
        </w:rPr>
      </w:pPr>
      <w:r>
        <w:rPr>
          <w:rFonts w:eastAsia="Times New Roman"/>
        </w:rPr>
        <w:t xml:space="preserve">Course TA Information </w:t>
      </w:r>
    </w:p>
    <w:p w:rsidR="00000000" w:rsidRDefault="008A58B4">
      <w:pPr>
        <w:pStyle w:val="NormalWeb"/>
        <w:divId w:val="2079671145"/>
      </w:pPr>
      <w:r>
        <w:t xml:space="preserve">Your TA for this course is </w:t>
      </w:r>
      <w:r>
        <w:rPr>
          <w:rStyle w:val="Strong"/>
        </w:rPr>
        <w:t>Alan Hickey</w:t>
      </w:r>
      <w:r>
        <w:t>. Please contact your TA if you have any questions, run into d</w:t>
      </w:r>
      <w:r>
        <w:t xml:space="preserve">ifficulties with the course, and to schedule checkpoints. </w:t>
      </w:r>
    </w:p>
    <w:p w:rsidR="00000000" w:rsidRDefault="008A58B4">
      <w:pPr>
        <w:numPr>
          <w:ilvl w:val="0"/>
          <w:numId w:val="2"/>
        </w:numPr>
        <w:spacing w:before="100" w:beforeAutospacing="1" w:after="100" w:afterAutospacing="1" w:line="348" w:lineRule="atLeast"/>
        <w:ind w:left="0"/>
        <w:divId w:val="2079671145"/>
        <w:rPr>
          <w:rFonts w:eastAsia="Times New Roman"/>
        </w:rPr>
      </w:pPr>
      <w:r>
        <w:rPr>
          <w:rFonts w:eastAsia="Times New Roman"/>
        </w:rPr>
        <w:t>Alan Hickey</w:t>
      </w:r>
    </w:p>
    <w:p w:rsidR="00000000" w:rsidRDefault="008A58B4">
      <w:pPr>
        <w:numPr>
          <w:ilvl w:val="0"/>
          <w:numId w:val="2"/>
        </w:numPr>
        <w:spacing w:before="100" w:beforeAutospacing="1" w:after="100" w:afterAutospacing="1" w:line="348" w:lineRule="atLeast"/>
        <w:ind w:left="0"/>
        <w:divId w:val="2079671145"/>
        <w:rPr>
          <w:rFonts w:eastAsia="Times New Roman"/>
        </w:rPr>
      </w:pPr>
      <w:hyperlink r:id="rId7" w:history="1">
        <w:r>
          <w:rPr>
            <w:rStyle w:val="Hyperlink"/>
            <w:rFonts w:eastAsia="Times New Roman"/>
          </w:rPr>
          <w:t>ta_relc333@byu.edu</w:t>
        </w:r>
      </w:hyperlink>
    </w:p>
    <w:p w:rsidR="00000000" w:rsidRDefault="008A58B4">
      <w:pPr>
        <w:numPr>
          <w:ilvl w:val="0"/>
          <w:numId w:val="2"/>
        </w:numPr>
        <w:spacing w:before="100" w:beforeAutospacing="1" w:after="100" w:afterAutospacing="1" w:line="348" w:lineRule="atLeast"/>
        <w:ind w:left="0"/>
        <w:divId w:val="2079671145"/>
        <w:rPr>
          <w:rFonts w:eastAsia="Times New Roman"/>
        </w:rPr>
      </w:pPr>
      <w:r>
        <w:rPr>
          <w:rFonts w:eastAsia="Times New Roman"/>
        </w:rPr>
        <w:t>615-970-1738</w:t>
      </w:r>
    </w:p>
    <w:p w:rsidR="00000000" w:rsidRDefault="008A58B4">
      <w:pPr>
        <w:pStyle w:val="NormalWeb"/>
        <w:divId w:val="2079671145"/>
      </w:pPr>
      <w:r>
        <w:t>Remember, your TA is your first line of contact, and will be able to help you with most issues that come up. He</w:t>
      </w:r>
      <w:r>
        <w:t xml:space="preserve"> is looking forward to getting to know you! </w:t>
      </w:r>
    </w:p>
    <w:p w:rsidR="00000000" w:rsidRDefault="008A58B4">
      <w:pPr>
        <w:pStyle w:val="Heading2"/>
        <w:divId w:val="2079671145"/>
        <w:rPr>
          <w:rFonts w:eastAsia="Times New Roman"/>
        </w:rPr>
      </w:pPr>
      <w:r>
        <w:rPr>
          <w:rFonts w:eastAsia="Times New Roman"/>
        </w:rPr>
        <w:t>Course Outcomes</w:t>
      </w:r>
    </w:p>
    <w:p w:rsidR="00000000" w:rsidRDefault="008A58B4">
      <w:pPr>
        <w:numPr>
          <w:ilvl w:val="0"/>
          <w:numId w:val="3"/>
        </w:numPr>
        <w:spacing w:before="100" w:beforeAutospacing="1" w:after="100" w:afterAutospacing="1" w:line="348" w:lineRule="atLeast"/>
        <w:ind w:left="0"/>
        <w:divId w:val="2079671145"/>
        <w:rPr>
          <w:rFonts w:eastAsia="Times New Roman"/>
        </w:rPr>
      </w:pPr>
      <w:r>
        <w:rPr>
          <w:rFonts w:eastAsia="Times New Roman"/>
        </w:rPr>
        <w:t>Students will understand and analyze key prophetic teachings of the current day.</w:t>
      </w:r>
    </w:p>
    <w:p w:rsidR="00000000" w:rsidRDefault="008A58B4">
      <w:pPr>
        <w:numPr>
          <w:ilvl w:val="0"/>
          <w:numId w:val="3"/>
        </w:numPr>
        <w:spacing w:before="100" w:beforeAutospacing="1" w:after="100" w:afterAutospacing="1" w:line="348" w:lineRule="atLeast"/>
        <w:ind w:left="0"/>
        <w:divId w:val="2079671145"/>
        <w:rPr>
          <w:rFonts w:eastAsia="Times New Roman"/>
        </w:rPr>
      </w:pPr>
      <w:r>
        <w:rPr>
          <w:rFonts w:eastAsia="Times New Roman"/>
        </w:rPr>
        <w:t xml:space="preserve">Students will learn about the backgrounds of the current prophet leaders and their preparations for their current </w:t>
      </w:r>
      <w:r>
        <w:rPr>
          <w:rFonts w:eastAsia="Times New Roman"/>
        </w:rPr>
        <w:t>calls.</w:t>
      </w:r>
    </w:p>
    <w:p w:rsidR="00000000" w:rsidRDefault="008A58B4">
      <w:pPr>
        <w:numPr>
          <w:ilvl w:val="0"/>
          <w:numId w:val="3"/>
        </w:numPr>
        <w:spacing w:before="100" w:beforeAutospacing="1" w:after="100" w:afterAutospacing="1" w:line="348" w:lineRule="atLeast"/>
        <w:ind w:left="0"/>
        <w:divId w:val="2079671145"/>
        <w:rPr>
          <w:rFonts w:eastAsia="Times New Roman"/>
        </w:rPr>
      </w:pPr>
      <w:r>
        <w:rPr>
          <w:rFonts w:eastAsia="Times New Roman"/>
        </w:rPr>
        <w:t>Students will clearly understand and be able to define the role members have in their support and discipleship relative to the modern prophets.</w:t>
      </w:r>
    </w:p>
    <w:p w:rsidR="00000000" w:rsidRDefault="008A58B4">
      <w:pPr>
        <w:numPr>
          <w:ilvl w:val="0"/>
          <w:numId w:val="3"/>
        </w:numPr>
        <w:spacing w:before="100" w:beforeAutospacing="1" w:after="100" w:afterAutospacing="1" w:line="348" w:lineRule="atLeast"/>
        <w:ind w:left="0"/>
        <w:divId w:val="2079671145"/>
        <w:rPr>
          <w:rFonts w:eastAsia="Times New Roman"/>
        </w:rPr>
      </w:pPr>
      <w:r>
        <w:rPr>
          <w:rFonts w:eastAsia="Times New Roman"/>
        </w:rPr>
        <w:t>Students will be able to discuss the principles of Church government, including the roles and responsibil</w:t>
      </w:r>
      <w:r>
        <w:rPr>
          <w:rFonts w:eastAsia="Times New Roman"/>
        </w:rPr>
        <w:t>ities of the First Presidency, the Quorum of the Twelve, and the Seventy.</w:t>
      </w:r>
    </w:p>
    <w:p w:rsidR="00000000" w:rsidRDefault="008A58B4">
      <w:pPr>
        <w:pStyle w:val="Heading2"/>
        <w:divId w:val="2079671145"/>
        <w:rPr>
          <w:rFonts w:eastAsia="Times New Roman"/>
        </w:rPr>
      </w:pPr>
      <w:r>
        <w:rPr>
          <w:rFonts w:eastAsia="Times New Roman"/>
        </w:rPr>
        <w:t>Course Materials</w:t>
      </w:r>
    </w:p>
    <w:p w:rsidR="00000000" w:rsidRDefault="008A58B4">
      <w:pPr>
        <w:pStyle w:val="NormalWeb"/>
        <w:divId w:val="2079671145"/>
      </w:pPr>
      <w:r>
        <w:rPr>
          <w:i/>
          <w:iCs/>
        </w:rPr>
        <w:t>Teachings of the Living Prophets: Student Manual Religion 333</w:t>
      </w:r>
      <w:r>
        <w:t>. Salt Lake City, Utah: The Church of Jesus Christ of Latter-day Saints, 2010.</w:t>
      </w:r>
      <w:r>
        <w:br/>
        <w:t xml:space="preserve">Available online: </w:t>
      </w:r>
      <w:hyperlink r:id="rId8" w:tgtFrame="_blank" w:history="1">
        <w:r>
          <w:rPr>
            <w:rStyle w:val="Hyperlink"/>
          </w:rPr>
          <w:t>https://www.lds.org/manual/teachings-of-the-living-prophets-student-manual</w:t>
        </w:r>
      </w:hyperlink>
      <w:r>
        <w:t xml:space="preserve"> </w:t>
      </w:r>
    </w:p>
    <w:p w:rsidR="00000000" w:rsidRDefault="008A58B4">
      <w:pPr>
        <w:pStyle w:val="NormalWeb"/>
        <w:divId w:val="2079671145"/>
      </w:pPr>
      <w:r>
        <w:rPr>
          <w:rStyle w:val="Emphasis"/>
        </w:rPr>
        <w:t>Ensign</w:t>
      </w:r>
      <w:r>
        <w:t>—the most recent general conference edition</w:t>
      </w:r>
      <w:r>
        <w:br/>
        <w:t xml:space="preserve">Available online: </w:t>
      </w:r>
      <w:hyperlink r:id="rId9" w:tgtFrame="_blank" w:history="1">
        <w:r>
          <w:rPr>
            <w:rStyle w:val="Hyperlink"/>
          </w:rPr>
          <w:t>https://www.lds.org/general-conference</w:t>
        </w:r>
      </w:hyperlink>
      <w:r>
        <w:t xml:space="preserve"> </w:t>
      </w:r>
    </w:p>
    <w:p w:rsidR="00000000" w:rsidRDefault="008A58B4">
      <w:pPr>
        <w:pStyle w:val="Heading2"/>
        <w:divId w:val="2079671145"/>
        <w:rPr>
          <w:rFonts w:eastAsia="Times New Roman"/>
        </w:rPr>
      </w:pPr>
      <w:r>
        <w:rPr>
          <w:rFonts w:eastAsia="Times New Roman"/>
        </w:rPr>
        <w:t xml:space="preserve">Assignments </w:t>
      </w:r>
    </w:p>
    <w:p w:rsidR="00000000" w:rsidRDefault="008A58B4">
      <w:pPr>
        <w:pStyle w:val="NormalWeb"/>
        <w:divId w:val="2079671145"/>
      </w:pPr>
      <w:r>
        <w:t>Each lesson includes a short quiz section that applies to the materials in the lesson and assesses mastery of the lesson objectives. These quizze</w:t>
      </w:r>
      <w:r>
        <w:t>s are closed-book and closed-notes. Each quiz contains questions that ask for factual recall of lesson materials and application of principles learned.</w:t>
      </w:r>
    </w:p>
    <w:p w:rsidR="00000000" w:rsidRDefault="008A58B4">
      <w:pPr>
        <w:pStyle w:val="Heading3"/>
        <w:divId w:val="2079671145"/>
        <w:rPr>
          <w:rFonts w:eastAsia="Times New Roman"/>
        </w:rPr>
      </w:pPr>
      <w:r>
        <w:rPr>
          <w:rFonts w:eastAsia="Times New Roman"/>
        </w:rPr>
        <w:t>Voices of the Prophets Assignment</w:t>
      </w:r>
    </w:p>
    <w:p w:rsidR="00000000" w:rsidRDefault="008A58B4">
      <w:pPr>
        <w:pStyle w:val="NormalWeb"/>
        <w:divId w:val="2079671145"/>
      </w:pPr>
      <w:r>
        <w:t>The content of this paper will consist of reflections on one of the ke</w:t>
      </w:r>
      <w:r>
        <w:t>y addresses from a member of the First Presidency or the Quorum of the Twelve from the most recent general conference of the Church. Students should provide a thoughtful discussion of the topic from the selected talk. Do not just report on the talk— put in</w:t>
      </w:r>
      <w:r>
        <w:t xml:space="preserve"> your own experiences! The following is a list of requirements for your paper:</w:t>
      </w:r>
    </w:p>
    <w:p w:rsidR="00000000" w:rsidRDefault="008A58B4">
      <w:pPr>
        <w:numPr>
          <w:ilvl w:val="0"/>
          <w:numId w:val="4"/>
        </w:numPr>
        <w:spacing w:before="100" w:beforeAutospacing="1" w:after="100" w:afterAutospacing="1" w:line="348" w:lineRule="atLeast"/>
        <w:ind w:left="0"/>
        <w:divId w:val="2079671145"/>
        <w:rPr>
          <w:rFonts w:eastAsia="Times New Roman"/>
        </w:rPr>
      </w:pPr>
      <w:r>
        <w:rPr>
          <w:rFonts w:eastAsia="Times New Roman"/>
        </w:rPr>
        <w:t>Cover page</w:t>
      </w:r>
    </w:p>
    <w:p w:rsidR="00000000" w:rsidRDefault="008A58B4">
      <w:pPr>
        <w:numPr>
          <w:ilvl w:val="0"/>
          <w:numId w:val="4"/>
        </w:numPr>
        <w:spacing w:before="100" w:beforeAutospacing="1" w:after="100" w:afterAutospacing="1" w:line="348" w:lineRule="atLeast"/>
        <w:ind w:left="0"/>
        <w:divId w:val="2079671145"/>
        <w:rPr>
          <w:rFonts w:eastAsia="Times New Roman"/>
        </w:rPr>
      </w:pPr>
      <w:r>
        <w:rPr>
          <w:rFonts w:eastAsia="Times New Roman"/>
        </w:rPr>
        <w:t>2–3 pages of content</w:t>
      </w:r>
    </w:p>
    <w:p w:rsidR="00000000" w:rsidRDefault="008A58B4">
      <w:pPr>
        <w:numPr>
          <w:ilvl w:val="0"/>
          <w:numId w:val="4"/>
        </w:numPr>
        <w:spacing w:before="100" w:beforeAutospacing="1" w:after="100" w:afterAutospacing="1" w:line="348" w:lineRule="atLeast"/>
        <w:ind w:left="0"/>
        <w:divId w:val="2079671145"/>
        <w:rPr>
          <w:rFonts w:eastAsia="Times New Roman"/>
        </w:rPr>
      </w:pPr>
      <w:r>
        <w:rPr>
          <w:rFonts w:eastAsia="Times New Roman"/>
        </w:rPr>
        <w:t>12-point font</w:t>
      </w:r>
    </w:p>
    <w:p w:rsidR="00000000" w:rsidRDefault="008A58B4">
      <w:pPr>
        <w:numPr>
          <w:ilvl w:val="0"/>
          <w:numId w:val="4"/>
        </w:numPr>
        <w:spacing w:before="100" w:beforeAutospacing="1" w:after="100" w:afterAutospacing="1" w:line="348" w:lineRule="atLeast"/>
        <w:ind w:left="0"/>
        <w:divId w:val="2079671145"/>
        <w:rPr>
          <w:rFonts w:eastAsia="Times New Roman"/>
        </w:rPr>
      </w:pPr>
      <w:r>
        <w:rPr>
          <w:rFonts w:eastAsia="Times New Roman"/>
        </w:rPr>
        <w:t>Times New Roman font</w:t>
      </w:r>
    </w:p>
    <w:p w:rsidR="00000000" w:rsidRDefault="008A58B4">
      <w:pPr>
        <w:numPr>
          <w:ilvl w:val="0"/>
          <w:numId w:val="4"/>
        </w:numPr>
        <w:spacing w:before="100" w:beforeAutospacing="1" w:after="100" w:afterAutospacing="1" w:line="348" w:lineRule="atLeast"/>
        <w:ind w:left="0"/>
        <w:divId w:val="2079671145"/>
        <w:rPr>
          <w:rFonts w:eastAsia="Times New Roman"/>
        </w:rPr>
      </w:pPr>
      <w:r>
        <w:rPr>
          <w:rFonts w:eastAsia="Times New Roman"/>
        </w:rPr>
        <w:t>double-spaced</w:t>
      </w:r>
    </w:p>
    <w:p w:rsidR="00000000" w:rsidRDefault="008A58B4">
      <w:pPr>
        <w:numPr>
          <w:ilvl w:val="0"/>
          <w:numId w:val="4"/>
        </w:numPr>
        <w:spacing w:before="100" w:beforeAutospacing="1" w:after="100" w:afterAutospacing="1" w:line="348" w:lineRule="atLeast"/>
        <w:ind w:left="0"/>
        <w:divId w:val="2079671145"/>
        <w:rPr>
          <w:rFonts w:eastAsia="Times New Roman"/>
        </w:rPr>
      </w:pPr>
      <w:r>
        <w:rPr>
          <w:rFonts w:eastAsia="Times New Roman"/>
        </w:rPr>
        <w:t>1" margins</w:t>
      </w:r>
    </w:p>
    <w:p w:rsidR="00000000" w:rsidRDefault="008A58B4">
      <w:pPr>
        <w:numPr>
          <w:ilvl w:val="0"/>
          <w:numId w:val="4"/>
        </w:numPr>
        <w:spacing w:before="100" w:beforeAutospacing="1" w:after="100" w:afterAutospacing="1" w:line="348" w:lineRule="atLeast"/>
        <w:ind w:left="0"/>
        <w:divId w:val="2079671145"/>
        <w:rPr>
          <w:rFonts w:eastAsia="Times New Roman"/>
        </w:rPr>
      </w:pPr>
      <w:r>
        <w:rPr>
          <w:rFonts w:eastAsia="Times New Roman"/>
        </w:rPr>
        <w:t xml:space="preserve">.doc or .docx file format </w:t>
      </w:r>
    </w:p>
    <w:p w:rsidR="00000000" w:rsidRDefault="008A58B4">
      <w:pPr>
        <w:pStyle w:val="Heading2"/>
        <w:divId w:val="2079671145"/>
        <w:rPr>
          <w:rFonts w:eastAsia="Times New Roman"/>
        </w:rPr>
      </w:pPr>
      <w:r>
        <w:rPr>
          <w:rFonts w:eastAsia="Times New Roman"/>
        </w:rPr>
        <w:t xml:space="preserve">Exams </w:t>
      </w:r>
    </w:p>
    <w:p w:rsidR="00000000" w:rsidRDefault="008A58B4">
      <w:pPr>
        <w:pStyle w:val="Heading3"/>
        <w:divId w:val="2079671145"/>
        <w:rPr>
          <w:rFonts w:eastAsia="Times New Roman"/>
        </w:rPr>
      </w:pPr>
      <w:r>
        <w:rPr>
          <w:rFonts w:eastAsia="Times New Roman"/>
        </w:rPr>
        <w:t>Midcourse Exam</w:t>
      </w:r>
    </w:p>
    <w:p w:rsidR="00000000" w:rsidRDefault="008A58B4">
      <w:pPr>
        <w:pStyle w:val="NormalWeb"/>
        <w:divId w:val="2079671145"/>
      </w:pPr>
      <w:r>
        <w:t>This exam will contain approximately</w:t>
      </w:r>
      <w:r>
        <w:t xml:space="preserve"> fifty items and will be a mixture of multiple-choice and true/false items. Plan on about thirty to forty-five minutes to take the exam, although you are welcome to take longer as this is not a timed exam. The exam is closed-book and closed-notes. </w:t>
      </w:r>
      <w:r>
        <w:rPr>
          <w:rStyle w:val="Strong"/>
        </w:rPr>
        <w:t>Please n</w:t>
      </w:r>
      <w:r>
        <w:rPr>
          <w:rStyle w:val="Strong"/>
        </w:rPr>
        <w:t>ote that all assignments in lessons one through eight must be submitted before you’ll be able to request the midcourse exam and access the second half of the course.</w:t>
      </w:r>
    </w:p>
    <w:p w:rsidR="00000000" w:rsidRDefault="008A58B4">
      <w:pPr>
        <w:pStyle w:val="Heading4"/>
        <w:divId w:val="2079671145"/>
        <w:rPr>
          <w:rFonts w:eastAsia="Times New Roman"/>
        </w:rPr>
      </w:pPr>
      <w:r>
        <w:rPr>
          <w:rFonts w:eastAsia="Times New Roman"/>
        </w:rPr>
        <w:t>Midcourse Exam Deadline</w:t>
      </w:r>
    </w:p>
    <w:p w:rsidR="00000000" w:rsidRDefault="008A58B4">
      <w:pPr>
        <w:pStyle w:val="NormalWeb"/>
        <w:divId w:val="2079671145"/>
      </w:pPr>
      <w:r>
        <w:t>You must complete lessons 1 - 8 and the midcourse exam by February</w:t>
      </w:r>
      <w:r>
        <w:t xml:space="preserve"> 20th.</w:t>
      </w:r>
    </w:p>
    <w:p w:rsidR="00000000" w:rsidRDefault="008A58B4">
      <w:pPr>
        <w:pStyle w:val="Heading3"/>
        <w:divId w:val="2079671145"/>
        <w:rPr>
          <w:rFonts w:eastAsia="Times New Roman"/>
        </w:rPr>
      </w:pPr>
      <w:r>
        <w:rPr>
          <w:rFonts w:eastAsia="Times New Roman"/>
        </w:rPr>
        <w:t>Final Exam</w:t>
      </w:r>
    </w:p>
    <w:p w:rsidR="00000000" w:rsidRDefault="008A58B4">
      <w:pPr>
        <w:divId w:val="180975046"/>
        <w:rPr>
          <w:rFonts w:eastAsia="Times New Roman"/>
        </w:rPr>
      </w:pPr>
      <w:r>
        <w:rPr>
          <w:rFonts w:eastAsia="Times New Roman"/>
        </w:rPr>
        <w:t>This exam will contain approximately seventy-five items and will be a mixture of multiple choice and true/false items. Plan on about forty-five to sixty minutes to take the exam, although you are welcome to take longer as this is not a ti</w:t>
      </w:r>
      <w:r>
        <w:rPr>
          <w:rFonts w:eastAsia="Times New Roman"/>
        </w:rPr>
        <w:t>med exam. The exam is closed-book and closed-notes. </w:t>
      </w:r>
      <w:r>
        <w:rPr>
          <w:rStyle w:val="Strong"/>
          <w:rFonts w:eastAsia="Times New Roman"/>
        </w:rPr>
        <w:t>Please note that all assignments in the course must be submitted before you’ll be able to request the final exam.</w:t>
      </w:r>
    </w:p>
    <w:p w:rsidR="00000000" w:rsidRDefault="008A58B4">
      <w:pPr>
        <w:pStyle w:val="NormalWeb"/>
        <w:divId w:val="2079671145"/>
      </w:pPr>
      <w:r>
        <w:t> </w:t>
      </w:r>
    </w:p>
    <w:p w:rsidR="00000000" w:rsidRDefault="008A58B4">
      <w:pPr>
        <w:pStyle w:val="Heading2"/>
        <w:divId w:val="2079671145"/>
        <w:rPr>
          <w:rFonts w:eastAsia="Times New Roman"/>
        </w:rPr>
      </w:pPr>
      <w:r>
        <w:rPr>
          <w:rFonts w:eastAsia="Times New Roman"/>
        </w:rPr>
        <w:t>Grading</w:t>
      </w:r>
    </w:p>
    <w:tbl>
      <w:tblPr>
        <w:tblW w:w="0" w:type="auto"/>
        <w:tblCellMar>
          <w:top w:w="15" w:type="dxa"/>
          <w:left w:w="15" w:type="dxa"/>
          <w:bottom w:w="15" w:type="dxa"/>
          <w:right w:w="15" w:type="dxa"/>
        </w:tblCellMar>
        <w:tblLook w:val="04A0" w:firstRow="1" w:lastRow="0" w:firstColumn="1" w:lastColumn="0" w:noHBand="0" w:noVBand="1"/>
      </w:tblPr>
      <w:tblGrid>
        <w:gridCol w:w="5579"/>
        <w:gridCol w:w="1754"/>
        <w:gridCol w:w="2339"/>
      </w:tblGrid>
      <w:tr w:rsidR="00000000">
        <w:trPr>
          <w:divId w:val="1149591557"/>
          <w:tblHeader/>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8A58B4">
            <w:pPr>
              <w:jc w:val="center"/>
              <w:rPr>
                <w:rFonts w:eastAsia="Times New Roman"/>
                <w:b/>
                <w:bCs/>
              </w:rPr>
            </w:pPr>
            <w:r>
              <w:rPr>
                <w:rFonts w:eastAsia="Times New Roman"/>
                <w:b/>
                <w:bCs/>
              </w:rPr>
              <w:t>Assignment</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8A58B4">
            <w:pPr>
              <w:jc w:val="center"/>
              <w:rPr>
                <w:rFonts w:eastAsia="Times New Roman"/>
                <w:b/>
                <w:bCs/>
              </w:rPr>
            </w:pPr>
            <w:r>
              <w:rPr>
                <w:rFonts w:eastAsia="Times New Roman"/>
                <w:b/>
                <w:bCs/>
              </w:rPr>
              <w:t>Points</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8A58B4">
            <w:pPr>
              <w:jc w:val="center"/>
              <w:rPr>
                <w:rFonts w:eastAsia="Times New Roman"/>
                <w:b/>
                <w:bCs/>
              </w:rPr>
            </w:pPr>
            <w:r>
              <w:rPr>
                <w:rFonts w:eastAsia="Times New Roman"/>
                <w:b/>
                <w:bCs/>
              </w:rPr>
              <w:t>Approximate Weight</w:t>
            </w:r>
          </w:p>
        </w:tc>
      </w:tr>
      <w:tr w:rsidR="00000000">
        <w:trPr>
          <w:divId w:val="1149591557"/>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Quizzes:</w:t>
            </w:r>
            <w:r>
              <w:rPr>
                <w:rFonts w:eastAsia="Times New Roman"/>
              </w:rPr>
              <w:t xml:space="preserve"> </w:t>
            </w:r>
            <w:r>
              <w:rPr>
                <w:rFonts w:eastAsia="Times New Roman"/>
              </w:rPr>
              <w:t>a computer-graded quiz for each of the thirteen lessons</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123 points (9–10)</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30%</w:t>
            </w:r>
          </w:p>
        </w:tc>
      </w:tr>
      <w:tr w:rsidR="00000000">
        <w:trPr>
          <w:divId w:val="1149591557"/>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Voices of the Prophets:</w:t>
            </w:r>
            <w:r>
              <w:rPr>
                <w:rFonts w:eastAsia="Times New Roman"/>
              </w:rPr>
              <w:t xml:space="preserve"> paper graded by the professor</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27 points</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7%</w:t>
            </w:r>
          </w:p>
        </w:tc>
      </w:tr>
      <w:tr w:rsidR="00000000">
        <w:trPr>
          <w:divId w:val="1149591557"/>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Midcourse Exam:</w:t>
            </w:r>
            <w:r>
              <w:rPr>
                <w:rFonts w:eastAsia="Times New Roman"/>
              </w:rPr>
              <w:t xml:space="preserve"> computer-graded exam (fifty questions)</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100 points</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25%</w:t>
            </w:r>
          </w:p>
        </w:tc>
      </w:tr>
      <w:tr w:rsidR="00000000">
        <w:trPr>
          <w:divId w:val="1149591557"/>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Final Exam:</w:t>
            </w:r>
            <w:r>
              <w:rPr>
                <w:rFonts w:eastAsia="Times New Roman"/>
              </w:rPr>
              <w:t xml:space="preserve"> </w:t>
            </w:r>
            <w:r>
              <w:rPr>
                <w:rFonts w:eastAsia="Times New Roman"/>
              </w:rPr>
              <w:t>computer-graded exam (seventy-five questions)</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150 points</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38%</w:t>
            </w:r>
          </w:p>
        </w:tc>
      </w:tr>
    </w:tbl>
    <w:tbl>
      <w:tblPr>
        <w:tblW w:w="0" w:type="auto"/>
        <w:tblCellMar>
          <w:top w:w="15" w:type="dxa"/>
          <w:left w:w="15" w:type="dxa"/>
          <w:bottom w:w="15" w:type="dxa"/>
          <w:right w:w="15" w:type="dxa"/>
        </w:tblCellMar>
        <w:tblLook w:val="04A0" w:firstRow="1" w:lastRow="0" w:firstColumn="1" w:lastColumn="0" w:noHBand="0" w:noVBand="1"/>
      </w:tblPr>
      <w:tblGrid>
        <w:gridCol w:w="930"/>
        <w:gridCol w:w="1563"/>
      </w:tblGrid>
      <w:tr w:rsidR="00000000">
        <w:trPr>
          <w:divId w:val="2079671145"/>
          <w:tblHeader/>
        </w:trPr>
        <w:tc>
          <w:tcPr>
            <w:tcW w:w="0" w:type="auto"/>
            <w:gridSpan w:val="2"/>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8A58B4">
            <w:pPr>
              <w:jc w:val="center"/>
              <w:rPr>
                <w:rFonts w:eastAsia="Times New Roman"/>
                <w:b/>
                <w:bCs/>
              </w:rPr>
            </w:pPr>
            <w:r>
              <w:rPr>
                <w:rFonts w:eastAsia="Times New Roman"/>
                <w:b/>
                <w:bCs/>
              </w:rPr>
              <w:t>Grading Scale</w:t>
            </w:r>
          </w:p>
        </w:tc>
      </w:tr>
      <w:tr w:rsidR="00000000">
        <w:trPr>
          <w:divId w:val="2079671145"/>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A</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100–93%</w:t>
            </w:r>
          </w:p>
        </w:tc>
      </w:tr>
      <w:tr w:rsidR="00000000">
        <w:trPr>
          <w:divId w:val="2079671145"/>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A−</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92–90%</w:t>
            </w:r>
          </w:p>
        </w:tc>
      </w:tr>
      <w:tr w:rsidR="00000000">
        <w:trPr>
          <w:divId w:val="2079671145"/>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89–87%</w:t>
            </w:r>
          </w:p>
        </w:tc>
      </w:tr>
      <w:tr w:rsidR="00000000">
        <w:trPr>
          <w:divId w:val="2079671145"/>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86–83%</w:t>
            </w:r>
          </w:p>
        </w:tc>
      </w:tr>
      <w:tr w:rsidR="00000000">
        <w:trPr>
          <w:divId w:val="2079671145"/>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82–80%</w:t>
            </w:r>
          </w:p>
        </w:tc>
      </w:tr>
      <w:tr w:rsidR="00000000">
        <w:trPr>
          <w:divId w:val="2079671145"/>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79–77%</w:t>
            </w:r>
          </w:p>
        </w:tc>
      </w:tr>
      <w:tr w:rsidR="00000000">
        <w:trPr>
          <w:divId w:val="2079671145"/>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76–73%</w:t>
            </w:r>
          </w:p>
        </w:tc>
      </w:tr>
      <w:tr w:rsidR="00000000">
        <w:trPr>
          <w:divId w:val="2079671145"/>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72–70%</w:t>
            </w:r>
          </w:p>
        </w:tc>
      </w:tr>
      <w:tr w:rsidR="00000000">
        <w:trPr>
          <w:divId w:val="2079671145"/>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69–67%</w:t>
            </w:r>
          </w:p>
        </w:tc>
      </w:tr>
      <w:tr w:rsidR="00000000">
        <w:trPr>
          <w:divId w:val="2079671145"/>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66–63%</w:t>
            </w:r>
          </w:p>
        </w:tc>
      </w:tr>
      <w:tr w:rsidR="00000000">
        <w:trPr>
          <w:divId w:val="2079671145"/>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62–60%</w:t>
            </w:r>
          </w:p>
        </w:tc>
      </w:tr>
      <w:tr w:rsidR="00000000">
        <w:trPr>
          <w:divId w:val="2079671145"/>
        </w:trPr>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b/>
                <w:bCs/>
              </w:rPr>
              <w:t>E (fail)</w:t>
            </w:r>
          </w:p>
        </w:tc>
        <w:tc>
          <w:tcPr>
            <w:tcW w:w="0" w:type="auto"/>
            <w:tcMar>
              <w:top w:w="108" w:type="dxa"/>
              <w:left w:w="108" w:type="dxa"/>
              <w:bottom w:w="108" w:type="dxa"/>
              <w:right w:w="108" w:type="dxa"/>
            </w:tcMar>
            <w:hideMark/>
          </w:tcPr>
          <w:p w:rsidR="00000000" w:rsidRDefault="008A58B4">
            <w:pPr>
              <w:rPr>
                <w:rFonts w:eastAsia="Times New Roman"/>
              </w:rPr>
            </w:pPr>
            <w:r>
              <w:rPr>
                <w:rFonts w:eastAsia="Times New Roman"/>
              </w:rPr>
              <w:t>59% or below</w:t>
            </w:r>
          </w:p>
        </w:tc>
      </w:tr>
    </w:tbl>
    <w:p w:rsidR="008A58B4" w:rsidRDefault="008A58B4">
      <w:pPr>
        <w:divId w:val="2079671145"/>
        <w:rPr>
          <w:rFonts w:eastAsia="Times New Roman"/>
        </w:rPr>
      </w:pPr>
    </w:p>
    <w:sectPr w:rsidR="008A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A606F"/>
    <w:multiLevelType w:val="multilevel"/>
    <w:tmpl w:val="BED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8519F"/>
    <w:multiLevelType w:val="multilevel"/>
    <w:tmpl w:val="E8D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AB616D"/>
    <w:multiLevelType w:val="multilevel"/>
    <w:tmpl w:val="C132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877AB8"/>
    <w:multiLevelType w:val="multilevel"/>
    <w:tmpl w:val="8AA4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84DF8"/>
    <w:rsid w:val="008A58B4"/>
    <w:rsid w:val="00C84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C84DF8"/>
    <w:rPr>
      <w:rFonts w:ascii="Tahoma" w:hAnsi="Tahoma" w:cs="Tahoma"/>
      <w:sz w:val="16"/>
      <w:szCs w:val="16"/>
    </w:rPr>
  </w:style>
  <w:style w:type="character" w:customStyle="1" w:styleId="BalloonTextChar">
    <w:name w:val="Balloon Text Char"/>
    <w:basedOn w:val="DefaultParagraphFont"/>
    <w:link w:val="BalloonText"/>
    <w:uiPriority w:val="99"/>
    <w:semiHidden/>
    <w:rsid w:val="00C84DF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C84DF8"/>
    <w:rPr>
      <w:rFonts w:ascii="Tahoma" w:hAnsi="Tahoma" w:cs="Tahoma"/>
      <w:sz w:val="16"/>
      <w:szCs w:val="16"/>
    </w:rPr>
  </w:style>
  <w:style w:type="character" w:customStyle="1" w:styleId="BalloonTextChar">
    <w:name w:val="Balloon Text Char"/>
    <w:basedOn w:val="DefaultParagraphFont"/>
    <w:link w:val="BalloonText"/>
    <w:uiPriority w:val="99"/>
    <w:semiHidden/>
    <w:rsid w:val="00C84DF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637057">
      <w:bodyDiv w:val="1"/>
      <w:marLeft w:val="0"/>
      <w:marRight w:val="0"/>
      <w:marTop w:val="0"/>
      <w:marBottom w:val="960"/>
      <w:divBdr>
        <w:top w:val="none" w:sz="0" w:space="0" w:color="auto"/>
        <w:left w:val="none" w:sz="0" w:space="0" w:color="auto"/>
        <w:bottom w:val="none" w:sz="0" w:space="0" w:color="auto"/>
        <w:right w:val="none" w:sz="0" w:space="0" w:color="auto"/>
      </w:divBdr>
      <w:divsChild>
        <w:div w:id="596793925">
          <w:marLeft w:val="0"/>
          <w:marRight w:val="0"/>
          <w:marTop w:val="0"/>
          <w:marBottom w:val="0"/>
          <w:divBdr>
            <w:top w:val="none" w:sz="0" w:space="0" w:color="auto"/>
            <w:left w:val="none" w:sz="0" w:space="0" w:color="auto"/>
            <w:bottom w:val="none" w:sz="0" w:space="0" w:color="auto"/>
            <w:right w:val="none" w:sz="0" w:space="0" w:color="auto"/>
          </w:divBdr>
          <w:divsChild>
            <w:div w:id="515383783">
              <w:marLeft w:val="0"/>
              <w:marRight w:val="0"/>
              <w:marTop w:val="0"/>
              <w:marBottom w:val="96"/>
              <w:divBdr>
                <w:top w:val="none" w:sz="0" w:space="0" w:color="auto"/>
                <w:left w:val="none" w:sz="0" w:space="0" w:color="auto"/>
                <w:bottom w:val="none" w:sz="0" w:space="0" w:color="auto"/>
                <w:right w:val="none" w:sz="0" w:space="0" w:color="auto"/>
              </w:divBdr>
            </w:div>
          </w:divsChild>
        </w:div>
        <w:div w:id="790519889">
          <w:marLeft w:val="0"/>
          <w:marRight w:val="0"/>
          <w:marTop w:val="0"/>
          <w:marBottom w:val="0"/>
          <w:divBdr>
            <w:top w:val="none" w:sz="0" w:space="0" w:color="auto"/>
            <w:left w:val="none" w:sz="0" w:space="0" w:color="auto"/>
            <w:bottom w:val="none" w:sz="0" w:space="0" w:color="auto"/>
            <w:right w:val="none" w:sz="0" w:space="0" w:color="auto"/>
          </w:divBdr>
          <w:divsChild>
            <w:div w:id="2079671145">
              <w:marLeft w:val="0"/>
              <w:marRight w:val="0"/>
              <w:marTop w:val="0"/>
              <w:marBottom w:val="0"/>
              <w:divBdr>
                <w:top w:val="none" w:sz="0" w:space="0" w:color="auto"/>
                <w:left w:val="none" w:sz="0" w:space="0" w:color="auto"/>
                <w:bottom w:val="none" w:sz="0" w:space="0" w:color="auto"/>
                <w:right w:val="none" w:sz="0" w:space="0" w:color="auto"/>
              </w:divBdr>
              <w:divsChild>
                <w:div w:id="180975046">
                  <w:marLeft w:val="0"/>
                  <w:marRight w:val="0"/>
                  <w:marTop w:val="0"/>
                  <w:marBottom w:val="0"/>
                  <w:divBdr>
                    <w:top w:val="none" w:sz="0" w:space="0" w:color="auto"/>
                    <w:left w:val="none" w:sz="0" w:space="0" w:color="auto"/>
                    <w:bottom w:val="none" w:sz="0" w:space="0" w:color="auto"/>
                    <w:right w:val="none" w:sz="0" w:space="0" w:color="auto"/>
                  </w:divBdr>
                </w:div>
                <w:div w:id="11495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s.org/manual/teachings-of-the-living-prophets-student-manual" TargetMode="External"/><Relationship Id="rId3" Type="http://schemas.microsoft.com/office/2007/relationships/stylesWithEffects" Target="stylesWithEffects.xml"/><Relationship Id="rId7" Type="http://schemas.openxmlformats.org/officeDocument/2006/relationships/hyperlink" Target="mailto:ta_relc333@by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jh235.BYU\Desktop\Media\Images\Welcome-Obj.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ds.org/general-co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928</Words>
  <Characters>5292</Characters>
  <Application>Microsoft Office Word</Application>
  <DocSecurity>0</DocSecurity>
  <Lines>44</Lines>
  <Paragraphs>12</Paragraphs>
  <ScaleCrop>false</ScaleCrop>
  <Company>BYU DCE</Company>
  <LinksUpToDate>false</LinksUpToDate>
  <CharactersWithSpaces>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2015-03-18T20:23:00Z</dcterms:created>
  <dcterms:modified xsi:type="dcterms:W3CDTF">2015-03-18T20:23:00Z</dcterms:modified>
</cp:coreProperties>
</file>