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72A0D">
      <w:pPr>
        <w:divId w:val="1748722381"/>
        <w:rPr>
          <w:rFonts w:eastAsia="Times New Roman"/>
        </w:rPr>
      </w:pPr>
      <w:bookmarkStart w:id="0" w:name="top"/>
      <w:bookmarkStart w:id="1" w:name="_GoBack"/>
      <w:bookmarkEnd w:id="0"/>
      <w:bookmarkEnd w:id="1"/>
      <w:r>
        <w:rPr>
          <w:rFonts w:eastAsia="Times New Roman"/>
          <w:noProof/>
        </w:rPr>
        <w:drawing>
          <wp:inline distT="0" distB="0" distL="0" distR="0">
            <wp:extent cx="304800" cy="304800"/>
            <wp:effectExtent l="0" t="0" r="0" b="0"/>
            <wp:docPr id="1" name="Picture 1" descr="C:\Users\mjh235.BYU\Desktop\Media\Images\welcome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h235.BYU\Desktop\Media\Images\welcomeObj.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72A0D">
      <w:pPr>
        <w:pStyle w:val="Heading1"/>
        <w:divId w:val="207299976"/>
        <w:rPr>
          <w:rFonts w:eastAsia="Times New Roman"/>
        </w:rPr>
      </w:pPr>
      <w:r>
        <w:rPr>
          <w:rFonts w:eastAsia="Times New Roman"/>
        </w:rPr>
        <w:t>Syllabus</w:t>
      </w:r>
    </w:p>
    <w:p w:rsidR="00000000" w:rsidRDefault="00672A0D">
      <w:pPr>
        <w:pStyle w:val="Heading2"/>
        <w:divId w:val="207299976"/>
        <w:rPr>
          <w:rFonts w:eastAsia="Times New Roman"/>
        </w:rPr>
      </w:pPr>
      <w:r>
        <w:rPr>
          <w:rFonts w:eastAsia="Times New Roman"/>
        </w:rPr>
        <w:t xml:space="preserve">Welcome to BYU Online! </w:t>
      </w:r>
    </w:p>
    <w:p w:rsidR="00000000" w:rsidRDefault="00672A0D">
      <w:pPr>
        <w:pStyle w:val="NormalWeb"/>
        <w:divId w:val="207299976"/>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672A0D">
      <w:pPr>
        <w:numPr>
          <w:ilvl w:val="0"/>
          <w:numId w:val="1"/>
        </w:numPr>
        <w:spacing w:before="100" w:beforeAutospacing="1" w:after="100" w:afterAutospacing="1" w:line="348" w:lineRule="atLeast"/>
        <w:ind w:left="0"/>
        <w:divId w:val="207299976"/>
        <w:rPr>
          <w:rFonts w:eastAsia="Times New Roman"/>
        </w:rPr>
      </w:pPr>
      <w:r>
        <w:rPr>
          <w:rStyle w:val="Strong"/>
          <w:rFonts w:eastAsia="Times New Roman"/>
        </w:rPr>
        <w:t xml:space="preserve">Course Content </w:t>
      </w:r>
      <w:r>
        <w:rPr>
          <w:rFonts w:eastAsia="Times New Roman"/>
        </w:rPr>
        <w:t>– Aside from your textbook, all of the course content is conta</w:t>
      </w:r>
      <w:r>
        <w:rPr>
          <w:rFonts w:eastAsia="Times New Roman"/>
        </w:rPr>
        <w:t xml:space="preserve">ined online. You will also submit all your assignments and complete all your course quizzes online. </w:t>
      </w:r>
    </w:p>
    <w:p w:rsidR="00000000" w:rsidRDefault="00672A0D">
      <w:pPr>
        <w:numPr>
          <w:ilvl w:val="0"/>
          <w:numId w:val="1"/>
        </w:numPr>
        <w:spacing w:before="100" w:beforeAutospacing="1" w:after="100" w:afterAutospacing="1" w:line="348" w:lineRule="atLeast"/>
        <w:ind w:left="0"/>
        <w:divId w:val="207299976"/>
        <w:rPr>
          <w:rFonts w:eastAsia="Times New Roman"/>
        </w:rPr>
      </w:pPr>
      <w:r>
        <w:rPr>
          <w:rStyle w:val="Strong"/>
          <w:rFonts w:eastAsia="Times New Roman"/>
        </w:rPr>
        <w:t>Course Completion</w:t>
      </w:r>
      <w:r>
        <w:rPr>
          <w:rFonts w:eastAsia="Times New Roman"/>
        </w:rPr>
        <w:t xml:space="preserve"> – You are allowed to complete this course at your own pace. The only restrictions are you cannot complete the course before halfway throu</w:t>
      </w:r>
      <w:r>
        <w:rPr>
          <w:rFonts w:eastAsia="Times New Roman"/>
        </w:rPr>
        <w:t xml:space="preserve">gh the semester and you must complete the course by the end of the semester. </w:t>
      </w:r>
    </w:p>
    <w:p w:rsidR="00000000" w:rsidRDefault="00672A0D">
      <w:pPr>
        <w:numPr>
          <w:ilvl w:val="0"/>
          <w:numId w:val="1"/>
        </w:numPr>
        <w:spacing w:before="100" w:beforeAutospacing="1" w:after="100" w:afterAutospacing="1" w:line="348" w:lineRule="atLeast"/>
        <w:ind w:left="0"/>
        <w:divId w:val="207299976"/>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TAs and other members of the class. You will als</w:t>
      </w:r>
      <w:r>
        <w:rPr>
          <w:rFonts w:eastAsia="Times New Roman"/>
        </w:rPr>
        <w:t>o have the opportunity to ask any questions you have about the class and how it operates.</w:t>
      </w:r>
    </w:p>
    <w:p w:rsidR="00000000" w:rsidRDefault="00672A0D">
      <w:pPr>
        <w:numPr>
          <w:ilvl w:val="0"/>
          <w:numId w:val="1"/>
        </w:numPr>
        <w:spacing w:before="100" w:beforeAutospacing="1" w:after="100" w:afterAutospacing="1" w:line="348" w:lineRule="atLeast"/>
        <w:ind w:left="0"/>
        <w:divId w:val="207299976"/>
        <w:rPr>
          <w:rFonts w:eastAsia="Times New Roman"/>
        </w:rPr>
      </w:pPr>
      <w:r>
        <w:rPr>
          <w:rStyle w:val="Strong"/>
          <w:rFonts w:eastAsia="Times New Roman"/>
        </w:rPr>
        <w:t>Course TA</w:t>
      </w:r>
      <w:r>
        <w:rPr>
          <w:rFonts w:eastAsia="Times New Roman"/>
        </w:rPr>
        <w:t xml:space="preserve"> – This course has a specific TA that you can contact with questions about the course or course content. The TA will also assist you in creating a course com</w:t>
      </w:r>
      <w:r>
        <w:rPr>
          <w:rFonts w:eastAsia="Times New Roman"/>
        </w:rPr>
        <w:t>pletion schedule and meet with you for the course checkpoints.</w:t>
      </w:r>
    </w:p>
    <w:p w:rsidR="00000000" w:rsidRDefault="00672A0D">
      <w:pPr>
        <w:numPr>
          <w:ilvl w:val="0"/>
          <w:numId w:val="1"/>
        </w:numPr>
        <w:spacing w:before="100" w:beforeAutospacing="1" w:after="100" w:afterAutospacing="1" w:line="348" w:lineRule="atLeast"/>
        <w:ind w:left="0"/>
        <w:divId w:val="207299976"/>
        <w:rPr>
          <w:rFonts w:eastAsia="Times New Roman"/>
        </w:rPr>
      </w:pPr>
      <w:r>
        <w:rPr>
          <w:rStyle w:val="Strong"/>
          <w:rFonts w:eastAsia="Times New Roman"/>
        </w:rPr>
        <w:t>Checkpoints</w:t>
      </w:r>
      <w:r>
        <w:rPr>
          <w:rFonts w:eastAsia="Times New Roman"/>
        </w:rPr>
        <w:t xml:space="preserve"> – Throughout the course you will be required to meet with the course TA 3 times. These meetings will take place in Adobe Connect. These checkpoints will allow you to discuss your pr</w:t>
      </w:r>
      <w:r>
        <w:rPr>
          <w:rFonts w:eastAsia="Times New Roman"/>
        </w:rPr>
        <w:t xml:space="preserve">ogress in the course and help you follow your course completion plan. </w:t>
      </w:r>
    </w:p>
    <w:p w:rsidR="00000000" w:rsidRDefault="00672A0D">
      <w:pPr>
        <w:pStyle w:val="NormalWeb"/>
        <w:divId w:val="207299976"/>
      </w:pPr>
      <w:r>
        <w:t>As part of the pilot, we will be asking you to help assess the success and effectiveness of this course, the faculty member, the course delivery and the course support. Your participati</w:t>
      </w:r>
      <w:r>
        <w:t>on in this assessment effort will be critical to future opportunities for online learning at BYU. Please be prepared to provide meaningful feedback about your experience.</w:t>
      </w:r>
    </w:p>
    <w:p w:rsidR="00000000" w:rsidRDefault="00672A0D">
      <w:pPr>
        <w:pStyle w:val="Heading2"/>
        <w:divId w:val="207299976"/>
        <w:rPr>
          <w:rFonts w:eastAsia="Times New Roman"/>
        </w:rPr>
      </w:pPr>
      <w:r>
        <w:rPr>
          <w:rFonts w:eastAsia="Times New Roman"/>
        </w:rPr>
        <w:t>Course TA Information</w:t>
      </w:r>
    </w:p>
    <w:p w:rsidR="00000000" w:rsidRDefault="00672A0D">
      <w:pPr>
        <w:pStyle w:val="NormalWeb"/>
        <w:divId w:val="207299976"/>
      </w:pPr>
      <w:r>
        <w:t xml:space="preserve">Your TA for this course is </w:t>
      </w:r>
      <w:r>
        <w:rPr>
          <w:rStyle w:val="Strong"/>
        </w:rPr>
        <w:t>Sarah Shepard</w:t>
      </w:r>
      <w:r>
        <w:t>. Please contact your T</w:t>
      </w:r>
      <w:r>
        <w:t xml:space="preserve">A if you have any questions, run into difficulties with the course, and to schedule checkpoints. </w:t>
      </w:r>
    </w:p>
    <w:p w:rsidR="00000000" w:rsidRDefault="00672A0D">
      <w:pPr>
        <w:numPr>
          <w:ilvl w:val="0"/>
          <w:numId w:val="2"/>
        </w:numPr>
        <w:spacing w:before="100" w:beforeAutospacing="1" w:after="100" w:afterAutospacing="1" w:line="348" w:lineRule="atLeast"/>
        <w:ind w:left="0"/>
        <w:divId w:val="207299976"/>
        <w:rPr>
          <w:rFonts w:eastAsia="Times New Roman"/>
        </w:rPr>
      </w:pPr>
      <w:r>
        <w:rPr>
          <w:rFonts w:eastAsia="Times New Roman"/>
        </w:rPr>
        <w:t>ta_sfl160@byu.edu</w:t>
      </w:r>
    </w:p>
    <w:p w:rsidR="00000000" w:rsidRDefault="00672A0D">
      <w:pPr>
        <w:numPr>
          <w:ilvl w:val="0"/>
          <w:numId w:val="2"/>
        </w:numPr>
        <w:spacing w:before="100" w:beforeAutospacing="1" w:after="100" w:afterAutospacing="1" w:line="348" w:lineRule="atLeast"/>
        <w:ind w:left="0"/>
        <w:divId w:val="207299976"/>
        <w:rPr>
          <w:rFonts w:eastAsia="Times New Roman"/>
        </w:rPr>
      </w:pPr>
      <w:r>
        <w:rPr>
          <w:rFonts w:eastAsia="Times New Roman"/>
        </w:rPr>
        <w:t>Open Office Hour: Thursdays 10-11am in 1053 JFSB</w:t>
      </w:r>
    </w:p>
    <w:p w:rsidR="00000000" w:rsidRDefault="00672A0D">
      <w:pPr>
        <w:pStyle w:val="NormalWeb"/>
        <w:divId w:val="207299976"/>
      </w:pPr>
      <w:r>
        <w:t>Remember, your TA is your first line of contact, and will be able to help you with most iss</w:t>
      </w:r>
      <w:r>
        <w:t>ues that come up. She is looking forward to getting to know you!</w:t>
      </w:r>
    </w:p>
    <w:p w:rsidR="00000000" w:rsidRDefault="00672A0D">
      <w:pPr>
        <w:pStyle w:val="Heading2"/>
        <w:divId w:val="207299976"/>
        <w:rPr>
          <w:rFonts w:eastAsia="Times New Roman"/>
        </w:rPr>
      </w:pPr>
      <w:r>
        <w:rPr>
          <w:rFonts w:eastAsia="Times New Roman"/>
        </w:rPr>
        <w:t>Course Learning Outcomes</w:t>
      </w:r>
    </w:p>
    <w:p w:rsidR="00000000" w:rsidRDefault="00672A0D">
      <w:pPr>
        <w:numPr>
          <w:ilvl w:val="0"/>
          <w:numId w:val="3"/>
        </w:numPr>
        <w:spacing w:before="100" w:beforeAutospacing="1" w:after="100" w:afterAutospacing="1" w:line="348" w:lineRule="atLeast"/>
        <w:ind w:left="0"/>
        <w:divId w:val="207299976"/>
        <w:rPr>
          <w:rFonts w:eastAsia="Times New Roman"/>
        </w:rPr>
      </w:pPr>
      <w:r>
        <w:rPr>
          <w:rFonts w:eastAsia="Times New Roman"/>
        </w:rPr>
        <w:t>Students will be introduced to the main theoretical frameworks used in the family sciences. An early unit in the course will cover and introduce students to the major</w:t>
      </w:r>
      <w:r>
        <w:rPr>
          <w:rFonts w:eastAsia="Times New Roman"/>
        </w:rPr>
        <w:t xml:space="preserve"> theories that help us understand family systems. After focusing on these theories for several lectures, the course materials will then reference these theories throughout the course as we learn about various components of families and how they interact. S</w:t>
      </w:r>
      <w:r>
        <w:rPr>
          <w:rFonts w:eastAsia="Times New Roman"/>
        </w:rPr>
        <w:t xml:space="preserve">tudents will also be asked in one of their major papers for the class to analyze your own family. This will help students gain a better appreciation for how the concepts from class might help them interpret their own family. </w:t>
      </w:r>
    </w:p>
    <w:p w:rsidR="00000000" w:rsidRDefault="00672A0D">
      <w:pPr>
        <w:numPr>
          <w:ilvl w:val="0"/>
          <w:numId w:val="3"/>
        </w:numPr>
        <w:spacing w:before="100" w:beforeAutospacing="1" w:after="100" w:afterAutospacing="1" w:line="348" w:lineRule="atLeast"/>
        <w:ind w:left="0"/>
        <w:divId w:val="207299976"/>
        <w:rPr>
          <w:rFonts w:eastAsia="Times New Roman"/>
        </w:rPr>
      </w:pPr>
      <w:r>
        <w:rPr>
          <w:rFonts w:eastAsia="Times New Roman"/>
        </w:rPr>
        <w:t>Students will learn how resear</w:t>
      </w:r>
      <w:r>
        <w:rPr>
          <w:rFonts w:eastAsia="Times New Roman"/>
        </w:rPr>
        <w:t>chers uniquely study families and family systems. In addition to just learning about what scholars know about families, we will also study how scholars study families. Family scientists employ unique research methods to study family interactions and patter</w:t>
      </w:r>
      <w:r>
        <w:rPr>
          <w:rFonts w:eastAsia="Times New Roman"/>
        </w:rPr>
        <w:t xml:space="preserve">ns. As a part of this course students will be introduced to the basics behind how we study the family unit. </w:t>
      </w:r>
    </w:p>
    <w:p w:rsidR="00000000" w:rsidRDefault="00672A0D">
      <w:pPr>
        <w:numPr>
          <w:ilvl w:val="0"/>
          <w:numId w:val="3"/>
        </w:numPr>
        <w:spacing w:before="100" w:beforeAutospacing="1" w:after="100" w:afterAutospacing="1" w:line="348" w:lineRule="atLeast"/>
        <w:ind w:left="0"/>
        <w:divId w:val="207299976"/>
        <w:rPr>
          <w:rFonts w:eastAsia="Times New Roman"/>
        </w:rPr>
      </w:pPr>
      <w:r>
        <w:rPr>
          <w:rFonts w:eastAsia="Times New Roman"/>
        </w:rPr>
        <w:t>Students will gain an understanding of the basic terms, concepts, and ideas used to describe family systems. Although terms such as rituals, commun</w:t>
      </w:r>
      <w:r>
        <w:rPr>
          <w:rFonts w:eastAsia="Times New Roman"/>
        </w:rPr>
        <w:t>ication, and problem-solving are likely familiar to students, throughout the course we will learn how these concepts are utilized and understood in the family sciences. Understanding these terms and concepts will help students both analyze family units and</w:t>
      </w:r>
      <w:r>
        <w:rPr>
          <w:rFonts w:eastAsia="Times New Roman"/>
        </w:rPr>
        <w:t xml:space="preserve"> give students a strong base from which to grow their understanding of family systems in future coursework. </w:t>
      </w:r>
    </w:p>
    <w:p w:rsidR="00000000" w:rsidRDefault="00672A0D">
      <w:pPr>
        <w:numPr>
          <w:ilvl w:val="0"/>
          <w:numId w:val="3"/>
        </w:numPr>
        <w:spacing w:before="100" w:beforeAutospacing="1" w:after="100" w:afterAutospacing="1" w:line="348" w:lineRule="atLeast"/>
        <w:ind w:left="0"/>
        <w:divId w:val="207299976"/>
        <w:rPr>
          <w:rFonts w:eastAsia="Times New Roman"/>
        </w:rPr>
      </w:pPr>
      <w:r>
        <w:rPr>
          <w:rFonts w:eastAsia="Times New Roman"/>
        </w:rPr>
        <w:t>Students will learn to apply family systems ideas and concepts to their own families, past and future, in order to learn how they might improve the</w:t>
      </w:r>
      <w:r>
        <w:rPr>
          <w:rFonts w:eastAsia="Times New Roman"/>
        </w:rPr>
        <w:t>ir own family well-being. Both the assignments and lectures from the course will give students opportunities to apply what they are learning to themselves in terms of where they have been and where they are going. Discussion questions, activities, and assi</w:t>
      </w:r>
      <w:r>
        <w:rPr>
          <w:rFonts w:eastAsia="Times New Roman"/>
        </w:rPr>
        <w:t xml:space="preserve">gnments will challenge students to critically analyze their family, past and future, and to understand their own personal strengths and weaknesses in regard to family life. </w:t>
      </w:r>
    </w:p>
    <w:p w:rsidR="00000000" w:rsidRDefault="00672A0D">
      <w:pPr>
        <w:numPr>
          <w:ilvl w:val="0"/>
          <w:numId w:val="3"/>
        </w:numPr>
        <w:spacing w:before="100" w:beforeAutospacing="1" w:after="100" w:afterAutospacing="1" w:line="348" w:lineRule="atLeast"/>
        <w:ind w:left="0"/>
        <w:divId w:val="207299976"/>
        <w:rPr>
          <w:rFonts w:eastAsia="Times New Roman"/>
        </w:rPr>
      </w:pPr>
      <w:r>
        <w:rPr>
          <w:rFonts w:eastAsia="Times New Roman"/>
        </w:rPr>
        <w:t>Students will improve their writing skills. This course has an emphasis on writing</w:t>
      </w:r>
      <w:r>
        <w:rPr>
          <w:rFonts w:eastAsia="Times New Roman"/>
        </w:rPr>
        <w:t xml:space="preserve"> and, as such, is designed to help students improve their academic writing skills. Through the reflective writing assignments due throughout the course, I hope students emerge from this class more confident in their writing proficiency and more capable of </w:t>
      </w:r>
      <w:r>
        <w:rPr>
          <w:rFonts w:eastAsia="Times New Roman"/>
        </w:rPr>
        <w:t xml:space="preserve">delivering strong, clear writing. </w:t>
      </w:r>
    </w:p>
    <w:p w:rsidR="00000000" w:rsidRDefault="00672A0D">
      <w:pPr>
        <w:pStyle w:val="Heading2"/>
        <w:divId w:val="207299976"/>
        <w:rPr>
          <w:rFonts w:eastAsia="Times New Roman"/>
        </w:rPr>
      </w:pPr>
      <w:r>
        <w:rPr>
          <w:rFonts w:eastAsia="Times New Roman"/>
        </w:rPr>
        <w:t>Course Materials</w:t>
      </w:r>
    </w:p>
    <w:p w:rsidR="00000000" w:rsidRDefault="00672A0D">
      <w:pPr>
        <w:pStyle w:val="NormalWeb"/>
        <w:divId w:val="207299976"/>
      </w:pPr>
      <w:r>
        <w:t xml:space="preserve">David H. Olson, John DeFrain, and Linda Skogrand. </w:t>
      </w:r>
      <w:r>
        <w:rPr>
          <w:rStyle w:val="Emphasis"/>
        </w:rPr>
        <w:t>Marriage and Families: Intimacy, Diversity, and Strengths</w:t>
      </w:r>
      <w:r>
        <w:t xml:space="preserve">, 8th edition. McGraw-Hill Education, 2014. </w:t>
      </w:r>
    </w:p>
    <w:p w:rsidR="00000000" w:rsidRDefault="00672A0D">
      <w:pPr>
        <w:pStyle w:val="Heading2"/>
        <w:divId w:val="207299976"/>
        <w:rPr>
          <w:rFonts w:eastAsia="Times New Roman"/>
        </w:rPr>
      </w:pPr>
      <w:r>
        <w:rPr>
          <w:rFonts w:eastAsia="Times New Roman"/>
        </w:rPr>
        <w:t>Assignments</w:t>
      </w:r>
    </w:p>
    <w:p w:rsidR="00000000" w:rsidRDefault="00672A0D">
      <w:pPr>
        <w:pStyle w:val="Heading3"/>
        <w:divId w:val="207299976"/>
        <w:rPr>
          <w:rFonts w:eastAsia="Times New Roman"/>
        </w:rPr>
      </w:pPr>
      <w:r>
        <w:rPr>
          <w:rFonts w:eastAsia="Times New Roman"/>
        </w:rPr>
        <w:t>Assignment 1: Family Interview Assignment</w:t>
      </w:r>
    </w:p>
    <w:p w:rsidR="00000000" w:rsidRDefault="00672A0D">
      <w:pPr>
        <w:pStyle w:val="NormalWeb"/>
        <w:divId w:val="207299976"/>
      </w:pPr>
      <w:r>
        <w:t>This writing assignment tasks you with understanding the strengths and weaknesses you bring with you from your family background. You will interview a family member and then write about the experience. Your finishe</w:t>
      </w:r>
      <w:r>
        <w:t xml:space="preserve">d paper will include a three-page, single-spaced summary of an interview you completed with either a parent or grandparent (you will complete an interview worksheet for this part of the assignment). </w:t>
      </w:r>
    </w:p>
    <w:p w:rsidR="00000000" w:rsidRDefault="00672A0D">
      <w:pPr>
        <w:pStyle w:val="Heading3"/>
        <w:divId w:val="207299976"/>
        <w:rPr>
          <w:rFonts w:eastAsia="Times New Roman"/>
        </w:rPr>
      </w:pPr>
      <w:r>
        <w:rPr>
          <w:rFonts w:eastAsia="Times New Roman"/>
        </w:rPr>
        <w:t xml:space="preserve">Assignment 2: Family Sculpture Assignment </w:t>
      </w:r>
    </w:p>
    <w:p w:rsidR="00000000" w:rsidRDefault="00672A0D">
      <w:pPr>
        <w:pStyle w:val="NormalWeb"/>
        <w:divId w:val="207299976"/>
      </w:pPr>
      <w:r>
        <w:t>For this assi</w:t>
      </w:r>
      <w:r>
        <w:t xml:space="preserve">gnment, you will construct several family sculptures and write about the strengths and weaknesses that you see due to your family background. </w:t>
      </w:r>
    </w:p>
    <w:p w:rsidR="00000000" w:rsidRDefault="00672A0D">
      <w:pPr>
        <w:pStyle w:val="NormalWeb"/>
        <w:divId w:val="207299976"/>
      </w:pPr>
      <w:r>
        <w:t xml:space="preserve">This assignment will have two parts. First, you will construct </w:t>
      </w:r>
      <w:r>
        <w:rPr>
          <w:rStyle w:val="Emphasis"/>
        </w:rPr>
        <w:t>three family sculptures: one for the families of e</w:t>
      </w:r>
      <w:r>
        <w:rPr>
          <w:rStyle w:val="Emphasis"/>
        </w:rPr>
        <w:t>ach of your parents and one for your own family when each person was ten years old</w:t>
      </w:r>
      <w:r>
        <w:t xml:space="preserve"> (you will be given specific instructions on how to draw a family sculpture). </w:t>
      </w:r>
    </w:p>
    <w:p w:rsidR="00000000" w:rsidRDefault="00672A0D">
      <w:pPr>
        <w:pStyle w:val="NormalWeb"/>
        <w:divId w:val="207299976"/>
      </w:pPr>
      <w:r>
        <w:t>Next, you will create two short write-ups: a two-page, double-spaced summary of the strengths o</w:t>
      </w:r>
      <w:r>
        <w:t xml:space="preserve">f your family of origin based on the family sculptures, and a two-page, double-spaced summary of the weaknesses of your family of origin based on the family sculptures. </w:t>
      </w:r>
    </w:p>
    <w:p w:rsidR="00000000" w:rsidRDefault="00672A0D">
      <w:pPr>
        <w:pStyle w:val="Heading3"/>
        <w:divId w:val="207299976"/>
        <w:rPr>
          <w:rFonts w:eastAsia="Times New Roman"/>
        </w:rPr>
      </w:pPr>
      <w:r>
        <w:rPr>
          <w:rFonts w:eastAsia="Times New Roman"/>
        </w:rPr>
        <w:t xml:space="preserve">Assignment 3: Family Theory Analysis Paper </w:t>
      </w:r>
    </w:p>
    <w:p w:rsidR="00000000" w:rsidRDefault="00672A0D">
      <w:pPr>
        <w:pStyle w:val="NormalWeb"/>
        <w:divId w:val="207299976"/>
      </w:pPr>
      <w:r>
        <w:t>You will study several major family scienc</w:t>
      </w:r>
      <w:r>
        <w:t>e theories during the course. For this assignment, you will write a five-page, double-spaced paper in which you analyze a family from a television show through the lens of one of the three major theories you learn about in class. You must reference at leas</w:t>
      </w:r>
      <w:r>
        <w:t xml:space="preserve">t 10 ideas and terms from each theory and </w:t>
      </w:r>
      <w:r>
        <w:rPr>
          <w:rStyle w:val="Strong"/>
        </w:rPr>
        <w:t>bold</w:t>
      </w:r>
      <w:r>
        <w:t xml:space="preserve"> them in your paper the first time you use them. Your analysis should include discussion of how the theory would identify both strengths and weaknesses in your current family. </w:t>
      </w:r>
    </w:p>
    <w:p w:rsidR="00000000" w:rsidRDefault="00672A0D">
      <w:pPr>
        <w:pStyle w:val="Heading3"/>
        <w:divId w:val="207299976"/>
        <w:rPr>
          <w:rFonts w:eastAsia="Times New Roman"/>
        </w:rPr>
      </w:pPr>
      <w:r>
        <w:rPr>
          <w:rFonts w:eastAsia="Times New Roman"/>
        </w:rPr>
        <w:t>Assignment 4: Family Symbolism As</w:t>
      </w:r>
      <w:r>
        <w:rPr>
          <w:rFonts w:eastAsia="Times New Roman"/>
        </w:rPr>
        <w:t>signment</w:t>
      </w:r>
    </w:p>
    <w:p w:rsidR="00000000" w:rsidRDefault="00672A0D">
      <w:pPr>
        <w:pStyle w:val="NormalWeb"/>
        <w:divId w:val="207299976"/>
      </w:pPr>
      <w:r>
        <w:t xml:space="preserve">Several times in the course, you will learn how symbolism within families is an important component of family process. For this assignment, you will think about how your family might be represented in a symbolic way. </w:t>
      </w:r>
    </w:p>
    <w:p w:rsidR="00000000" w:rsidRDefault="00672A0D">
      <w:pPr>
        <w:pStyle w:val="NormalWeb"/>
        <w:divId w:val="207299976"/>
      </w:pPr>
      <w:r>
        <w:t>The first part of the assignm</w:t>
      </w:r>
      <w:r>
        <w:t>ent is to create a “family flag” that symbolizes your family and then write about the symbols involved. You may design this flag in any way you wish (such as using graphic software or drawing the flag by hand and scanning a copy), but it must include the f</w:t>
      </w:r>
      <w:r>
        <w:t xml:space="preserve">ollowing elements: </w:t>
      </w:r>
    </w:p>
    <w:p w:rsidR="00000000" w:rsidRDefault="00672A0D">
      <w:pPr>
        <w:numPr>
          <w:ilvl w:val="0"/>
          <w:numId w:val="4"/>
        </w:numPr>
        <w:spacing w:before="100" w:beforeAutospacing="1" w:after="100" w:afterAutospacing="1" w:line="348" w:lineRule="atLeast"/>
        <w:ind w:left="0"/>
        <w:divId w:val="207299976"/>
        <w:rPr>
          <w:rFonts w:eastAsia="Times New Roman"/>
        </w:rPr>
      </w:pPr>
      <w:r>
        <w:rPr>
          <w:rFonts w:eastAsia="Times New Roman"/>
        </w:rPr>
        <w:t>Your family’s last name</w:t>
      </w:r>
    </w:p>
    <w:p w:rsidR="00000000" w:rsidRDefault="00672A0D">
      <w:pPr>
        <w:numPr>
          <w:ilvl w:val="0"/>
          <w:numId w:val="4"/>
        </w:numPr>
        <w:spacing w:before="100" w:beforeAutospacing="1" w:after="100" w:afterAutospacing="1" w:line="348" w:lineRule="atLeast"/>
        <w:ind w:left="0"/>
        <w:divId w:val="207299976"/>
        <w:rPr>
          <w:rFonts w:eastAsia="Times New Roman"/>
        </w:rPr>
      </w:pPr>
      <w:r>
        <w:rPr>
          <w:rFonts w:eastAsia="Times New Roman"/>
        </w:rPr>
        <w:t>At least five symbols that represent your family</w:t>
      </w:r>
    </w:p>
    <w:p w:rsidR="00000000" w:rsidRDefault="00672A0D">
      <w:pPr>
        <w:pStyle w:val="NormalWeb"/>
        <w:divId w:val="207299976"/>
      </w:pPr>
      <w:r>
        <w:t xml:space="preserve">This flag should collectively represent your family and be unique to the experiences that you had growing up. You will not get bonus points for unusual creativity </w:t>
      </w:r>
      <w:r>
        <w:t>in media or execution, and you will not be graded on your artistic ability. However, you should make sure your flag is neat and professional looking. </w:t>
      </w:r>
    </w:p>
    <w:p w:rsidR="00000000" w:rsidRDefault="00672A0D">
      <w:pPr>
        <w:pStyle w:val="NormalWeb"/>
        <w:divId w:val="207299976"/>
      </w:pPr>
      <w:r>
        <w:t>For the second part of the assignment, you will write a three-page, double-spaced paper briefly describin</w:t>
      </w:r>
      <w:r>
        <w:t>g the five symbols you picked. This write-up should focus on the symbolic nature of the objects you use, not just describing the symbols, but explaining the deeper meaning behind them. </w:t>
      </w:r>
    </w:p>
    <w:p w:rsidR="00000000" w:rsidRDefault="00672A0D">
      <w:pPr>
        <w:pStyle w:val="Heading3"/>
        <w:divId w:val="207299976"/>
        <w:rPr>
          <w:rFonts w:eastAsia="Times New Roman"/>
        </w:rPr>
      </w:pPr>
      <w:r>
        <w:rPr>
          <w:rFonts w:eastAsia="Times New Roman"/>
        </w:rPr>
        <w:t>Assignment 5: Family Process Self-Analysis</w:t>
      </w:r>
    </w:p>
    <w:p w:rsidR="00000000" w:rsidRDefault="00672A0D">
      <w:pPr>
        <w:pStyle w:val="NormalWeb"/>
        <w:divId w:val="207299976"/>
      </w:pPr>
      <w:r>
        <w:t>For the final assignment of</w:t>
      </w:r>
      <w:r>
        <w:t xml:space="preserve"> the class, you will submit a six-page, double-spaced paper that is essentially a self-analysis of your current family process utilizing the concepts from the course. This assignment serves as evidence that you can apply the material from the course to a r</w:t>
      </w:r>
      <w:r>
        <w:t xml:space="preserve">eal situation. You will select </w:t>
      </w:r>
      <w:r>
        <w:rPr>
          <w:rStyle w:val="Emphasis"/>
        </w:rPr>
        <w:t>four</w:t>
      </w:r>
      <w:r>
        <w:t xml:space="preserve"> from a list of ten topics that we have covered in the course. You will use the course materials from those four areas to build an analysis of both the positive and negative elements of their family process. </w:t>
      </w:r>
    </w:p>
    <w:p w:rsidR="00000000" w:rsidRDefault="00672A0D">
      <w:pPr>
        <w:pStyle w:val="Heading3"/>
        <w:divId w:val="207299976"/>
        <w:rPr>
          <w:rFonts w:eastAsia="Times New Roman"/>
        </w:rPr>
      </w:pPr>
      <w:r>
        <w:rPr>
          <w:rFonts w:eastAsia="Times New Roman"/>
        </w:rPr>
        <w:t>Reading Quiz</w:t>
      </w:r>
      <w:r>
        <w:rPr>
          <w:rFonts w:eastAsia="Times New Roman"/>
        </w:rPr>
        <w:t>zes</w:t>
      </w:r>
    </w:p>
    <w:p w:rsidR="00000000" w:rsidRDefault="00672A0D">
      <w:pPr>
        <w:pStyle w:val="NormalWeb"/>
        <w:divId w:val="207299976"/>
      </w:pPr>
      <w:r>
        <w:t>In addition to the two exams, you will complete three online quizzes based on the reading material from the textbook. These quizzes consist of approximately 15 multiple-choice questions (worth 2 points each). These quizzes help you prepare for the exam</w:t>
      </w:r>
      <w:r>
        <w:t xml:space="preserve">s—so you will have a </w:t>
      </w:r>
      <w:r>
        <w:rPr>
          <w:rStyle w:val="Strong"/>
        </w:rPr>
        <w:t>time limit</w:t>
      </w:r>
      <w:r>
        <w:t xml:space="preserve"> of 20 minutes to complete each one. This won’t give you enough time to find the answers in your textbook, so be sure you have thoroughly read the material before you begin.</w:t>
      </w:r>
    </w:p>
    <w:p w:rsidR="00000000" w:rsidRDefault="00672A0D">
      <w:pPr>
        <w:pStyle w:val="Heading2"/>
        <w:divId w:val="207299976"/>
        <w:rPr>
          <w:rFonts w:eastAsia="Times New Roman"/>
        </w:rPr>
      </w:pPr>
      <w:r>
        <w:rPr>
          <w:rFonts w:eastAsia="Times New Roman"/>
        </w:rPr>
        <w:t>Exams</w:t>
      </w:r>
    </w:p>
    <w:p w:rsidR="00000000" w:rsidRDefault="00672A0D">
      <w:pPr>
        <w:pStyle w:val="NormalWeb"/>
        <w:divId w:val="207299976"/>
      </w:pPr>
      <w:r>
        <w:t>There will be two exams for the class, a midc</w:t>
      </w:r>
      <w:r>
        <w:t>ourse and a final. The final exam is comprehensive, and includes elements from the entire course (roughly 75% new material and 25% old material). Both exams are comprised of multiple choice, true-false, matching, fill-in-the-blank, and short essay question</w:t>
      </w:r>
      <w:r>
        <w:t xml:space="preserve">s. </w:t>
      </w:r>
    </w:p>
    <w:p w:rsidR="00000000" w:rsidRDefault="00672A0D">
      <w:pPr>
        <w:pStyle w:val="Heading3"/>
        <w:divId w:val="207299976"/>
        <w:rPr>
          <w:rFonts w:eastAsia="Times New Roman"/>
        </w:rPr>
      </w:pPr>
      <w:r>
        <w:rPr>
          <w:rFonts w:eastAsia="Times New Roman"/>
        </w:rPr>
        <w:t>Important Exam Note</w:t>
      </w:r>
    </w:p>
    <w:p w:rsidR="00000000" w:rsidRDefault="00672A0D">
      <w:pPr>
        <w:pStyle w:val="NormalWeb"/>
        <w:divId w:val="207299976"/>
      </w:pPr>
      <w:r>
        <w:t xml:space="preserve">You will take your exam online at the Morris Center. You will need to schedule your exam time at least 2 days before you want to take the exam. Please read the two “Preparing for the Exam” pages for details. </w:t>
      </w:r>
    </w:p>
    <w:p w:rsidR="00000000" w:rsidRDefault="00672A0D">
      <w:pPr>
        <w:pStyle w:val="Heading2"/>
        <w:divId w:val="207299976"/>
        <w:rPr>
          <w:rFonts w:eastAsia="Times New Roman"/>
        </w:rPr>
      </w:pPr>
      <w:r>
        <w:rPr>
          <w:rFonts w:eastAsia="Times New Roman"/>
        </w:rPr>
        <w:t>Course Schedule</w:t>
      </w:r>
    </w:p>
    <w:p w:rsidR="00000000" w:rsidRDefault="00672A0D">
      <w:pPr>
        <w:pStyle w:val="NormalWeb"/>
        <w:divId w:val="207299976"/>
      </w:pPr>
      <w:r>
        <w:rPr>
          <w:rStyle w:val="Strong"/>
        </w:rPr>
        <w:t>Note:</w:t>
      </w:r>
      <w:r>
        <w:t xml:space="preserve"> T</w:t>
      </w:r>
      <w:r>
        <w:t xml:space="preserve">he schedule for lessons and readings is only a suggestion.  The assignment due dates </w:t>
      </w:r>
      <w:r>
        <w:rPr>
          <w:rStyle w:val="Strong"/>
        </w:rPr>
        <w:t>will be enforced</w:t>
      </w:r>
      <w:r>
        <w:t xml:space="preserve"> with the following late penalty:</w:t>
      </w:r>
    </w:p>
    <w:p w:rsidR="00000000" w:rsidRDefault="00672A0D">
      <w:pPr>
        <w:pStyle w:val="NormalWeb"/>
        <w:divId w:val="207299976"/>
      </w:pPr>
      <w:r>
        <w:t xml:space="preserve">All assignments are due </w:t>
      </w:r>
      <w:r>
        <w:rPr>
          <w:rStyle w:val="Strong"/>
        </w:rPr>
        <w:t>online</w:t>
      </w:r>
      <w:r>
        <w:t xml:space="preserve"> the day they are scheduled to be turned in. Any </w:t>
      </w:r>
      <w:r>
        <w:t xml:space="preserve">assignment handed in late will be deducted 2.5% for each day late it is turned in. </w:t>
      </w:r>
      <w:r>
        <w:rPr>
          <w:rStyle w:val="Strong"/>
        </w:rPr>
        <w:t>This includes weekends</w:t>
      </w:r>
      <w:r>
        <w:t>. Exams will be deducted by one letter grade (10%) for each day they are taken late. Quizzes must be completed prior to the deadline on the syllabus or</w:t>
      </w:r>
      <w:r>
        <w:t xml:space="preserve"> students will receive a 0 on the quiz.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390"/>
        <w:gridCol w:w="3647"/>
        <w:gridCol w:w="2130"/>
      </w:tblGrid>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Style w:val="Strong"/>
                <w:rFonts w:eastAsia="Times New Roman"/>
              </w:rPr>
              <w:t>Date</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Style w:val="Strong"/>
                <w:rFonts w:eastAsia="Times New Roman"/>
              </w:rPr>
              <w:t>Lesson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Style w:val="Strong"/>
                <w:rFonts w:eastAsia="Times New Roman"/>
              </w:rPr>
              <w:t>Readings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Style w:val="Strong"/>
                <w:rFonts w:eastAsia="Times New Roman"/>
              </w:rPr>
              <w:t>Assignments</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Jan 06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Introduction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Course Syllabus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Jan 08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1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Jan 13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Current Trends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Jan 15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Appendix B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Jan 20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Studying the Family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Jan 22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Theory - Family Systems Theory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3 (pgs. 70-91)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xml:space="preserve">Interview Assignment Due Date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Jan 27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Theory - Life Course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Article Reading: “The Life Course as Developmental Theory” Glenn Elder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Jan 29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Theory - Symbolic Interaction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Feb 03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reading from </w:t>
            </w:r>
            <w:r>
              <w:rPr>
                <w:rStyle w:val="Emphasis"/>
                <w:rFonts w:eastAsia="Times New Roman"/>
              </w:rPr>
              <w:t>“Family Paradigms”</w:t>
            </w:r>
            <w:r>
              <w:rPr>
                <w:rFonts w:eastAsia="Times New Roman"/>
              </w:rPr>
              <w:t xml:space="preserve"> Larry Constantine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Reading Quiz 1 Due</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Feb 05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Paradigms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Family Sculpture Assignment Due</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Feb 10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reading from </w:t>
            </w:r>
            <w:r>
              <w:rPr>
                <w:rStyle w:val="Emphasis"/>
                <w:rFonts w:eastAsia="Times New Roman"/>
              </w:rPr>
              <w:t>“Introduction to Family Process”</w:t>
            </w:r>
            <w:r>
              <w:rPr>
                <w:rFonts w:eastAsia="Times New Roman"/>
              </w:rPr>
              <w:t xml:space="preserve"> </w:t>
            </w:r>
            <w:r>
              <w:rPr>
                <w:rFonts w:eastAsia="Times New Roman"/>
              </w:rPr>
              <w:t xml:space="preserve">Randal 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Feb 12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Rules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Feb 17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Feb 19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****Article reading </w:t>
            </w:r>
            <w:r>
              <w:rPr>
                <w:rStyle w:val="Emphasis"/>
                <w:rFonts w:eastAsia="Times New Roman"/>
              </w:rPr>
              <w:t>“Family Routines and Rituals”</w:t>
            </w:r>
            <w:r>
              <w:rPr>
                <w:rFonts w:eastAsia="Times New Roman"/>
              </w:rPr>
              <w:t xml:space="preserve"> Mary Spagnola and Barbara Fiese*****</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Feb 24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p w:rsidR="00000000" w:rsidRDefault="00672A0D">
            <w:pPr>
              <w:pStyle w:val="NormalWeb"/>
            </w:pPr>
            <w:r>
              <w:t>Family Rituals</w:t>
            </w:r>
            <w:r>
              <w:t xml:space="preserve">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xml:space="preserve">Family Theory Assignment Due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Feb 26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4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Mar 03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Healthy Communication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Mid-Term Due</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Mar 05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Conflict in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5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Reading Quiz 2 Due</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Mar 10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Distance Regulation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Mar 12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Circumplex Model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3 Marriages and Families (91-106)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Family Symbolism Assignment Due</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Mar 17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Gender in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 Chapter 7 </w:t>
            </w:r>
            <w:r>
              <w:rPr>
                <w:rFonts w:eastAsia="Times New Roman"/>
              </w:rPr>
              <w:t xml:space="preserve">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Mar 19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Finances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8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Mar 24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14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Mar 26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Stress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Mar 31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6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Th Apr 02 Thursday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Style w:val="Strong"/>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T Apr 07 Tuesday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Romantic Relationships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xml:space="preserve">Family Process Assignment Due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Th Apr 09 Thursday</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Chapter 9 Marriages and Families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Reading Quiz 3 Due</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T Apr 14</w:t>
            </w:r>
            <w:r>
              <w:rPr>
                <w:rFonts w:eastAsia="Times New Roman"/>
              </w:rPr>
              <w:br/>
            </w:r>
            <w:r>
              <w:rPr>
                <w:rFonts w:eastAsia="Times New Roman"/>
              </w:rPr>
              <w:t>Tuesday</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xml:space="preserve">Sexual Intimacy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 </w:t>
            </w:r>
          </w:p>
        </w:tc>
      </w:tr>
      <w:tr w:rsidR="00000000">
        <w:trPr>
          <w:divId w:val="207299976"/>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672A0D">
            <w:pPr>
              <w:pStyle w:val="NormalWeb"/>
            </w:pPr>
            <w:r>
              <w:rPr>
                <w:rStyle w:val="Strong"/>
              </w:rPr>
              <w:t>Final Exam</w:t>
            </w:r>
          </w:p>
        </w:tc>
      </w:tr>
    </w:tbl>
    <w:p w:rsidR="00000000" w:rsidRDefault="00672A0D">
      <w:pPr>
        <w:pStyle w:val="Heading2"/>
        <w:divId w:val="207299976"/>
        <w:rPr>
          <w:rFonts w:eastAsia="Times New Roman"/>
        </w:rPr>
      </w:pPr>
      <w:r>
        <w:rPr>
          <w:rFonts w:eastAsia="Times New Roman"/>
        </w:rPr>
        <w:t>Grading</w:t>
      </w:r>
    </w:p>
    <w:p w:rsidR="00000000" w:rsidRDefault="00672A0D">
      <w:pPr>
        <w:pStyle w:val="NormalWeb"/>
        <w:divId w:val="207299976"/>
      </w:pPr>
      <w:r>
        <w:t xml:space="preserve">The points from the assignments and exams make up your course grade. </w:t>
      </w:r>
    </w:p>
    <w:tbl>
      <w:tblPr>
        <w:tblW w:w="0" w:type="auto"/>
        <w:tblCellMar>
          <w:top w:w="15" w:type="dxa"/>
          <w:left w:w="15" w:type="dxa"/>
          <w:bottom w:w="15" w:type="dxa"/>
          <w:right w:w="15" w:type="dxa"/>
        </w:tblCellMar>
        <w:tblLook w:val="04A0" w:firstRow="1" w:lastRow="0" w:firstColumn="1" w:lastColumn="0" w:noHBand="0" w:noVBand="1"/>
      </w:tblPr>
      <w:tblGrid>
        <w:gridCol w:w="4263"/>
        <w:gridCol w:w="953"/>
      </w:tblGrid>
      <w:tr w:rsidR="00000000">
        <w:trPr>
          <w:divId w:val="1013146534"/>
          <w:tblHeader/>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72A0D">
            <w:pPr>
              <w:jc w:val="center"/>
              <w:rPr>
                <w:rFonts w:eastAsia="Times New Roman"/>
                <w:b/>
                <w:bCs/>
              </w:rPr>
            </w:pPr>
            <w:r>
              <w:rPr>
                <w:rStyle w:val="Strong"/>
                <w:rFonts w:eastAsia="Times New Roman"/>
              </w:rPr>
              <w:t>Assignments</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72A0D">
            <w:pPr>
              <w:jc w:val="center"/>
              <w:rPr>
                <w:rFonts w:eastAsia="Times New Roman"/>
                <w:b/>
                <w:bCs/>
              </w:rPr>
            </w:pPr>
            <w:r>
              <w:rPr>
                <w:rStyle w:val="Strong"/>
                <w:rFonts w:eastAsia="Times New Roman"/>
              </w:rPr>
              <w:t>Points</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Family Interview Assignment</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30</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Family Sculpture Assignment</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50</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Theory Analysis Paper </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75</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Family Symbolism Assignment</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50</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 xml:space="preserve">Family Process Self-Analysis Assignment </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100</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Midcourse Exam</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100</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Final Exam</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100</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3 Reading Quizzes</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90</w:t>
            </w:r>
          </w:p>
        </w:tc>
      </w:tr>
      <w:tr w:rsidR="00000000">
        <w:trPr>
          <w:divId w:val="1013146534"/>
        </w:trPr>
        <w:tc>
          <w:tcPr>
            <w:tcW w:w="0" w:type="auto"/>
            <w:tcMar>
              <w:top w:w="108" w:type="dxa"/>
              <w:left w:w="108" w:type="dxa"/>
              <w:bottom w:w="108" w:type="dxa"/>
              <w:right w:w="108" w:type="dxa"/>
            </w:tcMar>
            <w:hideMark/>
          </w:tcPr>
          <w:p w:rsidR="00000000" w:rsidRDefault="00672A0D">
            <w:pPr>
              <w:rPr>
                <w:rFonts w:eastAsia="Times New Roman"/>
              </w:rPr>
            </w:pPr>
            <w:r>
              <w:rPr>
                <w:rStyle w:val="Strong"/>
                <w:rFonts w:eastAsia="Times New Roman"/>
              </w:rPr>
              <w:t>Total Points</w:t>
            </w:r>
          </w:p>
        </w:tc>
        <w:tc>
          <w:tcPr>
            <w:tcW w:w="0" w:type="auto"/>
            <w:tcMar>
              <w:top w:w="108" w:type="dxa"/>
              <w:left w:w="108" w:type="dxa"/>
              <w:bottom w:w="108" w:type="dxa"/>
              <w:right w:w="108" w:type="dxa"/>
            </w:tcMar>
            <w:hideMark/>
          </w:tcPr>
          <w:p w:rsidR="00000000" w:rsidRDefault="00672A0D">
            <w:pPr>
              <w:rPr>
                <w:rFonts w:eastAsia="Times New Roman"/>
              </w:rPr>
            </w:pPr>
            <w:r>
              <w:rPr>
                <w:rStyle w:val="Strong"/>
                <w:rFonts w:eastAsia="Times New Roman"/>
              </w:rPr>
              <w:t>595</w:t>
            </w:r>
          </w:p>
        </w:tc>
      </w:tr>
    </w:tbl>
    <w:p w:rsidR="00000000" w:rsidRDefault="00672A0D">
      <w:pPr>
        <w:pStyle w:val="NormalWeb"/>
        <w:divId w:val="207299976"/>
      </w:pPr>
      <w:r>
        <w:rPr>
          <w:rStyle w:val="Strong"/>
        </w:rPr>
        <w:t>Note:</w:t>
      </w:r>
      <w:r>
        <w:t xml:space="preserve"> You must </w:t>
      </w:r>
      <w:r>
        <w:t>pass the final exam to earn credit for the course.</w:t>
      </w:r>
    </w:p>
    <w:p w:rsidR="00000000" w:rsidRDefault="00672A0D">
      <w:pPr>
        <w:pStyle w:val="Heading3"/>
        <w:divId w:val="207299976"/>
        <w:rPr>
          <w:rFonts w:eastAsia="Times New Roman"/>
        </w:rPr>
      </w:pPr>
      <w:r>
        <w:rPr>
          <w:rFonts w:eastAsia="Times New Roman"/>
        </w:rPr>
        <w:t>Grading Scale</w:t>
      </w:r>
    </w:p>
    <w:p w:rsidR="00000000" w:rsidRDefault="00672A0D">
      <w:pPr>
        <w:pStyle w:val="NormalWeb"/>
        <w:divId w:val="207299976"/>
      </w:pPr>
      <w:r>
        <w:t>Your letter grade will be determined using these percentages:</w:t>
      </w:r>
    </w:p>
    <w:tbl>
      <w:tblPr>
        <w:tblW w:w="0" w:type="auto"/>
        <w:tblCellMar>
          <w:top w:w="15" w:type="dxa"/>
          <w:left w:w="15" w:type="dxa"/>
          <w:bottom w:w="15" w:type="dxa"/>
          <w:right w:w="15" w:type="dxa"/>
        </w:tblCellMar>
        <w:tblLook w:val="04A0" w:firstRow="1" w:lastRow="0" w:firstColumn="1" w:lastColumn="0" w:noHBand="0" w:noVBand="1"/>
      </w:tblPr>
      <w:tblGrid>
        <w:gridCol w:w="930"/>
        <w:gridCol w:w="1469"/>
      </w:tblGrid>
      <w:tr w:rsidR="00000000">
        <w:trPr>
          <w:divId w:val="1790856615"/>
          <w:tblHeader/>
        </w:trPr>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672A0D">
            <w:pPr>
              <w:jc w:val="center"/>
              <w:rPr>
                <w:rFonts w:eastAsia="Times New Roman"/>
                <w:b/>
                <w:bCs/>
              </w:rPr>
            </w:pPr>
            <w:r>
              <w:rPr>
                <w:rFonts w:eastAsia="Times New Roman"/>
                <w:b/>
                <w:bCs/>
              </w:rPr>
              <w:t>Grading Scale</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94–100</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90–93</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87–89</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84–86</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80–83</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77–79</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74–76</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70–73</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67–69</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64–66</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60–63</w:t>
            </w:r>
          </w:p>
        </w:tc>
      </w:tr>
      <w:tr w:rsidR="00000000">
        <w:trPr>
          <w:divId w:val="1790856615"/>
        </w:trPr>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b/>
                <w:bCs/>
              </w:rPr>
              <w:t>E (fail)</w:t>
            </w:r>
          </w:p>
        </w:tc>
        <w:tc>
          <w:tcPr>
            <w:tcW w:w="0" w:type="auto"/>
            <w:tcMar>
              <w:top w:w="108" w:type="dxa"/>
              <w:left w:w="108" w:type="dxa"/>
              <w:bottom w:w="108" w:type="dxa"/>
              <w:right w:w="108" w:type="dxa"/>
            </w:tcMar>
            <w:hideMark/>
          </w:tcPr>
          <w:p w:rsidR="00000000" w:rsidRDefault="00672A0D">
            <w:pPr>
              <w:rPr>
                <w:rFonts w:eastAsia="Times New Roman"/>
              </w:rPr>
            </w:pPr>
            <w:r>
              <w:rPr>
                <w:rFonts w:eastAsia="Times New Roman"/>
              </w:rPr>
              <w:t>59 and lower</w:t>
            </w:r>
          </w:p>
        </w:tc>
      </w:tr>
    </w:tbl>
    <w:p w:rsidR="00000000" w:rsidRDefault="00672A0D">
      <w:pPr>
        <w:pStyle w:val="Heading2"/>
        <w:divId w:val="207299976"/>
        <w:rPr>
          <w:rFonts w:eastAsia="Times New Roman"/>
        </w:rPr>
      </w:pPr>
      <w:r>
        <w:rPr>
          <w:rFonts w:eastAsia="Times New Roman"/>
        </w:rPr>
        <w:t>Plagiarism</w:t>
      </w:r>
    </w:p>
    <w:p w:rsidR="00672A0D" w:rsidRDefault="00672A0D">
      <w:pPr>
        <w:pStyle w:val="NormalWeb"/>
        <w:divId w:val="207299976"/>
      </w:pPr>
      <w:r>
        <w:t xml:space="preserve">As a part of the Honor Code, all students are expected to do their own work and not copy or plagiarize from other sources. When you write </w:t>
      </w:r>
      <w:r>
        <w:t xml:space="preserve">down an idea from someone else, you need to cite that person. Students who are caught plagiarizing will receive a 0 for that paper assignment. </w:t>
      </w:r>
      <w:r>
        <w:rPr>
          <w:rStyle w:val="Strong"/>
        </w:rPr>
        <w:t>This policy will hold even if the plagiarizing was unintentional.</w:t>
      </w:r>
      <w:r>
        <w:t xml:space="preserve"> Students who are found to have intentionally co</w:t>
      </w:r>
      <w:r>
        <w:t>pied or are found to have plagiarized multiple times will receive an E in the course and be reported to the proper university office. If you have any questions or concerns regarding how to properly cite sources please contact me. Students are referred to t</w:t>
      </w:r>
      <w:r>
        <w:t xml:space="preserve">he </w:t>
      </w:r>
      <w:hyperlink r:id="rId7" w:tgtFrame="_blank" w:history="1">
        <w:r>
          <w:rPr>
            <w:rStyle w:val="Hyperlink"/>
          </w:rPr>
          <w:t>BYU Academic Honesty Policy</w:t>
        </w:r>
      </w:hyperlink>
      <w:r>
        <w:t xml:space="preserve"> for specific examples of plagiarism.</w:t>
      </w:r>
    </w:p>
    <w:sectPr w:rsidR="0067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6D9"/>
    <w:multiLevelType w:val="multilevel"/>
    <w:tmpl w:val="AA80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FE3709"/>
    <w:multiLevelType w:val="multilevel"/>
    <w:tmpl w:val="0BC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477DDB"/>
    <w:multiLevelType w:val="multilevel"/>
    <w:tmpl w:val="320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DC0E95"/>
    <w:multiLevelType w:val="multilevel"/>
    <w:tmpl w:val="3A94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17012"/>
    <w:rsid w:val="00672A0D"/>
    <w:rsid w:val="0091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917012"/>
    <w:rPr>
      <w:rFonts w:ascii="Tahoma" w:hAnsi="Tahoma" w:cs="Tahoma"/>
      <w:sz w:val="16"/>
      <w:szCs w:val="16"/>
    </w:rPr>
  </w:style>
  <w:style w:type="character" w:customStyle="1" w:styleId="BalloonTextChar">
    <w:name w:val="Balloon Text Char"/>
    <w:basedOn w:val="DefaultParagraphFont"/>
    <w:link w:val="BalloonText"/>
    <w:uiPriority w:val="99"/>
    <w:semiHidden/>
    <w:rsid w:val="0091701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917012"/>
    <w:rPr>
      <w:rFonts w:ascii="Tahoma" w:hAnsi="Tahoma" w:cs="Tahoma"/>
      <w:sz w:val="16"/>
      <w:szCs w:val="16"/>
    </w:rPr>
  </w:style>
  <w:style w:type="character" w:customStyle="1" w:styleId="BalloonTextChar">
    <w:name w:val="Balloon Text Char"/>
    <w:basedOn w:val="DefaultParagraphFont"/>
    <w:link w:val="BalloonText"/>
    <w:uiPriority w:val="99"/>
    <w:semiHidden/>
    <w:rsid w:val="0091701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65227">
      <w:bodyDiv w:val="1"/>
      <w:marLeft w:val="0"/>
      <w:marRight w:val="0"/>
      <w:marTop w:val="0"/>
      <w:marBottom w:val="960"/>
      <w:divBdr>
        <w:top w:val="none" w:sz="0" w:space="0" w:color="auto"/>
        <w:left w:val="none" w:sz="0" w:space="0" w:color="auto"/>
        <w:bottom w:val="none" w:sz="0" w:space="0" w:color="auto"/>
        <w:right w:val="none" w:sz="0" w:space="0" w:color="auto"/>
      </w:divBdr>
      <w:divsChild>
        <w:div w:id="1789469941">
          <w:marLeft w:val="0"/>
          <w:marRight w:val="0"/>
          <w:marTop w:val="0"/>
          <w:marBottom w:val="0"/>
          <w:divBdr>
            <w:top w:val="none" w:sz="0" w:space="0" w:color="auto"/>
            <w:left w:val="none" w:sz="0" w:space="0" w:color="auto"/>
            <w:bottom w:val="none" w:sz="0" w:space="0" w:color="auto"/>
            <w:right w:val="none" w:sz="0" w:space="0" w:color="auto"/>
          </w:divBdr>
          <w:divsChild>
            <w:div w:id="1748722381">
              <w:marLeft w:val="0"/>
              <w:marRight w:val="0"/>
              <w:marTop w:val="0"/>
              <w:marBottom w:val="96"/>
              <w:divBdr>
                <w:top w:val="none" w:sz="0" w:space="0" w:color="auto"/>
                <w:left w:val="none" w:sz="0" w:space="0" w:color="auto"/>
                <w:bottom w:val="none" w:sz="0" w:space="0" w:color="auto"/>
                <w:right w:val="none" w:sz="0" w:space="0" w:color="auto"/>
              </w:divBdr>
            </w:div>
          </w:divsChild>
        </w:div>
        <w:div w:id="1648900830">
          <w:marLeft w:val="0"/>
          <w:marRight w:val="0"/>
          <w:marTop w:val="0"/>
          <w:marBottom w:val="0"/>
          <w:divBdr>
            <w:top w:val="none" w:sz="0" w:space="0" w:color="auto"/>
            <w:left w:val="none" w:sz="0" w:space="0" w:color="auto"/>
            <w:bottom w:val="none" w:sz="0" w:space="0" w:color="auto"/>
            <w:right w:val="none" w:sz="0" w:space="0" w:color="auto"/>
          </w:divBdr>
          <w:divsChild>
            <w:div w:id="207299976">
              <w:marLeft w:val="0"/>
              <w:marRight w:val="0"/>
              <w:marTop w:val="0"/>
              <w:marBottom w:val="0"/>
              <w:divBdr>
                <w:top w:val="none" w:sz="0" w:space="0" w:color="auto"/>
                <w:left w:val="none" w:sz="0" w:space="0" w:color="auto"/>
                <w:bottom w:val="none" w:sz="0" w:space="0" w:color="auto"/>
                <w:right w:val="none" w:sz="0" w:space="0" w:color="auto"/>
              </w:divBdr>
              <w:divsChild>
                <w:div w:id="1013146534">
                  <w:marLeft w:val="0"/>
                  <w:marRight w:val="0"/>
                  <w:marTop w:val="0"/>
                  <w:marBottom w:val="0"/>
                  <w:divBdr>
                    <w:top w:val="none" w:sz="0" w:space="0" w:color="auto"/>
                    <w:left w:val="none" w:sz="0" w:space="0" w:color="auto"/>
                    <w:bottom w:val="none" w:sz="0" w:space="0" w:color="auto"/>
                    <w:right w:val="none" w:sz="0" w:space="0" w:color="auto"/>
                  </w:divBdr>
                </w:div>
                <w:div w:id="1790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as.byu.edu/catalog/2011-2012ucat/GeneralInfo/AcademicHones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2032</Words>
  <Characters>11586</Characters>
  <Application>Microsoft Office Word</Application>
  <DocSecurity>0</DocSecurity>
  <Lines>96</Lines>
  <Paragraphs>27</Paragraphs>
  <ScaleCrop>false</ScaleCrop>
  <Company>BYU DCE</Company>
  <LinksUpToDate>false</LinksUpToDate>
  <CharactersWithSpaces>13591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