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4643" w14:textId="0ECDA421" w:rsidR="00C63DE7" w:rsidRDefault="00C63DE7" w:rsidP="00C63DE7">
      <w:pPr>
        <w:pStyle w:val="Heading1"/>
        <w:rPr>
          <w:rFonts w:ascii="Times New Roman" w:hAnsi="Times New Roman" w:cs="Times New Roman"/>
        </w:rPr>
      </w:pPr>
      <w:r w:rsidRPr="000B3804">
        <w:rPr>
          <w:rFonts w:ascii="Times New Roman" w:hAnsi="Times New Roman" w:cs="Times New Roman"/>
        </w:rPr>
        <w:t xml:space="preserve">(NYSE: </w:t>
      </w:r>
      <w:r w:rsidR="008240FB">
        <w:rPr>
          <w:rFonts w:ascii="Times New Roman" w:hAnsi="Times New Roman" w:cs="Times New Roman"/>
        </w:rPr>
        <w:t>FICO</w:t>
      </w:r>
      <w:r w:rsidRPr="000B3804">
        <w:rPr>
          <w:rFonts w:ascii="Times New Roman" w:hAnsi="Times New Roman" w:cs="Times New Roman"/>
        </w:rPr>
        <w:t>)</w:t>
      </w:r>
    </w:p>
    <w:p w14:paraId="64107E0C" w14:textId="77777777" w:rsidR="00F22A0E" w:rsidRDefault="00F22A0E" w:rsidP="00C63DE7">
      <w:pPr>
        <w:spacing w:after="0" w:line="240" w:lineRule="auto"/>
        <w:rPr>
          <w:rFonts w:ascii="Times New Roman" w:hAnsi="Times New Roman" w:cs="Times New Roman"/>
        </w:rPr>
      </w:pPr>
      <w:r w:rsidRPr="00F22A0E">
        <w:rPr>
          <w:rFonts w:ascii="Times New Roman" w:hAnsi="Times New Roman" w:cs="Times New Roman"/>
        </w:rPr>
        <w:t>Fintech/Data Analytics</w:t>
      </w:r>
    </w:p>
    <w:p w14:paraId="09B7BE85" w14:textId="77777777" w:rsidR="00C63DE7" w:rsidRDefault="00C63DE7" w:rsidP="00C63DE7">
      <w:pPr>
        <w:spacing w:after="0" w:line="240" w:lineRule="auto"/>
        <w:rPr>
          <w:rFonts w:ascii="Times New Roman" w:hAnsi="Times New Roman" w:cs="Times New Roman"/>
        </w:rPr>
      </w:pPr>
      <w:r>
        <w:rPr>
          <w:rFonts w:ascii="Times New Roman" w:hAnsi="Times New Roman" w:cs="Times New Roman"/>
        </w:rPr>
        <w:t>United States</w:t>
      </w:r>
    </w:p>
    <w:p w14:paraId="51603AB2" w14:textId="77777777" w:rsidR="00741FAD" w:rsidRPr="000B3804" w:rsidRDefault="00741FAD" w:rsidP="00C63DE7">
      <w:pPr>
        <w:spacing w:after="0" w:line="240" w:lineRule="auto"/>
        <w:rPr>
          <w:rFonts w:ascii="Times New Roman" w:hAnsi="Times New Roman" w:cs="Times New Roman"/>
        </w:rPr>
      </w:pPr>
    </w:p>
    <w:tbl>
      <w:tblPr>
        <w:tblStyle w:val="GridTable5Dark-Accent1"/>
        <w:tblW w:w="4410" w:type="dxa"/>
        <w:tblLook w:val="04A0" w:firstRow="1" w:lastRow="0" w:firstColumn="1" w:lastColumn="0" w:noHBand="0" w:noVBand="1"/>
      </w:tblPr>
      <w:tblGrid>
        <w:gridCol w:w="2315"/>
        <w:gridCol w:w="2095"/>
      </w:tblGrid>
      <w:tr w:rsidR="00F97EF1" w14:paraId="29F6308E" w14:textId="77777777" w:rsidTr="00551E94">
        <w:trPr>
          <w:cnfStyle w:val="100000000000" w:firstRow="1" w:lastRow="0" w:firstColumn="0" w:lastColumn="0" w:oddVBand="0" w:evenVBand="0" w:oddHBand="0"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315" w:type="dxa"/>
          </w:tcPr>
          <w:p w14:paraId="2D8561BD" w14:textId="731885E6" w:rsidR="00334363" w:rsidRPr="00EE2A7D" w:rsidRDefault="00741FAD" w:rsidP="00C63DE7">
            <w:pPr>
              <w:pStyle w:val="Heading1"/>
              <w:rPr>
                <w:rFonts w:ascii="Times New Roman" w:hAnsi="Times New Roman" w:cs="Times New Roman"/>
                <w:b/>
                <w:bCs/>
                <w:color w:val="auto"/>
              </w:rPr>
            </w:pPr>
            <w:r w:rsidRPr="00EE2A7D">
              <w:rPr>
                <w:rFonts w:ascii="Times New Roman" w:hAnsi="Times New Roman" w:cs="Times New Roman"/>
                <w:b/>
                <w:bCs/>
                <w:color w:val="auto"/>
              </w:rPr>
              <w:t>Key Stats</w:t>
            </w:r>
          </w:p>
        </w:tc>
        <w:tc>
          <w:tcPr>
            <w:tcW w:w="2095" w:type="dxa"/>
          </w:tcPr>
          <w:p w14:paraId="710362E7" w14:textId="77777777" w:rsidR="00334363" w:rsidRDefault="00334363" w:rsidP="00C63DE7">
            <w:pPr>
              <w:pStyle w:val="Head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F97EF1" w14:paraId="48D2BB82" w14:textId="77777777" w:rsidTr="00551E94">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315" w:type="dxa"/>
          </w:tcPr>
          <w:p w14:paraId="64B17C25" w14:textId="1272603D" w:rsidR="00334363" w:rsidRPr="001E644C" w:rsidRDefault="00741FAD" w:rsidP="00C63DE7">
            <w:pPr>
              <w:pStyle w:val="Heading1"/>
              <w:rPr>
                <w:rFonts w:ascii="Times New Roman" w:hAnsi="Times New Roman" w:cs="Times New Roman"/>
                <w:color w:val="auto"/>
              </w:rPr>
            </w:pPr>
            <w:r w:rsidRPr="001E644C">
              <w:rPr>
                <w:rFonts w:ascii="Times New Roman" w:hAnsi="Times New Roman" w:cs="Times New Roman"/>
                <w:color w:val="auto"/>
              </w:rPr>
              <w:t>Market Cap</w:t>
            </w:r>
          </w:p>
        </w:tc>
        <w:tc>
          <w:tcPr>
            <w:tcW w:w="2095" w:type="dxa"/>
          </w:tcPr>
          <w:p w14:paraId="07F47900" w14:textId="6C425EA0" w:rsidR="00334363" w:rsidRPr="00F6447A" w:rsidRDefault="00261157" w:rsidP="00C63DE7">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auto"/>
              </w:rPr>
            </w:pPr>
            <w:r w:rsidRPr="00F6447A">
              <w:rPr>
                <w:rFonts w:ascii="Times New Roman" w:hAnsi="Times New Roman" w:cs="Times New Roman"/>
                <w:b w:val="0"/>
                <w:bCs w:val="0"/>
                <w:color w:val="auto"/>
              </w:rPr>
              <w:t>24.194B</w:t>
            </w:r>
          </w:p>
        </w:tc>
      </w:tr>
      <w:tr w:rsidR="00F97EF1" w14:paraId="302F697D" w14:textId="77777777" w:rsidTr="00551E94">
        <w:trPr>
          <w:trHeight w:val="744"/>
        </w:trPr>
        <w:tc>
          <w:tcPr>
            <w:cnfStyle w:val="001000000000" w:firstRow="0" w:lastRow="0" w:firstColumn="1" w:lastColumn="0" w:oddVBand="0" w:evenVBand="0" w:oddHBand="0" w:evenHBand="0" w:firstRowFirstColumn="0" w:firstRowLastColumn="0" w:lastRowFirstColumn="0" w:lastRowLastColumn="0"/>
            <w:tcW w:w="2315" w:type="dxa"/>
          </w:tcPr>
          <w:p w14:paraId="57704124" w14:textId="226B8152" w:rsidR="00334363" w:rsidRPr="001E644C" w:rsidRDefault="00741FAD" w:rsidP="00C63DE7">
            <w:pPr>
              <w:pStyle w:val="Heading1"/>
              <w:rPr>
                <w:rFonts w:ascii="Times New Roman" w:hAnsi="Times New Roman" w:cs="Times New Roman"/>
                <w:color w:val="auto"/>
              </w:rPr>
            </w:pPr>
            <w:r w:rsidRPr="001E644C">
              <w:rPr>
                <w:rFonts w:ascii="Times New Roman" w:hAnsi="Times New Roman" w:cs="Times New Roman"/>
                <w:color w:val="auto"/>
              </w:rPr>
              <w:t>P/E</w:t>
            </w:r>
          </w:p>
        </w:tc>
        <w:tc>
          <w:tcPr>
            <w:tcW w:w="2095" w:type="dxa"/>
          </w:tcPr>
          <w:p w14:paraId="087FF6E5" w14:textId="3DDFD56F" w:rsidR="00334363" w:rsidRPr="00F6447A" w:rsidRDefault="00526836" w:rsidP="00C63DE7">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F6447A">
              <w:rPr>
                <w:rFonts w:ascii="Times New Roman" w:hAnsi="Times New Roman" w:cs="Times New Roman"/>
                <w:b w:val="0"/>
                <w:bCs w:val="0"/>
                <w:color w:val="auto"/>
              </w:rPr>
              <w:t>38.6x</w:t>
            </w:r>
          </w:p>
        </w:tc>
      </w:tr>
      <w:tr w:rsidR="00551E94" w14:paraId="4F414364" w14:textId="77777777" w:rsidTr="00551E94">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315" w:type="dxa"/>
          </w:tcPr>
          <w:p w14:paraId="25EEA007" w14:textId="4D9FB4D4" w:rsidR="009576CB" w:rsidRPr="001E644C" w:rsidRDefault="009576CB" w:rsidP="009576CB">
            <w:pPr>
              <w:pStyle w:val="Heading1"/>
              <w:rPr>
                <w:rFonts w:ascii="Times New Roman" w:hAnsi="Times New Roman" w:cs="Times New Roman"/>
                <w:color w:val="auto"/>
              </w:rPr>
            </w:pPr>
            <w:r w:rsidRPr="001E644C">
              <w:rPr>
                <w:rFonts w:ascii="Times New Roman" w:hAnsi="Times New Roman" w:cs="Times New Roman"/>
                <w:color w:val="auto"/>
              </w:rPr>
              <w:t>Revenue</w:t>
            </w:r>
          </w:p>
        </w:tc>
        <w:tc>
          <w:tcPr>
            <w:tcW w:w="2095" w:type="dxa"/>
            <w:vAlign w:val="bottom"/>
          </w:tcPr>
          <w:p w14:paraId="4E7DE82F" w14:textId="23521C13" w:rsidR="009576CB" w:rsidRPr="00F6447A" w:rsidRDefault="009576CB" w:rsidP="009576CB">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auto"/>
              </w:rPr>
            </w:pPr>
            <w:r w:rsidRPr="00F6447A">
              <w:rPr>
                <w:rFonts w:ascii="Calibri" w:hAnsi="Calibri" w:cs="Calibri"/>
                <w:b w:val="0"/>
                <w:bCs w:val="0"/>
                <w:color w:val="auto"/>
              </w:rPr>
              <w:t xml:space="preserve">1,990.87 </w:t>
            </w:r>
          </w:p>
        </w:tc>
      </w:tr>
      <w:tr w:rsidR="00551E94" w14:paraId="1426C0BA" w14:textId="77777777" w:rsidTr="00551E94">
        <w:trPr>
          <w:trHeight w:val="555"/>
        </w:trPr>
        <w:tc>
          <w:tcPr>
            <w:cnfStyle w:val="001000000000" w:firstRow="0" w:lastRow="0" w:firstColumn="1" w:lastColumn="0" w:oddVBand="0" w:evenVBand="0" w:oddHBand="0" w:evenHBand="0" w:firstRowFirstColumn="0" w:firstRowLastColumn="0" w:lastRowFirstColumn="0" w:lastRowLastColumn="0"/>
            <w:tcW w:w="2315" w:type="dxa"/>
          </w:tcPr>
          <w:p w14:paraId="3CF741D7" w14:textId="56521074" w:rsidR="00E5370F" w:rsidRPr="001E644C" w:rsidRDefault="00E5370F" w:rsidP="00E5370F">
            <w:pPr>
              <w:pStyle w:val="Heading1"/>
              <w:rPr>
                <w:rFonts w:ascii="Times New Roman" w:hAnsi="Times New Roman" w:cs="Times New Roman"/>
                <w:color w:val="auto"/>
              </w:rPr>
            </w:pPr>
            <w:r>
              <w:rPr>
                <w:rFonts w:ascii="Times New Roman" w:hAnsi="Times New Roman" w:cs="Times New Roman"/>
                <w:color w:val="auto"/>
              </w:rPr>
              <w:t>Operating</w:t>
            </w:r>
            <w:r w:rsidRPr="001E644C">
              <w:rPr>
                <w:rFonts w:ascii="Times New Roman" w:hAnsi="Times New Roman" w:cs="Times New Roman"/>
                <w:color w:val="auto"/>
              </w:rPr>
              <w:t xml:space="preserve"> Margin</w:t>
            </w:r>
          </w:p>
        </w:tc>
        <w:tc>
          <w:tcPr>
            <w:tcW w:w="2095" w:type="dxa"/>
            <w:vAlign w:val="bottom"/>
          </w:tcPr>
          <w:p w14:paraId="74A5B53C" w14:textId="32A52427" w:rsidR="00E5370F" w:rsidRPr="00F6447A" w:rsidRDefault="00E5370F" w:rsidP="00E5370F">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F6447A">
              <w:rPr>
                <w:rFonts w:ascii="Calibri" w:hAnsi="Calibri" w:cs="Calibri"/>
                <w:b w:val="0"/>
                <w:bCs w:val="0"/>
                <w:color w:val="auto"/>
              </w:rPr>
              <w:t>46.45%</w:t>
            </w:r>
          </w:p>
        </w:tc>
      </w:tr>
      <w:tr w:rsidR="00551E94" w14:paraId="59F07997" w14:textId="77777777" w:rsidTr="00551E94">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315" w:type="dxa"/>
          </w:tcPr>
          <w:p w14:paraId="158EFF0C" w14:textId="2E11F891" w:rsidR="008B3EF0" w:rsidRPr="001E644C" w:rsidRDefault="008B3EF0" w:rsidP="008B3EF0">
            <w:pPr>
              <w:pStyle w:val="Heading1"/>
              <w:rPr>
                <w:rFonts w:ascii="Times New Roman" w:hAnsi="Times New Roman" w:cs="Times New Roman"/>
                <w:color w:val="auto"/>
              </w:rPr>
            </w:pPr>
            <w:r w:rsidRPr="001E644C">
              <w:rPr>
                <w:rFonts w:ascii="Times New Roman" w:hAnsi="Times New Roman" w:cs="Times New Roman"/>
                <w:color w:val="auto"/>
              </w:rPr>
              <w:t>Net Margin</w:t>
            </w:r>
          </w:p>
        </w:tc>
        <w:tc>
          <w:tcPr>
            <w:tcW w:w="2095" w:type="dxa"/>
            <w:vAlign w:val="bottom"/>
          </w:tcPr>
          <w:p w14:paraId="29DB3798" w14:textId="3B2AA685" w:rsidR="008B3EF0" w:rsidRPr="00F6447A" w:rsidRDefault="008B3EF0" w:rsidP="008B3EF0">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auto"/>
              </w:rPr>
            </w:pPr>
            <w:r w:rsidRPr="00F6447A">
              <w:rPr>
                <w:rFonts w:ascii="Calibri" w:hAnsi="Calibri" w:cs="Calibri"/>
                <w:b w:val="0"/>
                <w:bCs w:val="0"/>
                <w:color w:val="auto"/>
              </w:rPr>
              <w:t>32.75%</w:t>
            </w:r>
          </w:p>
        </w:tc>
      </w:tr>
      <w:tr w:rsidR="00F97EF1" w14:paraId="35F328B0" w14:textId="77777777" w:rsidTr="00551E94">
        <w:trPr>
          <w:trHeight w:val="744"/>
        </w:trPr>
        <w:tc>
          <w:tcPr>
            <w:cnfStyle w:val="001000000000" w:firstRow="0" w:lastRow="0" w:firstColumn="1" w:lastColumn="0" w:oddVBand="0" w:evenVBand="0" w:oddHBand="0" w:evenHBand="0" w:firstRowFirstColumn="0" w:firstRowLastColumn="0" w:lastRowFirstColumn="0" w:lastRowLastColumn="0"/>
            <w:tcW w:w="2315" w:type="dxa"/>
          </w:tcPr>
          <w:p w14:paraId="2910CA9D" w14:textId="0A17D2D8" w:rsidR="008B3EF0" w:rsidRPr="001E644C" w:rsidRDefault="008B3EF0" w:rsidP="008B3EF0">
            <w:pPr>
              <w:pStyle w:val="Heading1"/>
              <w:rPr>
                <w:rFonts w:ascii="Times New Roman" w:hAnsi="Times New Roman" w:cs="Times New Roman"/>
                <w:color w:val="auto"/>
              </w:rPr>
            </w:pPr>
            <w:r w:rsidRPr="001E644C">
              <w:rPr>
                <w:rFonts w:ascii="Times New Roman" w:hAnsi="Times New Roman" w:cs="Times New Roman"/>
                <w:color w:val="auto"/>
              </w:rPr>
              <w:t>ROA</w:t>
            </w:r>
          </w:p>
        </w:tc>
        <w:tc>
          <w:tcPr>
            <w:tcW w:w="2095" w:type="dxa"/>
          </w:tcPr>
          <w:p w14:paraId="0439BC22" w14:textId="26F28560" w:rsidR="008B3EF0" w:rsidRPr="00F6447A" w:rsidRDefault="00F6447A" w:rsidP="008B3EF0">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F6447A">
              <w:rPr>
                <w:rFonts w:ascii="Times New Roman" w:hAnsi="Times New Roman" w:cs="Times New Roman"/>
                <w:b w:val="0"/>
                <w:bCs w:val="0"/>
                <w:color w:val="auto"/>
              </w:rPr>
              <w:t>36.95</w:t>
            </w:r>
            <w:r w:rsidR="00DF43C1">
              <w:rPr>
                <w:rFonts w:ascii="Times New Roman" w:hAnsi="Times New Roman" w:cs="Times New Roman"/>
                <w:b w:val="0"/>
                <w:bCs w:val="0"/>
                <w:color w:val="auto"/>
              </w:rPr>
              <w:t>%</w:t>
            </w:r>
          </w:p>
        </w:tc>
      </w:tr>
      <w:tr w:rsidR="00F97EF1" w14:paraId="6CB7EDCB" w14:textId="77777777" w:rsidTr="00551E94">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315" w:type="dxa"/>
          </w:tcPr>
          <w:p w14:paraId="171F5E33" w14:textId="1E668103" w:rsidR="008B3EF0" w:rsidRPr="001E644C" w:rsidRDefault="008B3EF0" w:rsidP="008B3EF0">
            <w:pPr>
              <w:pStyle w:val="Heading1"/>
              <w:rPr>
                <w:rFonts w:ascii="Times New Roman" w:hAnsi="Times New Roman" w:cs="Times New Roman"/>
                <w:color w:val="auto"/>
              </w:rPr>
            </w:pPr>
            <w:r>
              <w:rPr>
                <w:rFonts w:ascii="Times New Roman" w:hAnsi="Times New Roman" w:cs="Times New Roman"/>
                <w:color w:val="auto"/>
              </w:rPr>
              <w:t>Beta</w:t>
            </w:r>
          </w:p>
        </w:tc>
        <w:tc>
          <w:tcPr>
            <w:tcW w:w="2095" w:type="dxa"/>
          </w:tcPr>
          <w:p w14:paraId="296D99F4" w14:textId="647E7B75" w:rsidR="008B3EF0" w:rsidRPr="00F6447A" w:rsidRDefault="008B3EF0" w:rsidP="008B3EF0">
            <w:pPr>
              <w:pStyle w:val="Head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color w:val="auto"/>
              </w:rPr>
            </w:pPr>
            <w:r w:rsidRPr="00F6447A">
              <w:rPr>
                <w:rFonts w:ascii="Times New Roman" w:hAnsi="Times New Roman" w:cs="Times New Roman"/>
                <w:b w:val="0"/>
                <w:bCs w:val="0"/>
                <w:color w:val="auto"/>
              </w:rPr>
              <w:t>1.</w:t>
            </w:r>
            <w:r w:rsidR="00B5570B">
              <w:rPr>
                <w:rFonts w:ascii="Times New Roman" w:hAnsi="Times New Roman" w:cs="Times New Roman"/>
                <w:b w:val="0"/>
                <w:bCs w:val="0"/>
                <w:color w:val="auto"/>
              </w:rPr>
              <w:t>15</w:t>
            </w:r>
          </w:p>
        </w:tc>
      </w:tr>
      <w:tr w:rsidR="00F97EF1" w14:paraId="0B6FA3D3" w14:textId="77777777" w:rsidTr="00551E94">
        <w:trPr>
          <w:trHeight w:val="744"/>
        </w:trPr>
        <w:tc>
          <w:tcPr>
            <w:cnfStyle w:val="001000000000" w:firstRow="0" w:lastRow="0" w:firstColumn="1" w:lastColumn="0" w:oddVBand="0" w:evenVBand="0" w:oddHBand="0" w:evenHBand="0" w:firstRowFirstColumn="0" w:firstRowLastColumn="0" w:lastRowFirstColumn="0" w:lastRowLastColumn="0"/>
            <w:tcW w:w="2315" w:type="dxa"/>
          </w:tcPr>
          <w:p w14:paraId="7908E2B1" w14:textId="4FDCB298" w:rsidR="008B3EF0" w:rsidRPr="001E644C" w:rsidRDefault="008B3EF0" w:rsidP="008B3EF0">
            <w:pPr>
              <w:pStyle w:val="Heading1"/>
              <w:rPr>
                <w:rFonts w:ascii="Times New Roman" w:hAnsi="Times New Roman" w:cs="Times New Roman"/>
                <w:color w:val="auto"/>
              </w:rPr>
            </w:pPr>
            <w:r w:rsidRPr="001E644C">
              <w:rPr>
                <w:rFonts w:ascii="Times New Roman" w:hAnsi="Times New Roman" w:cs="Times New Roman"/>
                <w:color w:val="auto"/>
              </w:rPr>
              <w:t>Recommendation</w:t>
            </w:r>
          </w:p>
        </w:tc>
        <w:tc>
          <w:tcPr>
            <w:tcW w:w="2095" w:type="dxa"/>
          </w:tcPr>
          <w:p w14:paraId="64EDA213" w14:textId="18F74D2B" w:rsidR="008B3EF0" w:rsidRPr="00F6447A" w:rsidRDefault="008B3EF0" w:rsidP="008B3EF0">
            <w:pPr>
              <w:pStyle w:val="Head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F6447A">
              <w:rPr>
                <w:rFonts w:ascii="Times New Roman" w:hAnsi="Times New Roman" w:cs="Times New Roman"/>
                <w:b w:val="0"/>
                <w:bCs w:val="0"/>
                <w:color w:val="auto"/>
              </w:rPr>
              <w:t>Hold</w:t>
            </w:r>
          </w:p>
        </w:tc>
      </w:tr>
    </w:tbl>
    <w:p w14:paraId="6D2CE8DA" w14:textId="1AAE07C7" w:rsidR="00B80B6F" w:rsidRPr="000B3804" w:rsidRDefault="006376B1">
      <w:pPr>
        <w:pStyle w:val="Heading2"/>
        <w:rPr>
          <w:rFonts w:ascii="Times New Roman" w:hAnsi="Times New Roman" w:cs="Times New Roman"/>
        </w:rPr>
      </w:pPr>
      <w:r w:rsidRPr="000B3804">
        <w:rPr>
          <w:rFonts w:ascii="Times New Roman" w:hAnsi="Times New Roman" w:cs="Times New Roman"/>
        </w:rPr>
        <w:t>Executive Summary</w:t>
      </w:r>
    </w:p>
    <w:p w14:paraId="7816DADA" w14:textId="3F60035B" w:rsidR="00EF6D9B" w:rsidRDefault="00EF6D9B">
      <w:pPr>
        <w:rPr>
          <w:rFonts w:ascii="Times New Roman" w:hAnsi="Times New Roman" w:cs="Times New Roman"/>
        </w:rPr>
      </w:pPr>
      <w:r w:rsidRPr="00EF6D9B">
        <w:rPr>
          <w:rFonts w:ascii="Times New Roman" w:hAnsi="Times New Roman" w:cs="Times New Roman"/>
        </w:rPr>
        <w:t>Fair Isaac Corporation (FICO) is the dominant provider of credit scoring and analytics software for the U.S. financial system. With its FICO Score embedded in over 90% of U.S. consumer lending decisions, FICO has operated as a de facto monopoly in consumer credit scoring for decades, supported by deep regulatory entrenchment, high switching costs, and a network effect that makes its scores the standard language of credit risk.</w:t>
      </w:r>
    </w:p>
    <w:p w14:paraId="4E878DEA" w14:textId="5EFB11D7" w:rsidR="00E94830" w:rsidRPr="000B3804" w:rsidRDefault="00DD6215">
      <w:pPr>
        <w:rPr>
          <w:rFonts w:ascii="Times New Roman" w:hAnsi="Times New Roman" w:cs="Times New Roman"/>
        </w:rPr>
      </w:pPr>
      <w:r w:rsidRPr="00DD6215">
        <w:rPr>
          <w:rFonts w:ascii="Times New Roman" w:hAnsi="Times New Roman" w:cs="Times New Roman"/>
        </w:rPr>
        <w:t xml:space="preserve">FICO's business model is </w:t>
      </w:r>
      <w:r w:rsidR="005501A9">
        <w:rPr>
          <w:rFonts w:ascii="Times New Roman" w:hAnsi="Times New Roman" w:cs="Times New Roman"/>
        </w:rPr>
        <w:t>split</w:t>
      </w:r>
      <w:r w:rsidRPr="00DD6215">
        <w:rPr>
          <w:rFonts w:ascii="Times New Roman" w:hAnsi="Times New Roman" w:cs="Times New Roman"/>
        </w:rPr>
        <w:t xml:space="preserve"> into two primary segments: Scores and Software. The Scores segment, which is the higher-margin, usage-based segment, generates revenue each time a lender pulls a credit score. The Software segment provides analytics platforms such as FICO Platform, fraud detection, and decision management tools to banks, insurers, and fintechs globally.</w:t>
      </w:r>
    </w:p>
    <w:p w14:paraId="62635B0A" w14:textId="095FD03C" w:rsidR="00DD6215" w:rsidRPr="000B3804" w:rsidRDefault="008D0B15">
      <w:pPr>
        <w:rPr>
          <w:rFonts w:ascii="Times New Roman" w:hAnsi="Times New Roman" w:cs="Times New Roman"/>
        </w:rPr>
      </w:pPr>
      <w:r w:rsidRPr="008D0B15">
        <w:rPr>
          <w:rFonts w:ascii="Times New Roman" w:hAnsi="Times New Roman" w:cs="Times New Roman"/>
        </w:rPr>
        <w:t xml:space="preserve">In our initial Round 1 pitch (February 2026), we rated FICO as a BUY based on its defensible moat, consistent earnings growth, and pricing power. However, a significant competitive development in March 2026 has materially altered the risk-reward profile. On March 9, 2026, the credit bureaus cut VantageScore pricing from approximately $4 to $0.99  </w:t>
      </w:r>
      <w:r w:rsidR="00DE4202">
        <w:rPr>
          <w:rFonts w:ascii="Times New Roman" w:hAnsi="Times New Roman" w:cs="Times New Roman"/>
        </w:rPr>
        <w:t>(</w:t>
      </w:r>
      <w:r w:rsidRPr="008D0B15">
        <w:rPr>
          <w:rFonts w:ascii="Times New Roman" w:hAnsi="Times New Roman" w:cs="Times New Roman"/>
        </w:rPr>
        <w:t>a 75% reduction</w:t>
      </w:r>
      <w:r w:rsidR="00DE4202">
        <w:rPr>
          <w:rFonts w:ascii="Times New Roman" w:hAnsi="Times New Roman" w:cs="Times New Roman"/>
        </w:rPr>
        <w:t>)</w:t>
      </w:r>
      <w:r w:rsidRPr="008D0B15">
        <w:rPr>
          <w:rFonts w:ascii="Times New Roman" w:hAnsi="Times New Roman" w:cs="Times New Roman"/>
        </w:rPr>
        <w:t xml:space="preserve"> signaling the potential start of a price war in credit scoring. This event, combined with the FHFA's 2025 authorization of VantageScore 4.0 for GSE mortgage underwriting, meaningfully weakens our confidence in the long-term durability of FICO's pricing moat.</w:t>
      </w:r>
    </w:p>
    <w:p w14:paraId="6EE7447D" w14:textId="35F38FEF" w:rsidR="008D0B15" w:rsidRPr="000B3804" w:rsidRDefault="00DF241A">
      <w:pPr>
        <w:rPr>
          <w:rFonts w:ascii="Times New Roman" w:hAnsi="Times New Roman" w:cs="Times New Roman"/>
        </w:rPr>
      </w:pPr>
      <w:r w:rsidRPr="00DF241A">
        <w:rPr>
          <w:rFonts w:ascii="Times New Roman" w:hAnsi="Times New Roman" w:cs="Times New Roman"/>
        </w:rPr>
        <w:t>As a result, we are downgrading FICO from BUY to HOLD. While FICO remains a high-quality business with strong fundamentals, the current valuation of ~40x trailing P/E prices in sustained premium pricing that now faces credible competitive pressure. Our blended valuation (DCF 10% / EV/EBITDA 40% / P/E 50%) yields a 1-year target price of $</w:t>
      </w:r>
      <w:r w:rsidR="00E83C24">
        <w:rPr>
          <w:rFonts w:ascii="Times New Roman" w:hAnsi="Times New Roman" w:cs="Times New Roman"/>
        </w:rPr>
        <w:t>816.16</w:t>
      </w:r>
      <w:r w:rsidRPr="00DF241A">
        <w:rPr>
          <w:rFonts w:ascii="Times New Roman" w:hAnsi="Times New Roman" w:cs="Times New Roman"/>
        </w:rPr>
        <w:t xml:space="preserve"> and a 5-year target of $1,</w:t>
      </w:r>
      <w:r w:rsidR="00D614A0">
        <w:rPr>
          <w:rFonts w:ascii="Times New Roman" w:hAnsi="Times New Roman" w:cs="Times New Roman"/>
        </w:rPr>
        <w:t>2</w:t>
      </w:r>
      <w:r w:rsidR="00D02A4B">
        <w:rPr>
          <w:rFonts w:ascii="Times New Roman" w:hAnsi="Times New Roman" w:cs="Times New Roman"/>
        </w:rPr>
        <w:t>79.16</w:t>
      </w:r>
      <w:r w:rsidRPr="00DF241A">
        <w:rPr>
          <w:rFonts w:ascii="Times New Roman" w:hAnsi="Times New Roman" w:cs="Times New Roman"/>
        </w:rPr>
        <w:t xml:space="preserve">, implying approximately </w:t>
      </w:r>
      <w:r w:rsidR="00D02A4B">
        <w:rPr>
          <w:rFonts w:ascii="Times New Roman" w:hAnsi="Times New Roman" w:cs="Times New Roman"/>
        </w:rPr>
        <w:t>2</w:t>
      </w:r>
      <w:r w:rsidRPr="00DF241A">
        <w:rPr>
          <w:rFonts w:ascii="Times New Roman" w:hAnsi="Times New Roman" w:cs="Times New Roman"/>
        </w:rPr>
        <w:t>% CAGR</w:t>
      </w:r>
      <w:r w:rsidR="00A83BAE">
        <w:rPr>
          <w:rFonts w:ascii="Times New Roman" w:hAnsi="Times New Roman" w:cs="Times New Roman"/>
        </w:rPr>
        <w:t>,</w:t>
      </w:r>
      <w:r w:rsidRPr="00DF241A">
        <w:rPr>
          <w:rFonts w:ascii="Times New Roman" w:hAnsi="Times New Roman" w:cs="Times New Roman"/>
        </w:rPr>
        <w:t xml:space="preserve"> insufficient to justify a buy at current levels given the elevated uncertainty.</w:t>
      </w:r>
    </w:p>
    <w:p w14:paraId="394EE56C" w14:textId="64ED08BA" w:rsidR="00B80B6F" w:rsidRPr="000B3804" w:rsidRDefault="006376B1">
      <w:pPr>
        <w:pStyle w:val="Heading2"/>
        <w:rPr>
          <w:rFonts w:ascii="Times New Roman" w:hAnsi="Times New Roman" w:cs="Times New Roman"/>
        </w:rPr>
      </w:pPr>
      <w:r w:rsidRPr="000B3804">
        <w:rPr>
          <w:rFonts w:ascii="Times New Roman" w:hAnsi="Times New Roman" w:cs="Times New Roman"/>
        </w:rPr>
        <w:t>Company Overview</w:t>
      </w:r>
    </w:p>
    <w:p w14:paraId="547504B0" w14:textId="01533CFF" w:rsidR="00420CF6" w:rsidRPr="00420CF6" w:rsidRDefault="00420CF6" w:rsidP="005262E4">
      <w:r w:rsidRPr="00420CF6">
        <w:t>Fair Isaac Corporation, founded in 1956 and headquartered in Bozeman, Montana, is the pioneer of credit risk analytics. FICO went public in 1987 and has since evolved from a pure-play credit bureau into a diversified analytics technology platform. The company employs approximately 4,800 people worldwide and operates across the Americas, EMEA, and Asia-Pacific regions.</w:t>
      </w:r>
    </w:p>
    <w:p w14:paraId="43C3A195" w14:textId="4862E250" w:rsidR="00420CF6" w:rsidRDefault="00420CF6" w:rsidP="005262E4">
      <w:r w:rsidRPr="00420CF6">
        <w:t>FICO's core competitive advantage is its namesake FICO Score, which has become the universal standard for credit risk assessment in the United States. Lenders, regulators, and consumers have built their entire credit infrastructure around the FICO Score, creating an embedded position that has proven extraordinarily resilient for over 30 years. The company generates revenue through a combination of usage-based scoring fees and recurring software subscriptions.</w:t>
      </w:r>
      <w:r w:rsidR="001F04ED">
        <w:t xml:space="preserve"> Approximately 60% of revenue comes from the scores segment</w:t>
      </w:r>
      <w:r w:rsidR="00D46868">
        <w:t xml:space="preserve">, but it accounts for approximately 80% of </w:t>
      </w:r>
      <w:r w:rsidR="00F23366">
        <w:t>operating income. (the rest is attributed to the software segment)</w:t>
      </w:r>
    </w:p>
    <w:p w14:paraId="39983B06" w14:textId="7635B03B" w:rsidR="002416BA" w:rsidRDefault="002416BA" w:rsidP="005262E4">
      <w:pPr>
        <w:rPr>
          <w:rFonts w:ascii="Times New Roman" w:hAnsi="Times New Roman" w:cs="Times New Roman"/>
          <w:b/>
          <w:bCs/>
        </w:rPr>
      </w:pPr>
      <w:r>
        <w:t xml:space="preserve">Recent strategy has been to </w:t>
      </w:r>
      <w:r w:rsidR="00A7064E">
        <w:t>capitalize</w:t>
      </w:r>
      <w:r>
        <w:t xml:space="preserve"> on the near monopoly, high margin score business</w:t>
      </w:r>
      <w:r w:rsidR="00A7064E">
        <w:t xml:space="preserve">. FICO has worked to innovate </w:t>
      </w:r>
      <w:r w:rsidR="00D1388F">
        <w:t xml:space="preserve">new models such as FICO 10T that provide more accurate and advanced scoring. In addition, </w:t>
      </w:r>
      <w:r w:rsidR="007800FC">
        <w:t>management has made price hikes a priority</w:t>
      </w:r>
      <w:r w:rsidR="003103E4">
        <w:t xml:space="preserve"> to expand revenue and margins.</w:t>
      </w:r>
      <w:r w:rsidR="00E17ABF">
        <w:t xml:space="preserve"> In response to</w:t>
      </w:r>
      <w:r w:rsidR="00FB4697">
        <w:t xml:space="preserve"> the F</w:t>
      </w:r>
      <w:r w:rsidR="00D45DB9">
        <w:t xml:space="preserve">HFA allowing </w:t>
      </w:r>
      <w:r w:rsidR="00D01917">
        <w:t xml:space="preserve">VantageScore 4.0 to be used for </w:t>
      </w:r>
      <w:r w:rsidR="002225C2">
        <w:t xml:space="preserve">mortgages sold to Fannie Mae and Freddie Mac, FICO launched their direct licensing program to bypass the original distribution channel through the credit bureaus. </w:t>
      </w:r>
      <w:r w:rsidR="00F77F67">
        <w:t xml:space="preserve">Under this new model, FICO scores are offered at </w:t>
      </w:r>
      <w:r w:rsidR="00403416">
        <w:t xml:space="preserve">$4.95 a score rather than the $10 per </w:t>
      </w:r>
      <w:r w:rsidR="00716927">
        <w:t>score</w:t>
      </w:r>
      <w:r w:rsidR="00403416">
        <w:t xml:space="preserve"> fee through the credit </w:t>
      </w:r>
      <w:r w:rsidR="00716927">
        <w:t>bureaus.</w:t>
      </w:r>
    </w:p>
    <w:p w14:paraId="5DFD30AD" w14:textId="77777777" w:rsidR="00B80B6F" w:rsidRPr="000B3804" w:rsidRDefault="006376B1">
      <w:pPr>
        <w:pStyle w:val="Heading2"/>
        <w:rPr>
          <w:rFonts w:ascii="Times New Roman" w:hAnsi="Times New Roman" w:cs="Times New Roman"/>
        </w:rPr>
      </w:pPr>
      <w:r w:rsidRPr="000B3804">
        <w:rPr>
          <w:rFonts w:ascii="Times New Roman" w:hAnsi="Times New Roman" w:cs="Times New Roman"/>
        </w:rPr>
        <w:t>Industry Overview</w:t>
      </w:r>
    </w:p>
    <w:p w14:paraId="421B54F0" w14:textId="77777777" w:rsidR="00AF4FBD" w:rsidRDefault="00807BF7" w:rsidP="00807BF7">
      <w:r w:rsidRPr="00807BF7">
        <w:t>FICO operates at the intersection of financial services data infrastructure and software analytics. The credit scoring industry is a critical upstream component of the approximately $17 trillion U.S. consumer lending market. Every mortgage, auto loan, credit card approval, and personal loan involves a credit score</w:t>
      </w:r>
      <w:r>
        <w:t xml:space="preserve">, </w:t>
      </w:r>
      <w:r w:rsidRPr="00807BF7">
        <w:t xml:space="preserve"> making the scoring market structurally non-discretionary and resilient through economic cycles.</w:t>
      </w:r>
      <w:r w:rsidR="00AF4FBD">
        <w:t xml:space="preserve"> </w:t>
      </w:r>
    </w:p>
    <w:p w14:paraId="55A3CC1B" w14:textId="3DA7F455" w:rsidR="00807BF7" w:rsidRDefault="00AF4FBD" w:rsidP="00807BF7">
      <w:r w:rsidRPr="00AF4FBD">
        <w:t>The competitive structure of this market is analogous to Visa vs. Discover in payment networks</w:t>
      </w:r>
      <w:r w:rsidR="00AA1E80">
        <w:t>;</w:t>
      </w:r>
      <w:r w:rsidRPr="00AF4FBD">
        <w:t xml:space="preserve"> FICO is universally accepted and trusted at the point of regulated approval, while VantageScore serves as a cheaper alternative used primarily in non-binding, pre-qualification contexts. Despite VantageScore's existence since 2006, it has failed to displace FICO in the markets that matter most: final underwriting decisions for mortgages, prime credit cards, and auto loans.</w:t>
      </w:r>
    </w:p>
    <w:p w14:paraId="0B72365F" w14:textId="53BF4082" w:rsidR="00F67995" w:rsidRDefault="00F67995" w:rsidP="00807BF7">
      <w:r>
        <w:t xml:space="preserve">See the “How FICO Works” diagram in the appendix for description of </w:t>
      </w:r>
      <w:r w:rsidR="005722EA">
        <w:t>how</w:t>
      </w:r>
      <w:r>
        <w:t xml:space="preserve"> FICO interacts</w:t>
      </w:r>
      <w:r w:rsidR="0086025B">
        <w:t xml:space="preserve"> with banks, credit burea</w:t>
      </w:r>
      <w:r w:rsidR="005722EA">
        <w:t xml:space="preserve">us, </w:t>
      </w:r>
      <w:r w:rsidR="00C96016">
        <w:t>and consumers.</w:t>
      </w:r>
    </w:p>
    <w:p w14:paraId="0E2A5257" w14:textId="77777777" w:rsidR="00922278" w:rsidRPr="000B3804" w:rsidRDefault="00922278" w:rsidP="00922278">
      <w:pPr>
        <w:pStyle w:val="Heading2"/>
        <w:rPr>
          <w:rFonts w:ascii="Times New Roman" w:hAnsi="Times New Roman" w:cs="Times New Roman"/>
        </w:rPr>
      </w:pPr>
      <w:r w:rsidRPr="000B3804">
        <w:rPr>
          <w:rFonts w:ascii="Times New Roman" w:hAnsi="Times New Roman" w:cs="Times New Roman"/>
        </w:rPr>
        <w:t>Porter’s Five Forces Analysis</w:t>
      </w:r>
    </w:p>
    <w:p w14:paraId="04196860" w14:textId="268441B7" w:rsidR="0FF001F8" w:rsidRDefault="59264EBF" w:rsidP="0FF001F8">
      <w:pPr>
        <w:rPr>
          <w:rFonts w:ascii="Times New Roman" w:hAnsi="Times New Roman" w:cs="Times New Roman"/>
        </w:rPr>
      </w:pPr>
      <w:r w:rsidRPr="0FF001F8">
        <w:rPr>
          <w:rFonts w:ascii="Times New Roman" w:hAnsi="Times New Roman" w:cs="Times New Roman"/>
        </w:rPr>
        <w:t>THREAT OF NEW ENTRANTS – LOW</w:t>
      </w:r>
      <w:r w:rsidR="00922278">
        <w:br/>
      </w:r>
      <w:r w:rsidR="00F7233F" w:rsidRPr="00F7233F">
        <w:rPr>
          <w:rFonts w:ascii="Times New Roman" w:hAnsi="Times New Roman" w:cs="Times New Roman"/>
        </w:rPr>
        <w:t>Regulatory entrenchment, 30+ years of model training data, lender system integration costs</w:t>
      </w:r>
      <w:r w:rsidR="00922278">
        <w:br/>
      </w:r>
      <w:r w:rsidR="00922278">
        <w:br/>
      </w:r>
      <w:r w:rsidR="7AC54750" w:rsidRPr="0FF001F8">
        <w:rPr>
          <w:rFonts w:ascii="Times New Roman" w:hAnsi="Times New Roman" w:cs="Times New Roman"/>
        </w:rPr>
        <w:t>POWER OF BUYERS</w:t>
      </w:r>
      <w:r w:rsidRPr="0FF001F8">
        <w:rPr>
          <w:rFonts w:ascii="Times New Roman" w:hAnsi="Times New Roman" w:cs="Times New Roman"/>
        </w:rPr>
        <w:t xml:space="preserve"> – LOW</w:t>
      </w:r>
      <w:r w:rsidR="004D2AB7">
        <w:rPr>
          <w:rFonts w:ascii="Times New Roman" w:hAnsi="Times New Roman" w:cs="Times New Roman"/>
        </w:rPr>
        <w:t>-MEDIUM</w:t>
      </w:r>
      <w:r w:rsidR="00922278">
        <w:br/>
      </w:r>
      <w:r w:rsidR="000A776B" w:rsidRPr="000A776B">
        <w:rPr>
          <w:rFonts w:ascii="Times New Roman" w:hAnsi="Times New Roman" w:cs="Times New Roman"/>
        </w:rPr>
        <w:t>Fragmented lender base; however, VantageScore now a credible alternative at lower price</w:t>
      </w:r>
      <w:r w:rsidR="00922278">
        <w:br/>
      </w:r>
      <w:r w:rsidR="00922278">
        <w:br/>
      </w:r>
      <w:r w:rsidR="0E0F70FF" w:rsidRPr="0FF001F8">
        <w:rPr>
          <w:rFonts w:ascii="Times New Roman" w:hAnsi="Times New Roman" w:cs="Times New Roman"/>
        </w:rPr>
        <w:t>POWER OF SUPPLIERS</w:t>
      </w:r>
      <w:r w:rsidRPr="0FF001F8">
        <w:rPr>
          <w:rFonts w:ascii="Times New Roman" w:hAnsi="Times New Roman" w:cs="Times New Roman"/>
        </w:rPr>
        <w:t xml:space="preserve"> – </w:t>
      </w:r>
      <w:r w:rsidR="002946FD">
        <w:rPr>
          <w:rFonts w:ascii="Times New Roman" w:hAnsi="Times New Roman" w:cs="Times New Roman"/>
        </w:rPr>
        <w:t>LOW</w:t>
      </w:r>
      <w:r w:rsidR="00922278">
        <w:br/>
      </w:r>
      <w:r w:rsidR="00F653D9" w:rsidRPr="00F653D9">
        <w:rPr>
          <w:rFonts w:ascii="Times New Roman" w:hAnsi="Times New Roman" w:cs="Times New Roman"/>
        </w:rPr>
        <w:t>Inputs are credit bureau data; FICO has direct data relationships and model independence</w:t>
      </w:r>
      <w:r w:rsidR="00922278">
        <w:br/>
      </w:r>
      <w:r w:rsidR="00922278">
        <w:br/>
      </w:r>
      <w:r w:rsidRPr="0FF001F8">
        <w:rPr>
          <w:rFonts w:ascii="Times New Roman" w:hAnsi="Times New Roman" w:cs="Times New Roman"/>
        </w:rPr>
        <w:t xml:space="preserve">THREAT OF SUBSTITUTES – </w:t>
      </w:r>
      <w:r w:rsidR="002946FD">
        <w:rPr>
          <w:rFonts w:ascii="Times New Roman" w:hAnsi="Times New Roman" w:cs="Times New Roman"/>
        </w:rPr>
        <w:t>MEDIUM HIGH</w:t>
      </w:r>
      <w:r w:rsidR="00922278">
        <w:br/>
      </w:r>
      <w:r w:rsidR="00530A0F" w:rsidRPr="00530A0F">
        <w:rPr>
          <w:rFonts w:ascii="Times New Roman" w:hAnsi="Times New Roman" w:cs="Times New Roman"/>
        </w:rPr>
        <w:t>VantageScore pricing cut to $0.99 and FHFA approval</w:t>
      </w:r>
      <w:r w:rsidRPr="0FF001F8">
        <w:rPr>
          <w:rFonts w:ascii="Times New Roman" w:hAnsi="Times New Roman" w:cs="Times New Roman"/>
        </w:rPr>
        <w:t xml:space="preserve"> for </w:t>
      </w:r>
      <w:r w:rsidR="00530A0F" w:rsidRPr="00530A0F">
        <w:rPr>
          <w:rFonts w:ascii="Times New Roman" w:hAnsi="Times New Roman" w:cs="Times New Roman"/>
        </w:rPr>
        <w:t>GSE mortgages elevates this</w:t>
      </w:r>
      <w:r w:rsidRPr="0FF001F8">
        <w:rPr>
          <w:rFonts w:ascii="Times New Roman" w:hAnsi="Times New Roman" w:cs="Times New Roman"/>
        </w:rPr>
        <w:t xml:space="preserve"> risk</w:t>
      </w:r>
      <w:r w:rsidR="00922278">
        <w:br/>
      </w:r>
      <w:r w:rsidR="00922278">
        <w:br/>
      </w:r>
      <w:r w:rsidRPr="0FF001F8">
        <w:rPr>
          <w:rFonts w:ascii="Times New Roman" w:hAnsi="Times New Roman" w:cs="Times New Roman"/>
        </w:rPr>
        <w:t xml:space="preserve">COMPETITIVE RIVALRY – </w:t>
      </w:r>
      <w:r w:rsidR="000C165E">
        <w:rPr>
          <w:rFonts w:ascii="Times New Roman" w:hAnsi="Times New Roman" w:cs="Times New Roman"/>
        </w:rPr>
        <w:t>LOW-</w:t>
      </w:r>
      <w:r w:rsidRPr="0FF001F8">
        <w:rPr>
          <w:rFonts w:ascii="Times New Roman" w:hAnsi="Times New Roman" w:cs="Times New Roman"/>
        </w:rPr>
        <w:t>MEDIUM</w:t>
      </w:r>
      <w:r w:rsidR="00922278">
        <w:br/>
      </w:r>
      <w:r w:rsidR="002F1334" w:rsidRPr="002F1334">
        <w:rPr>
          <w:rFonts w:ascii="Times New Roman" w:hAnsi="Times New Roman" w:cs="Times New Roman"/>
        </w:rPr>
        <w:t>Near-monopoly in scoring; software faces Experian, Equifax, TransUnion</w:t>
      </w:r>
      <w:r w:rsidRPr="0FF001F8">
        <w:rPr>
          <w:rFonts w:ascii="Times New Roman" w:hAnsi="Times New Roman" w:cs="Times New Roman"/>
        </w:rPr>
        <w:t xml:space="preserve">, and </w:t>
      </w:r>
      <w:r w:rsidR="002F1334" w:rsidRPr="002F1334">
        <w:rPr>
          <w:rFonts w:ascii="Times New Roman" w:hAnsi="Times New Roman" w:cs="Times New Roman"/>
        </w:rPr>
        <w:t>SAS in analytics</w:t>
      </w:r>
    </w:p>
    <w:p w14:paraId="680EAED6" w14:textId="51ABA133" w:rsidR="00A53F9E" w:rsidRDefault="00A53F9E">
      <w:pPr>
        <w:rPr>
          <w:rFonts w:ascii="Times New Roman" w:eastAsiaTheme="majorEastAsia" w:hAnsi="Times New Roman" w:cs="Times New Roman"/>
          <w:b/>
          <w:bCs/>
          <w:color w:val="4F81BD" w:themeColor="accent1"/>
          <w:sz w:val="26"/>
          <w:szCs w:val="26"/>
        </w:rPr>
      </w:pPr>
      <w:r w:rsidRPr="00A53F9E">
        <w:rPr>
          <w:rFonts w:ascii="Times New Roman" w:eastAsiaTheme="majorEastAsia" w:hAnsi="Times New Roman" w:cs="Times New Roman"/>
          <w:b/>
          <w:bCs/>
          <w:color w:val="4F81BD" w:themeColor="accent1"/>
          <w:sz w:val="26"/>
          <w:szCs w:val="26"/>
        </w:rPr>
        <w:t>Thesis 1: Defensible Moat</w:t>
      </w:r>
      <w:r w:rsidR="00DE4202">
        <w:rPr>
          <w:rFonts w:ascii="Times New Roman" w:eastAsiaTheme="majorEastAsia" w:hAnsi="Times New Roman" w:cs="Times New Roman"/>
          <w:b/>
          <w:bCs/>
          <w:color w:val="4F81BD" w:themeColor="accent1"/>
          <w:sz w:val="26"/>
          <w:szCs w:val="26"/>
        </w:rPr>
        <w:t>:</w:t>
      </w:r>
      <w:r w:rsidRPr="00A53F9E">
        <w:rPr>
          <w:rFonts w:ascii="Times New Roman" w:eastAsiaTheme="majorEastAsia" w:hAnsi="Times New Roman" w:cs="Times New Roman"/>
          <w:b/>
          <w:bCs/>
          <w:color w:val="4F81BD" w:themeColor="accent1"/>
          <w:sz w:val="26"/>
          <w:szCs w:val="26"/>
        </w:rPr>
        <w:t xml:space="preserve"> Entrenched Monopoly in Consumer Credit Scoring</w:t>
      </w:r>
    </w:p>
    <w:p w14:paraId="056EE612" w14:textId="77777777" w:rsidR="0018353B" w:rsidRDefault="0018353B">
      <w:pPr>
        <w:pStyle w:val="Heading2"/>
        <w:rPr>
          <w:rFonts w:ascii="Times New Roman" w:eastAsiaTheme="minorEastAsia" w:hAnsi="Times New Roman" w:cs="Times New Roman"/>
          <w:b w:val="0"/>
          <w:bCs w:val="0"/>
          <w:color w:val="auto"/>
          <w:sz w:val="22"/>
          <w:szCs w:val="22"/>
        </w:rPr>
      </w:pPr>
      <w:r w:rsidRPr="0018353B">
        <w:rPr>
          <w:rFonts w:ascii="Times New Roman" w:eastAsiaTheme="minorEastAsia" w:hAnsi="Times New Roman" w:cs="Times New Roman"/>
          <w:b w:val="0"/>
          <w:bCs w:val="0"/>
          <w:color w:val="auto"/>
          <w:sz w:val="22"/>
          <w:szCs w:val="22"/>
        </w:rPr>
        <w:t>FICO's original moat thesis rested on three pillars: (1) regulatory entrenchment, with FICO Scores embedded in Fannie Mae / Freddie Mac underwriting guidelines; (2) lender inertia, as banks and card issuers have deeply integrated FICO into their risk management systems; and (3) consumer brand recognition, with consumers universally aware of their "FICO score."</w:t>
      </w:r>
    </w:p>
    <w:p w14:paraId="42D70EB9" w14:textId="77777777" w:rsidR="002A7004" w:rsidRPr="002A7004" w:rsidRDefault="002A7004" w:rsidP="002A7004"/>
    <w:p w14:paraId="5444344A" w14:textId="77777777" w:rsidR="00D17A28" w:rsidRPr="00D17A28" w:rsidRDefault="00D17A28" w:rsidP="00D17A28">
      <w:pPr>
        <w:numPr>
          <w:ilvl w:val="0"/>
          <w:numId w:val="12"/>
        </w:numPr>
      </w:pPr>
      <w:r w:rsidRPr="00D17A28">
        <w:t>90% share of U.S. consumer lending decisions at pitch date</w:t>
      </w:r>
    </w:p>
    <w:p w14:paraId="5796DF83" w14:textId="77777777" w:rsidR="00D17A28" w:rsidRPr="00D17A28" w:rsidRDefault="00D17A28" w:rsidP="00D17A28">
      <w:pPr>
        <w:numPr>
          <w:ilvl w:val="0"/>
          <w:numId w:val="12"/>
        </w:numPr>
      </w:pPr>
      <w:r w:rsidRPr="00D17A28">
        <w:t>GSE mortgage underwriting tied to FICO through decades of regulatory precedent</w:t>
      </w:r>
    </w:p>
    <w:p w14:paraId="52097C41" w14:textId="77777777" w:rsidR="00D17A28" w:rsidRPr="00D17A28" w:rsidRDefault="00D17A28" w:rsidP="00D17A28">
      <w:pPr>
        <w:numPr>
          <w:ilvl w:val="0"/>
          <w:numId w:val="12"/>
        </w:numPr>
      </w:pPr>
      <w:r w:rsidRPr="00D17A28">
        <w:t>High switching costs due to lender system integration and model re-validation requirements</w:t>
      </w:r>
    </w:p>
    <w:p w14:paraId="69A03F53" w14:textId="10C29A20" w:rsidR="00D17A28" w:rsidRPr="00D17A28" w:rsidRDefault="00D17A28" w:rsidP="00D17A28">
      <w:pPr>
        <w:numPr>
          <w:ilvl w:val="0"/>
          <w:numId w:val="12"/>
        </w:numPr>
      </w:pPr>
      <w:r w:rsidRPr="00D17A28">
        <w:t>No viable competitor with comparable penetration in regulated lending</w:t>
      </w:r>
    </w:p>
    <w:p w14:paraId="18B9CDCB" w14:textId="3089296A" w:rsidR="00551151" w:rsidRPr="00D17A28" w:rsidRDefault="00E35957" w:rsidP="00551151">
      <w:r w:rsidRPr="00E35957">
        <w:t>STATUS: PARTIALLY IMPAIRED. The July 2025 FHFA approval of VantageScore 4.0 for GSE mortgage underwriting, followed by the March 2026 VantageScore price cut to $0.99, signals that the moat is narrowing. FICO's pricing power in the scores segment</w:t>
      </w:r>
      <w:r w:rsidR="00CD7948">
        <w:t>,</w:t>
      </w:r>
      <w:r w:rsidRPr="00E35957">
        <w:t xml:space="preserve"> which commands $9.00 per pull on average versus VantageScore's new $0.99 price</w:t>
      </w:r>
      <w:r w:rsidR="00254033">
        <w:t>,</w:t>
      </w:r>
      <w:r w:rsidRPr="00E35957">
        <w:t xml:space="preserve"> is now exposed to competitive pricing pressure for the first time in a meaningful way.</w:t>
      </w:r>
    </w:p>
    <w:p w14:paraId="433E6231" w14:textId="78B5F872" w:rsidR="00C0295B" w:rsidRDefault="00C0295B">
      <w:pPr>
        <w:rPr>
          <w:rFonts w:ascii="Times New Roman" w:eastAsiaTheme="majorEastAsia" w:hAnsi="Times New Roman" w:cs="Times New Roman"/>
          <w:b/>
          <w:bCs/>
          <w:color w:val="4F81BD" w:themeColor="accent1"/>
          <w:sz w:val="26"/>
          <w:szCs w:val="26"/>
        </w:rPr>
      </w:pPr>
      <w:r w:rsidRPr="00C0295B">
        <w:rPr>
          <w:rFonts w:ascii="Times New Roman" w:eastAsiaTheme="majorEastAsia" w:hAnsi="Times New Roman" w:cs="Times New Roman"/>
          <w:b/>
          <w:bCs/>
          <w:color w:val="4F81BD" w:themeColor="accent1"/>
          <w:sz w:val="26"/>
          <w:szCs w:val="26"/>
        </w:rPr>
        <w:t>Thesis 2: Strong Innovation</w:t>
      </w:r>
      <w:r w:rsidR="00761EA7">
        <w:rPr>
          <w:rFonts w:ascii="Times New Roman" w:eastAsiaTheme="majorEastAsia" w:hAnsi="Times New Roman" w:cs="Times New Roman"/>
          <w:b/>
          <w:bCs/>
          <w:color w:val="4F81BD" w:themeColor="accent1"/>
          <w:sz w:val="26"/>
          <w:szCs w:val="26"/>
        </w:rPr>
        <w:t>:</w:t>
      </w:r>
      <w:r w:rsidRPr="00C0295B">
        <w:rPr>
          <w:rFonts w:ascii="Times New Roman" w:eastAsiaTheme="majorEastAsia" w:hAnsi="Times New Roman" w:cs="Times New Roman"/>
          <w:b/>
          <w:bCs/>
          <w:color w:val="4F81BD" w:themeColor="accent1"/>
          <w:sz w:val="26"/>
          <w:szCs w:val="26"/>
        </w:rPr>
        <w:t xml:space="preserve"> Direct to Lender &amp; New Algorithms</w:t>
      </w:r>
    </w:p>
    <w:p w14:paraId="7B672251" w14:textId="1046ADC4" w:rsidR="00BD098D" w:rsidRPr="00BD098D" w:rsidRDefault="00BD098D" w:rsidP="00BD098D">
      <w:pPr>
        <w:rPr>
          <w:rFonts w:ascii="Times New Roman" w:hAnsi="Times New Roman" w:cs="Times New Roman"/>
        </w:rPr>
      </w:pPr>
      <w:r w:rsidRPr="00BD098D">
        <w:rPr>
          <w:rFonts w:ascii="Times New Roman" w:hAnsi="Times New Roman" w:cs="Times New Roman"/>
        </w:rPr>
        <w:t>FICO has invested heavily in product innovation to maintain relevance and expand its addressable market. Key initiatives include:</w:t>
      </w:r>
    </w:p>
    <w:p w14:paraId="3E9C76E3" w14:textId="7C28F4FE" w:rsidR="00BD098D" w:rsidRPr="00BD098D" w:rsidRDefault="00BD098D" w:rsidP="00BD098D">
      <w:pPr>
        <w:numPr>
          <w:ilvl w:val="0"/>
          <w:numId w:val="12"/>
        </w:numPr>
      </w:pPr>
      <w:r w:rsidRPr="00BD098D">
        <w:t>FICO Mortgage Direct License Program (October 2025): Allows FICO to sell directly to lenders for GSE-compliant mortgages, bypassing the credit bureau distribution intermediary</w:t>
      </w:r>
    </w:p>
    <w:p w14:paraId="1389A6E1" w14:textId="6B97A626" w:rsidR="00BD098D" w:rsidRPr="00BD098D" w:rsidRDefault="00BD098D" w:rsidP="00BD098D">
      <w:pPr>
        <w:numPr>
          <w:ilvl w:val="0"/>
          <w:numId w:val="12"/>
        </w:numPr>
      </w:pPr>
      <w:r w:rsidRPr="00BD098D">
        <w:t>UltraFICO Score: Incorporates bank account data (checking, savings) to expand credit access for thin-file consumers</w:t>
      </w:r>
    </w:p>
    <w:p w14:paraId="22D3B2FF" w14:textId="52E7BA34" w:rsidR="00BD098D" w:rsidRPr="00BD098D" w:rsidRDefault="00BD098D" w:rsidP="00BD098D">
      <w:pPr>
        <w:numPr>
          <w:ilvl w:val="0"/>
          <w:numId w:val="12"/>
        </w:numPr>
      </w:pPr>
      <w:r w:rsidRPr="00BD098D">
        <w:t>FICO Score 10T: Uses trended credit data over 24 months for more predictive assessments of credit trajectory</w:t>
      </w:r>
    </w:p>
    <w:p w14:paraId="00033F23" w14:textId="1BBBD5BD" w:rsidR="00BD098D" w:rsidRPr="00BD098D" w:rsidRDefault="00BD098D" w:rsidP="00BD098D">
      <w:pPr>
        <w:numPr>
          <w:ilvl w:val="0"/>
          <w:numId w:val="12"/>
        </w:numPr>
      </w:pPr>
      <w:r w:rsidRPr="00BD098D">
        <w:t>BNPL Scoring Algorithms: New models incorporating Buy Now Pay Later payment history, addressing a growing $150B+ credit product category</w:t>
      </w:r>
    </w:p>
    <w:p w14:paraId="2C756F77" w14:textId="5A233EFA" w:rsidR="00BD098D" w:rsidRDefault="00BD098D" w:rsidP="00BD098D">
      <w:pPr>
        <w:rPr>
          <w:rFonts w:ascii="Times New Roman" w:hAnsi="Times New Roman" w:cs="Times New Roman"/>
        </w:rPr>
      </w:pPr>
      <w:r w:rsidRPr="00BD098D">
        <w:rPr>
          <w:rFonts w:ascii="Times New Roman" w:hAnsi="Times New Roman" w:cs="Times New Roman"/>
        </w:rPr>
        <w:t>STATUS: INTACT. FICO's innovation pipeline is a genuine positive. The Mortgage Direct License Program is particularly significant</w:t>
      </w:r>
      <w:r w:rsidR="00761EA7">
        <w:rPr>
          <w:rFonts w:ascii="Times New Roman" w:hAnsi="Times New Roman" w:cs="Times New Roman"/>
        </w:rPr>
        <w:t>,</w:t>
      </w:r>
      <w:r w:rsidRPr="00BD098D">
        <w:rPr>
          <w:rFonts w:ascii="Times New Roman" w:hAnsi="Times New Roman" w:cs="Times New Roman"/>
        </w:rPr>
        <w:t xml:space="preserve"> by bypassing the credit bureau distribution layer, FICO captures economics directly and reduces dependence on bureau pricing negotiations. This was a strategic response to the VantageScore threat and demonstrates management's proactive posture.</w:t>
      </w:r>
    </w:p>
    <w:p w14:paraId="0C93816A" w14:textId="6CD13A7D" w:rsidR="00C151E4" w:rsidRDefault="003C58C5" w:rsidP="00C151E4">
      <w:pPr>
        <w:rPr>
          <w:rFonts w:ascii="Times New Roman" w:eastAsiaTheme="majorEastAsia" w:hAnsi="Times New Roman" w:cs="Times New Roman"/>
          <w:b/>
          <w:bCs/>
          <w:color w:val="4F81BD" w:themeColor="accent1"/>
          <w:sz w:val="26"/>
          <w:szCs w:val="26"/>
        </w:rPr>
      </w:pPr>
      <w:r w:rsidRPr="003C58C5">
        <w:rPr>
          <w:rFonts w:ascii="Times New Roman" w:eastAsiaTheme="majorEastAsia" w:hAnsi="Times New Roman" w:cs="Times New Roman"/>
          <w:b/>
          <w:bCs/>
          <w:color w:val="4F81BD" w:themeColor="accent1"/>
          <w:sz w:val="26"/>
          <w:szCs w:val="26"/>
        </w:rPr>
        <w:t>Thesis 3: Growing Market</w:t>
      </w:r>
      <w:r w:rsidR="00761EA7">
        <w:rPr>
          <w:rFonts w:ascii="Times New Roman" w:eastAsiaTheme="majorEastAsia" w:hAnsi="Times New Roman" w:cs="Times New Roman"/>
          <w:b/>
          <w:bCs/>
          <w:color w:val="4F81BD" w:themeColor="accent1"/>
          <w:sz w:val="26"/>
          <w:szCs w:val="26"/>
        </w:rPr>
        <w:t>:</w:t>
      </w:r>
      <w:r w:rsidRPr="003C58C5">
        <w:rPr>
          <w:rFonts w:ascii="Times New Roman" w:eastAsiaTheme="majorEastAsia" w:hAnsi="Times New Roman" w:cs="Times New Roman"/>
          <w:b/>
          <w:bCs/>
          <w:color w:val="4F81BD" w:themeColor="accent1"/>
          <w:sz w:val="26"/>
          <w:szCs w:val="26"/>
        </w:rPr>
        <w:t xml:space="preserve"> Expanding Credit Market with Limited Competitive Threat</w:t>
      </w:r>
    </w:p>
    <w:p w14:paraId="0B1E3ADA" w14:textId="0AC006DC" w:rsidR="00C151E4" w:rsidRPr="00484B34" w:rsidRDefault="00484B34" w:rsidP="00C151E4">
      <w:pPr>
        <w:rPr>
          <w:rFonts w:ascii="Times New Roman" w:hAnsi="Times New Roman" w:cs="Times New Roman"/>
          <w:b/>
        </w:rPr>
      </w:pPr>
      <w:r w:rsidRPr="00484B34">
        <w:rPr>
          <w:rFonts w:ascii="Times New Roman" w:hAnsi="Times New Roman" w:cs="Times New Roman"/>
        </w:rPr>
        <w:t>The original thesis assumed that FICO's near-monopoly position would persist through credit market expansion, enabling per-unit revenue growth to compound alongside volume growth. With over $17 trillion in outstanding U.S. household debt, the absolute number of credit decisions made annually is massive and growing.</w:t>
      </w:r>
    </w:p>
    <w:p w14:paraId="57FEBF21" w14:textId="110A0CA9" w:rsidR="00484B34" w:rsidRDefault="00484B34" w:rsidP="00C151E4">
      <w:pPr>
        <w:rPr>
          <w:rFonts w:ascii="Times New Roman" w:hAnsi="Times New Roman" w:cs="Times New Roman"/>
          <w:b/>
          <w:bCs/>
        </w:rPr>
      </w:pPr>
      <w:r w:rsidRPr="00484B34">
        <w:rPr>
          <w:rFonts w:ascii="Times New Roman" w:hAnsi="Times New Roman" w:cs="Times New Roman"/>
        </w:rPr>
        <w:t>STATUS: PARTIALLY IMPAIRED. The market growth thesis remains valid. However, the assumption of "limited competitive threat" has been undermined. The competitive threat is no longer theoretical</w:t>
      </w:r>
      <w:r w:rsidR="008401B7">
        <w:rPr>
          <w:rFonts w:ascii="Times New Roman" w:hAnsi="Times New Roman" w:cs="Times New Roman"/>
          <w:b/>
          <w:bCs/>
        </w:rPr>
        <w:t>,</w:t>
      </w:r>
      <w:r w:rsidRPr="00484B34">
        <w:rPr>
          <w:rFonts w:ascii="Times New Roman" w:hAnsi="Times New Roman" w:cs="Times New Roman"/>
        </w:rPr>
        <w:t xml:space="preserve"> VantageScore has regulatory approval for GSE mortgages and is now priced at an 89% discount to FICO. While we still believe FICO will retain share in the near term due to lender inertia and re-validation costs, the long-term trajectory of FICO's pricing premium is now uncertain.</w:t>
      </w:r>
    </w:p>
    <w:p w14:paraId="7543E555" w14:textId="3F601222" w:rsidR="00C25BD8" w:rsidRPr="00D01A77" w:rsidRDefault="001E4911" w:rsidP="00D01A77">
      <w:pPr>
        <w:pStyle w:val="Heading2"/>
        <w:rPr>
          <w:rFonts w:ascii="Times New Roman" w:hAnsi="Times New Roman" w:cs="Times New Roman"/>
        </w:rPr>
      </w:pPr>
      <w:r w:rsidRPr="000B3804">
        <w:rPr>
          <w:rFonts w:ascii="Times New Roman" w:hAnsi="Times New Roman" w:cs="Times New Roman"/>
        </w:rPr>
        <w:t>Competitive Positionin</w:t>
      </w:r>
      <w:r w:rsidR="00E81B39">
        <w:rPr>
          <w:rFonts w:ascii="Times New Roman" w:hAnsi="Times New Roman" w:cs="Times New Roman"/>
        </w:rPr>
        <w:t>g:</w:t>
      </w:r>
      <w:r w:rsidRPr="000B3804">
        <w:rPr>
          <w:rFonts w:ascii="Times New Roman" w:hAnsi="Times New Roman" w:cs="Times New Roman"/>
        </w:rPr>
        <w:t xml:space="preserve"> 4Ms Analysis</w:t>
      </w:r>
    </w:p>
    <w:p w14:paraId="533E6E36" w14:textId="66E29CB6" w:rsidR="0AAAECF5" w:rsidRPr="000B3804" w:rsidRDefault="001E4911">
      <w:pPr>
        <w:rPr>
          <w:rFonts w:ascii="Times New Roman" w:hAnsi="Times New Roman" w:cs="Times New Roman"/>
        </w:rPr>
      </w:pPr>
      <w:r w:rsidRPr="000B3804">
        <w:rPr>
          <w:rFonts w:ascii="Times New Roman" w:hAnsi="Times New Roman" w:cs="Times New Roman"/>
        </w:rPr>
        <w:t>MARKET:</w:t>
      </w:r>
      <w:r w:rsidRPr="000B3804">
        <w:rPr>
          <w:rFonts w:ascii="Times New Roman" w:hAnsi="Times New Roman" w:cs="Times New Roman"/>
        </w:rPr>
        <w:br/>
      </w:r>
      <w:r w:rsidR="00BD373D" w:rsidRPr="00BD373D">
        <w:rPr>
          <w:rFonts w:ascii="Times New Roman" w:hAnsi="Times New Roman" w:cs="Times New Roman"/>
        </w:rPr>
        <w:t>FICO</w:t>
      </w:r>
      <w:r w:rsidRPr="000B3804">
        <w:rPr>
          <w:rFonts w:ascii="Times New Roman" w:hAnsi="Times New Roman" w:cs="Times New Roman"/>
        </w:rPr>
        <w:t xml:space="preserve"> operates in a </w:t>
      </w:r>
      <w:r w:rsidR="00BD373D" w:rsidRPr="00BD373D">
        <w:rPr>
          <w:rFonts w:ascii="Times New Roman" w:hAnsi="Times New Roman" w:cs="Times New Roman"/>
        </w:rPr>
        <w:t>structurally critical, non-discretionary</w:t>
      </w:r>
      <w:r w:rsidRPr="000B3804">
        <w:rPr>
          <w:rFonts w:ascii="Times New Roman" w:hAnsi="Times New Roman" w:cs="Times New Roman"/>
        </w:rPr>
        <w:t xml:space="preserve"> market. </w:t>
      </w:r>
      <w:r w:rsidR="00BD373D" w:rsidRPr="00BD373D">
        <w:rPr>
          <w:rFonts w:ascii="Times New Roman" w:hAnsi="Times New Roman" w:cs="Times New Roman"/>
        </w:rPr>
        <w:t>Credit scoring is mission-critical infrastructure</w:t>
      </w:r>
      <w:r w:rsidR="00224F05">
        <w:rPr>
          <w:rFonts w:ascii="Times New Roman" w:hAnsi="Times New Roman" w:cs="Times New Roman"/>
        </w:rPr>
        <w:t>,</w:t>
      </w:r>
      <w:r w:rsidR="00BD373D" w:rsidRPr="00BD373D">
        <w:rPr>
          <w:rFonts w:ascii="Times New Roman" w:hAnsi="Times New Roman" w:cs="Times New Roman"/>
        </w:rPr>
        <w:t xml:space="preserve"> it cannot be eliminated, only disrupted by substitution. The U.S. credit market will continue</w:t>
      </w:r>
      <w:r w:rsidRPr="000B3804">
        <w:rPr>
          <w:rFonts w:ascii="Times New Roman" w:hAnsi="Times New Roman" w:cs="Times New Roman"/>
        </w:rPr>
        <w:t xml:space="preserve"> to </w:t>
      </w:r>
      <w:r w:rsidR="00BD373D" w:rsidRPr="00BD373D">
        <w:rPr>
          <w:rFonts w:ascii="Times New Roman" w:hAnsi="Times New Roman" w:cs="Times New Roman"/>
        </w:rPr>
        <w:t xml:space="preserve">grow regardless of the competitive dynamics within scoring, providing a </w:t>
      </w:r>
      <w:r w:rsidRPr="000B3804">
        <w:rPr>
          <w:rFonts w:ascii="Times New Roman" w:hAnsi="Times New Roman" w:cs="Times New Roman"/>
        </w:rPr>
        <w:t xml:space="preserve">secular </w:t>
      </w:r>
      <w:r w:rsidR="00BD373D" w:rsidRPr="00BD373D">
        <w:rPr>
          <w:rFonts w:ascii="Times New Roman" w:hAnsi="Times New Roman" w:cs="Times New Roman"/>
        </w:rPr>
        <w:t>tailwind for FICO's volume. However, the market for FICO specifically faces dual risk: volume-based risk from a potential economic slowdown that reduces credit origination activity, and price-based risk from VantageScore's aggressive pricing strategy</w:t>
      </w:r>
      <w:r w:rsidRPr="000B3804">
        <w:rPr>
          <w:rFonts w:ascii="Times New Roman" w:hAnsi="Times New Roman" w:cs="Times New Roman"/>
        </w:rPr>
        <w:t>.</w:t>
      </w:r>
      <w:r w:rsidRPr="000B3804">
        <w:rPr>
          <w:rFonts w:ascii="Times New Roman" w:hAnsi="Times New Roman" w:cs="Times New Roman"/>
        </w:rPr>
        <w:br/>
      </w:r>
      <w:r w:rsidRPr="000B3804">
        <w:rPr>
          <w:rFonts w:ascii="Times New Roman" w:hAnsi="Times New Roman" w:cs="Times New Roman"/>
        </w:rPr>
        <w:br/>
        <w:t>MOAT:</w:t>
      </w:r>
      <w:r w:rsidRPr="000B3804">
        <w:rPr>
          <w:rFonts w:ascii="Times New Roman" w:hAnsi="Times New Roman" w:cs="Times New Roman"/>
        </w:rPr>
        <w:br/>
      </w:r>
      <w:r w:rsidR="00DA15F0" w:rsidRPr="00DA15F0">
        <w:rPr>
          <w:rFonts w:ascii="Times New Roman" w:hAnsi="Times New Roman" w:cs="Times New Roman"/>
        </w:rPr>
        <w:t xml:space="preserve">FICO's </w:t>
      </w:r>
      <w:r w:rsidRPr="000B3804">
        <w:rPr>
          <w:rFonts w:ascii="Times New Roman" w:hAnsi="Times New Roman" w:cs="Times New Roman"/>
        </w:rPr>
        <w:t xml:space="preserve">moat </w:t>
      </w:r>
      <w:r w:rsidR="00DA15F0" w:rsidRPr="00DA15F0">
        <w:rPr>
          <w:rFonts w:ascii="Times New Roman" w:hAnsi="Times New Roman" w:cs="Times New Roman"/>
        </w:rPr>
        <w:t>has historically been</w:t>
      </w:r>
      <w:r w:rsidRPr="000B3804">
        <w:rPr>
          <w:rFonts w:ascii="Times New Roman" w:hAnsi="Times New Roman" w:cs="Times New Roman"/>
        </w:rPr>
        <w:t xml:space="preserve"> among </w:t>
      </w:r>
      <w:r w:rsidR="00DA15F0" w:rsidRPr="00DA15F0">
        <w:rPr>
          <w:rFonts w:ascii="Times New Roman" w:hAnsi="Times New Roman" w:cs="Times New Roman"/>
        </w:rPr>
        <w:t>the widest in fintech infrastructure.</w:t>
      </w:r>
      <w:r w:rsidRPr="000B3804">
        <w:rPr>
          <w:rFonts w:ascii="Times New Roman" w:hAnsi="Times New Roman" w:cs="Times New Roman"/>
        </w:rPr>
        <w:t xml:space="preserve"> Regulatory </w:t>
      </w:r>
      <w:r w:rsidR="00DA15F0" w:rsidRPr="00DA15F0">
        <w:rPr>
          <w:rFonts w:ascii="Times New Roman" w:hAnsi="Times New Roman" w:cs="Times New Roman"/>
        </w:rPr>
        <w:t>entrenchment, 30+ years of lender system integration, and consumer brand recognition have collectively made FICO the default choice. However, the events of 2025-2026 have revealed that the moat is more porous than originally estimated. The FHFA's authorization of VantageScore</w:t>
      </w:r>
      <w:r w:rsidRPr="000B3804">
        <w:rPr>
          <w:rFonts w:ascii="Times New Roman" w:hAnsi="Times New Roman" w:cs="Times New Roman"/>
        </w:rPr>
        <w:t xml:space="preserve"> for </w:t>
      </w:r>
      <w:r w:rsidR="00DA15F0" w:rsidRPr="00DA15F0">
        <w:rPr>
          <w:rFonts w:ascii="Times New Roman" w:hAnsi="Times New Roman" w:cs="Times New Roman"/>
        </w:rPr>
        <w:t>GSE mortgages removed a critical regulatory protection. The 75% price cut by VantageScore provides the financial incentive for lenders to re-evaluate. We believe the moat remains wide in the near-</w:t>
      </w:r>
      <w:r w:rsidRPr="000B3804">
        <w:rPr>
          <w:rFonts w:ascii="Times New Roman" w:hAnsi="Times New Roman" w:cs="Times New Roman"/>
        </w:rPr>
        <w:t>to</w:t>
      </w:r>
      <w:r w:rsidR="00DA15F0" w:rsidRPr="00DA15F0">
        <w:rPr>
          <w:rFonts w:ascii="Times New Roman" w:hAnsi="Times New Roman" w:cs="Times New Roman"/>
        </w:rPr>
        <w:t>-medium term due to lender inertia, but is narrowing.</w:t>
      </w:r>
      <w:r w:rsidRPr="000B3804">
        <w:rPr>
          <w:rFonts w:ascii="Times New Roman" w:hAnsi="Times New Roman" w:cs="Times New Roman"/>
        </w:rPr>
        <w:br/>
      </w:r>
      <w:r w:rsidRPr="000B3804">
        <w:rPr>
          <w:rFonts w:ascii="Times New Roman" w:hAnsi="Times New Roman" w:cs="Times New Roman"/>
        </w:rPr>
        <w:br/>
        <w:t>MARGIN OF SAFETY:</w:t>
      </w:r>
      <w:r w:rsidRPr="000B3804">
        <w:rPr>
          <w:rFonts w:ascii="Times New Roman" w:hAnsi="Times New Roman" w:cs="Times New Roman"/>
        </w:rPr>
        <w:br/>
      </w:r>
      <w:r w:rsidR="00C972CA" w:rsidRPr="00C972CA">
        <w:rPr>
          <w:rFonts w:ascii="Times New Roman" w:hAnsi="Times New Roman" w:cs="Times New Roman"/>
        </w:rPr>
        <w:t>The March 2026 selloff of approximately 20% has partially reset the valuation. However, at ~40x trailing P/E and ~$1,160 per share, FICO still</w:t>
      </w:r>
      <w:r w:rsidRPr="000B3804">
        <w:rPr>
          <w:rFonts w:ascii="Times New Roman" w:hAnsi="Times New Roman" w:cs="Times New Roman"/>
        </w:rPr>
        <w:t xml:space="preserve"> trades at a significant </w:t>
      </w:r>
      <w:r w:rsidR="00C972CA" w:rsidRPr="00C972CA">
        <w:rPr>
          <w:rFonts w:ascii="Times New Roman" w:hAnsi="Times New Roman" w:cs="Times New Roman"/>
        </w:rPr>
        <w:t>premium to both</w:t>
      </w:r>
      <w:r w:rsidRPr="000B3804">
        <w:rPr>
          <w:rFonts w:ascii="Times New Roman" w:hAnsi="Times New Roman" w:cs="Times New Roman"/>
        </w:rPr>
        <w:t xml:space="preserve"> its historical </w:t>
      </w:r>
      <w:r w:rsidR="00C972CA" w:rsidRPr="00C972CA">
        <w:rPr>
          <w:rFonts w:ascii="Times New Roman" w:hAnsi="Times New Roman" w:cs="Times New Roman"/>
        </w:rPr>
        <w:t>average</w:t>
      </w:r>
      <w:r w:rsidRPr="000B3804">
        <w:rPr>
          <w:rFonts w:ascii="Times New Roman" w:hAnsi="Times New Roman" w:cs="Times New Roman"/>
        </w:rPr>
        <w:t xml:space="preserve"> and </w:t>
      </w:r>
      <w:r w:rsidR="00C972CA" w:rsidRPr="00C972CA">
        <w:rPr>
          <w:rFonts w:ascii="Times New Roman" w:hAnsi="Times New Roman" w:cs="Times New Roman"/>
        </w:rPr>
        <w:t>peers. The Margin of Safety for a HOLD thesis requires confidence that the current earnings base is sustainable</w:t>
      </w:r>
      <w:r w:rsidR="00224F05">
        <w:rPr>
          <w:rFonts w:ascii="Times New Roman" w:hAnsi="Times New Roman" w:cs="Times New Roman"/>
        </w:rPr>
        <w:t>,</w:t>
      </w:r>
      <w:r w:rsidR="00C972CA" w:rsidRPr="00C972CA">
        <w:rPr>
          <w:rFonts w:ascii="Times New Roman" w:hAnsi="Times New Roman" w:cs="Times New Roman"/>
        </w:rPr>
        <w:t xml:space="preserve"> which we have moderate but not high confidence in. We estimate a more compelling entry point in the $</w:t>
      </w:r>
      <w:r w:rsidR="00B25D35">
        <w:rPr>
          <w:rFonts w:ascii="Times New Roman" w:hAnsi="Times New Roman" w:cs="Times New Roman"/>
        </w:rPr>
        <w:t>700</w:t>
      </w:r>
      <w:r w:rsidR="00C972CA" w:rsidRPr="00C972CA">
        <w:rPr>
          <w:rFonts w:ascii="Times New Roman" w:hAnsi="Times New Roman" w:cs="Times New Roman"/>
        </w:rPr>
        <w:t>-$</w:t>
      </w:r>
      <w:r w:rsidR="00B25D35">
        <w:rPr>
          <w:rFonts w:ascii="Times New Roman" w:hAnsi="Times New Roman" w:cs="Times New Roman"/>
        </w:rPr>
        <w:t>8</w:t>
      </w:r>
      <w:r w:rsidR="00C972CA" w:rsidRPr="00C972CA">
        <w:rPr>
          <w:rFonts w:ascii="Times New Roman" w:hAnsi="Times New Roman" w:cs="Times New Roman"/>
        </w:rPr>
        <w:t>50 range, which would represent a more appropriate risk-adjusted setup.</w:t>
      </w:r>
      <w:r w:rsidRPr="000B3804">
        <w:rPr>
          <w:rFonts w:ascii="Times New Roman" w:hAnsi="Times New Roman" w:cs="Times New Roman"/>
        </w:rPr>
        <w:br/>
      </w:r>
      <w:r w:rsidRPr="000B3804">
        <w:rPr>
          <w:rFonts w:ascii="Times New Roman" w:hAnsi="Times New Roman" w:cs="Times New Roman"/>
        </w:rPr>
        <w:br/>
        <w:t>MANAGEMENT:</w:t>
      </w:r>
      <w:r w:rsidRPr="000B3804">
        <w:rPr>
          <w:rFonts w:ascii="Times New Roman" w:hAnsi="Times New Roman" w:cs="Times New Roman"/>
        </w:rPr>
        <w:br/>
      </w:r>
      <w:r w:rsidR="00294D97" w:rsidRPr="00294D97">
        <w:rPr>
          <w:rFonts w:ascii="Times New Roman" w:hAnsi="Times New Roman" w:cs="Times New Roman"/>
        </w:rPr>
        <w:t xml:space="preserve">FICO's management team has demonstrated strategic agility in response to the competitive threat. The Mortgage Direct License Program </w:t>
      </w:r>
      <w:r w:rsidR="00224F05">
        <w:rPr>
          <w:rFonts w:ascii="Times New Roman" w:hAnsi="Times New Roman" w:cs="Times New Roman"/>
        </w:rPr>
        <w:t>(</w:t>
      </w:r>
      <w:r w:rsidR="00294D97" w:rsidRPr="00294D97">
        <w:rPr>
          <w:rFonts w:ascii="Times New Roman" w:hAnsi="Times New Roman" w:cs="Times New Roman"/>
        </w:rPr>
        <w:t>announced in October 2025</w:t>
      </w:r>
      <w:r w:rsidR="00224F05">
        <w:rPr>
          <w:rFonts w:ascii="Times New Roman" w:hAnsi="Times New Roman" w:cs="Times New Roman"/>
        </w:rPr>
        <w:t xml:space="preserve">) </w:t>
      </w:r>
      <w:r w:rsidR="00294D97" w:rsidRPr="00294D97">
        <w:rPr>
          <w:rFonts w:ascii="Times New Roman" w:hAnsi="Times New Roman" w:cs="Times New Roman"/>
        </w:rPr>
        <w:t>was a proactive, well-structured response to the VantageScore GSE approval. CEO Will Lansing has consistently emphasized pricing discipline and the superiority of FICO's predictive models over VantageScore alternatives. Management's shareholder return track record is strong, with aggressive share buybacks reducing the float meaningfully over the past five years. We have high regard for management's quality; our concern is with the competitive environment, not the team.</w:t>
      </w:r>
    </w:p>
    <w:p w14:paraId="335C7A27" w14:textId="77777777" w:rsidR="00BB4B93" w:rsidRPr="000B3804" w:rsidRDefault="00BB4B93" w:rsidP="00BB4B93">
      <w:pPr>
        <w:pStyle w:val="Heading2"/>
        <w:rPr>
          <w:rFonts w:ascii="Times New Roman" w:hAnsi="Times New Roman" w:cs="Times New Roman"/>
        </w:rPr>
      </w:pPr>
      <w:r w:rsidRPr="000B3804">
        <w:rPr>
          <w:rFonts w:ascii="Times New Roman" w:hAnsi="Times New Roman" w:cs="Times New Roman"/>
        </w:rPr>
        <w:t>Management Profile</w:t>
      </w:r>
    </w:p>
    <w:p w14:paraId="7DC6EF66" w14:textId="77777777" w:rsidR="00BB4B93" w:rsidRDefault="00BB4B93" w:rsidP="00BB4B93">
      <w:pPr>
        <w:rPr>
          <w:rFonts w:ascii="Times New Roman" w:hAnsi="Times New Roman" w:cs="Times New Roman"/>
        </w:rPr>
      </w:pPr>
      <w:r w:rsidRPr="003826F4">
        <w:rPr>
          <w:rFonts w:ascii="Times New Roman" w:hAnsi="Times New Roman" w:cs="Times New Roman"/>
        </w:rPr>
        <w:t>Will Lansing</w:t>
      </w:r>
      <w:r>
        <w:rPr>
          <w:rFonts w:ascii="Times New Roman" w:hAnsi="Times New Roman" w:cs="Times New Roman"/>
        </w:rPr>
        <w:t xml:space="preserve">: </w:t>
      </w:r>
      <w:r w:rsidRPr="006D3EAB">
        <w:rPr>
          <w:rFonts w:ascii="Times New Roman" w:hAnsi="Times New Roman" w:cs="Times New Roman"/>
        </w:rPr>
        <w:t>Chief Executive Officer</w:t>
      </w:r>
      <w:r>
        <w:rPr>
          <w:rFonts w:ascii="Times New Roman" w:hAnsi="Times New Roman" w:cs="Times New Roman"/>
        </w:rPr>
        <w:t xml:space="preserve">. </w:t>
      </w:r>
      <w:r w:rsidRPr="00D9162F">
        <w:rPr>
          <w:rFonts w:ascii="Times New Roman" w:hAnsi="Times New Roman" w:cs="Times New Roman"/>
        </w:rPr>
        <w:t>CEO since 2012; extensive SaaS and enterprise software background; credited with FICO's transformation from a pure-play bureau to a platform company; shareholder-aligned with meaningful stock compensation</w:t>
      </w:r>
    </w:p>
    <w:p w14:paraId="53DB15F6" w14:textId="77777777" w:rsidR="00BB4B93" w:rsidRDefault="00BB4B93" w:rsidP="00BB4B93">
      <w:pPr>
        <w:rPr>
          <w:rFonts w:ascii="Times New Roman" w:hAnsi="Times New Roman" w:cs="Times New Roman"/>
        </w:rPr>
      </w:pPr>
      <w:r w:rsidRPr="00196DFE">
        <w:rPr>
          <w:rFonts w:ascii="Times New Roman" w:hAnsi="Times New Roman" w:cs="Times New Roman"/>
        </w:rPr>
        <w:t>Steve Weber</w:t>
      </w:r>
      <w:r>
        <w:rPr>
          <w:rFonts w:ascii="Times New Roman" w:hAnsi="Times New Roman" w:cs="Times New Roman"/>
        </w:rPr>
        <w:t xml:space="preserve">: </w:t>
      </w:r>
      <w:r w:rsidRPr="0019480B">
        <w:rPr>
          <w:rFonts w:ascii="Times New Roman" w:hAnsi="Times New Roman" w:cs="Times New Roman"/>
        </w:rPr>
        <w:t>Chief Financial Officer</w:t>
      </w:r>
      <w:r>
        <w:rPr>
          <w:rFonts w:ascii="Times New Roman" w:hAnsi="Times New Roman" w:cs="Times New Roman"/>
        </w:rPr>
        <w:t xml:space="preserve">. </w:t>
      </w:r>
      <w:r w:rsidRPr="00A44F8B">
        <w:rPr>
          <w:rFonts w:ascii="Times New Roman" w:hAnsi="Times New Roman" w:cs="Times New Roman"/>
        </w:rPr>
        <w:t>Strong financial discipline; focus on margin expansion and capital return; executed aggressive buyback program reducing diluted shares significantly</w:t>
      </w:r>
    </w:p>
    <w:p w14:paraId="16E66C97" w14:textId="77777777" w:rsidR="00BB4B93" w:rsidRDefault="00BB4B93" w:rsidP="00BB4B93">
      <w:pPr>
        <w:rPr>
          <w:rFonts w:ascii="Times New Roman" w:hAnsi="Times New Roman" w:cs="Times New Roman"/>
        </w:rPr>
      </w:pPr>
      <w:r w:rsidRPr="00EB73F2">
        <w:rPr>
          <w:rFonts w:ascii="Times New Roman" w:hAnsi="Times New Roman" w:cs="Times New Roman"/>
        </w:rPr>
        <w:t>Stephanie Lerdall</w:t>
      </w:r>
      <w:r>
        <w:rPr>
          <w:rFonts w:ascii="Times New Roman" w:hAnsi="Times New Roman" w:cs="Times New Roman"/>
        </w:rPr>
        <w:t xml:space="preserve">: </w:t>
      </w:r>
      <w:r w:rsidRPr="0070381A">
        <w:rPr>
          <w:rFonts w:ascii="Times New Roman" w:hAnsi="Times New Roman" w:cs="Times New Roman"/>
        </w:rPr>
        <w:t>Chief Human Resources Officer</w:t>
      </w:r>
      <w:r>
        <w:rPr>
          <w:rFonts w:ascii="Times New Roman" w:hAnsi="Times New Roman" w:cs="Times New Roman"/>
        </w:rPr>
        <w:t xml:space="preserve">. </w:t>
      </w:r>
      <w:r w:rsidRPr="00ED5B81">
        <w:rPr>
          <w:rFonts w:ascii="Times New Roman" w:hAnsi="Times New Roman" w:cs="Times New Roman"/>
        </w:rPr>
        <w:t>Focused on talent retention in competitive analytics/AI labor market</w:t>
      </w:r>
    </w:p>
    <w:p w14:paraId="0AB7419A" w14:textId="57D45736" w:rsidR="00BB4B93" w:rsidRPr="000B3804" w:rsidRDefault="00BB4B93">
      <w:pPr>
        <w:rPr>
          <w:rFonts w:ascii="Times New Roman" w:hAnsi="Times New Roman" w:cs="Times New Roman"/>
        </w:rPr>
      </w:pPr>
      <w:r w:rsidRPr="00330FB2">
        <w:rPr>
          <w:rFonts w:ascii="Times New Roman" w:hAnsi="Times New Roman" w:cs="Times New Roman"/>
        </w:rPr>
        <w:t>Mark Scadina</w:t>
      </w:r>
      <w:r>
        <w:rPr>
          <w:rFonts w:ascii="Times New Roman" w:hAnsi="Times New Roman" w:cs="Times New Roman"/>
        </w:rPr>
        <w:t xml:space="preserve">: </w:t>
      </w:r>
      <w:r w:rsidRPr="0040536B">
        <w:rPr>
          <w:rFonts w:ascii="Times New Roman" w:hAnsi="Times New Roman" w:cs="Times New Roman"/>
        </w:rPr>
        <w:t>EVP &amp; General Counsel</w:t>
      </w:r>
      <w:r>
        <w:rPr>
          <w:rFonts w:ascii="Times New Roman" w:hAnsi="Times New Roman" w:cs="Times New Roman"/>
        </w:rPr>
        <w:t xml:space="preserve">. </w:t>
      </w:r>
      <w:r w:rsidRPr="0070196A">
        <w:rPr>
          <w:rFonts w:ascii="Times New Roman" w:hAnsi="Times New Roman" w:cs="Times New Roman"/>
        </w:rPr>
        <w:t>Manages regulatory and compliance strategy; critical given FICO's exposure to FHFA and CFPB oversight</w:t>
      </w:r>
    </w:p>
    <w:p w14:paraId="4A577DFD" w14:textId="77777777" w:rsidR="00B80B6F" w:rsidRPr="00B530A5" w:rsidRDefault="146E7193">
      <w:pPr>
        <w:pStyle w:val="Heading2"/>
        <w:rPr>
          <w:rFonts w:ascii="Times New Roman" w:hAnsi="Times New Roman" w:cs="Times New Roman"/>
        </w:rPr>
      </w:pPr>
      <w:r w:rsidRPr="00B530A5">
        <w:rPr>
          <w:rFonts w:ascii="Times New Roman" w:hAnsi="Times New Roman" w:cs="Times New Roman"/>
        </w:rPr>
        <w:t>Financial Overview</w:t>
      </w:r>
    </w:p>
    <w:p w14:paraId="213A5B45" w14:textId="77777777" w:rsidR="00BE6317" w:rsidRDefault="5B230F49" w:rsidP="0FF001F8">
      <w:pPr>
        <w:rPr>
          <w:rFonts w:ascii="Times New Roman" w:hAnsi="Times New Roman" w:cs="Times New Roman"/>
        </w:rPr>
      </w:pPr>
      <w:r w:rsidRPr="1B739F04">
        <w:rPr>
          <w:rFonts w:ascii="Times New Roman" w:hAnsi="Times New Roman" w:cs="Times New Roman"/>
        </w:rPr>
        <w:t>Revenue Breakdown</w:t>
      </w:r>
      <w:r w:rsidR="146E7193" w:rsidRPr="1B739F04">
        <w:rPr>
          <w:rFonts w:ascii="Times New Roman" w:hAnsi="Times New Roman" w:cs="Times New Roman"/>
        </w:rPr>
        <w:t>:</w:t>
      </w:r>
    </w:p>
    <w:p w14:paraId="7E745A5F" w14:textId="66F74C01" w:rsidR="00BE6317" w:rsidRPr="00BE6317" w:rsidRDefault="00BE6317" w:rsidP="00BE6317">
      <w:pPr>
        <w:pStyle w:val="ListParagraph"/>
        <w:numPr>
          <w:ilvl w:val="0"/>
          <w:numId w:val="24"/>
        </w:numPr>
        <w:rPr>
          <w:rFonts w:ascii="Times New Roman" w:hAnsi="Times New Roman" w:cs="Times New Roman"/>
        </w:rPr>
      </w:pPr>
      <w:r w:rsidRPr="00BE6317">
        <w:rPr>
          <w:rFonts w:ascii="Times New Roman" w:hAnsi="Times New Roman" w:cs="Times New Roman"/>
        </w:rPr>
        <w:t>Revenue growth: 15.9% in 2025</w:t>
      </w:r>
    </w:p>
    <w:p w14:paraId="6D7E6F3F" w14:textId="55515634" w:rsidR="00B530A5" w:rsidRPr="00BE6317" w:rsidRDefault="00B530A5" w:rsidP="00BE6317">
      <w:pPr>
        <w:pStyle w:val="ListParagraph"/>
        <w:numPr>
          <w:ilvl w:val="0"/>
          <w:numId w:val="24"/>
        </w:numPr>
        <w:rPr>
          <w:rFonts w:ascii="Times New Roman" w:hAnsi="Times New Roman" w:cs="Times New Roman"/>
        </w:rPr>
      </w:pPr>
      <w:r w:rsidRPr="1B739F04">
        <w:rPr>
          <w:rFonts w:ascii="Times New Roman" w:hAnsi="Times New Roman" w:cs="Times New Roman"/>
        </w:rPr>
        <w:t>International revenue: ~13.0% of total</w:t>
      </w:r>
    </w:p>
    <w:p w14:paraId="2C44505A" w14:textId="77777777" w:rsidR="00B530A5" w:rsidRDefault="00B530A5" w:rsidP="00B530A5">
      <w:r>
        <w:t>Expenses Breakdown:</w:t>
      </w:r>
    </w:p>
    <w:p w14:paraId="2BBE6839" w14:textId="49C80A76" w:rsidR="00B530A5" w:rsidRPr="00B530A5" w:rsidRDefault="00B530A5" w:rsidP="00B530A5">
      <w:pPr>
        <w:pStyle w:val="ListParagraph"/>
        <w:numPr>
          <w:ilvl w:val="0"/>
          <w:numId w:val="24"/>
        </w:numPr>
        <w:rPr>
          <w:rFonts w:ascii="Times New Roman" w:hAnsi="Times New Roman" w:cs="Times New Roman"/>
        </w:rPr>
      </w:pPr>
      <w:r w:rsidRPr="00BE6317">
        <w:rPr>
          <w:rFonts w:ascii="Times New Roman" w:hAnsi="Times New Roman" w:cs="Times New Roman"/>
        </w:rPr>
        <w:t>EBITDA Margin: 48.8% in</w:t>
      </w:r>
      <w:r>
        <w:rPr>
          <w:rFonts w:ascii="Times New Roman" w:hAnsi="Times New Roman" w:cs="Times New Roman"/>
        </w:rPr>
        <w:t xml:space="preserve"> FY2025</w:t>
      </w:r>
    </w:p>
    <w:p w14:paraId="15C051D4" w14:textId="37306E4A" w:rsidR="092007AB" w:rsidRPr="003146D3" w:rsidRDefault="00B530A5" w:rsidP="003146D3">
      <w:pPr>
        <w:pStyle w:val="ListParagraph"/>
        <w:numPr>
          <w:ilvl w:val="0"/>
          <w:numId w:val="25"/>
        </w:numPr>
        <w:rPr>
          <w:rFonts w:ascii="Times New Roman" w:hAnsi="Times New Roman" w:cs="Times New Roman"/>
        </w:rPr>
      </w:pPr>
      <w:r w:rsidRPr="1B739F04">
        <w:rPr>
          <w:rFonts w:ascii="Times New Roman" w:hAnsi="Times New Roman" w:cs="Times New Roman"/>
        </w:rPr>
        <w:t xml:space="preserve">SG&amp;A: </w:t>
      </w:r>
      <w:r w:rsidRPr="65AA5117">
        <w:rPr>
          <w:rFonts w:ascii="Times New Roman" w:hAnsi="Times New Roman" w:cs="Times New Roman"/>
        </w:rPr>
        <w:t>~</w:t>
      </w:r>
      <w:r w:rsidR="57BC1251" w:rsidRPr="65AA5117">
        <w:rPr>
          <w:rFonts w:ascii="Times New Roman" w:hAnsi="Times New Roman" w:cs="Times New Roman"/>
        </w:rPr>
        <w:t>26</w:t>
      </w:r>
      <w:r w:rsidRPr="65AA5117">
        <w:rPr>
          <w:rFonts w:ascii="Times New Roman" w:hAnsi="Times New Roman" w:cs="Times New Roman"/>
        </w:rPr>
        <w:t>.</w:t>
      </w:r>
      <w:r w:rsidRPr="1B739F04">
        <w:rPr>
          <w:rFonts w:ascii="Times New Roman" w:hAnsi="Times New Roman" w:cs="Times New Roman"/>
        </w:rPr>
        <w:t>0</w:t>
      </w:r>
      <w:r w:rsidRPr="65AA5117">
        <w:rPr>
          <w:rFonts w:ascii="Times New Roman" w:hAnsi="Times New Roman" w:cs="Times New Roman"/>
        </w:rPr>
        <w:t>%</w:t>
      </w:r>
      <w:r w:rsidR="1C824649" w:rsidRPr="65AA5117">
        <w:rPr>
          <w:rFonts w:ascii="Times New Roman" w:hAnsi="Times New Roman" w:cs="Times New Roman"/>
        </w:rPr>
        <w:t xml:space="preserve"> </w:t>
      </w:r>
      <w:r w:rsidR="1C824649" w:rsidRPr="351447C6">
        <w:rPr>
          <w:rFonts w:ascii="Times New Roman" w:hAnsi="Times New Roman" w:cs="Times New Roman"/>
        </w:rPr>
        <w:t xml:space="preserve">of </w:t>
      </w:r>
      <w:r w:rsidR="1C824649" w:rsidRPr="3004454B">
        <w:rPr>
          <w:rFonts w:ascii="Times New Roman" w:hAnsi="Times New Roman" w:cs="Times New Roman"/>
        </w:rPr>
        <w:t>revenue</w:t>
      </w:r>
      <w:r w:rsidRPr="65AA5117">
        <w:rPr>
          <w:rFonts w:ascii="Times New Roman" w:hAnsi="Times New Roman" w:cs="Times New Roman"/>
        </w:rPr>
        <w:t>;</w:t>
      </w:r>
      <w:r w:rsidRPr="1B739F04">
        <w:rPr>
          <w:rFonts w:ascii="Times New Roman" w:hAnsi="Times New Roman" w:cs="Times New Roman"/>
        </w:rPr>
        <w:t xml:space="preserve"> R&amp;D: ~</w:t>
      </w:r>
      <w:r w:rsidR="09704C84" w:rsidRPr="461A77DA">
        <w:rPr>
          <w:rFonts w:ascii="Times New Roman" w:hAnsi="Times New Roman" w:cs="Times New Roman"/>
        </w:rPr>
        <w:t>9</w:t>
      </w:r>
      <w:r w:rsidRPr="1B739F04">
        <w:rPr>
          <w:rFonts w:ascii="Times New Roman" w:hAnsi="Times New Roman" w:cs="Times New Roman"/>
        </w:rPr>
        <w:t>.0%</w:t>
      </w:r>
      <w:r w:rsidR="56B0867C" w:rsidRPr="7309605F">
        <w:rPr>
          <w:rFonts w:ascii="Times New Roman" w:hAnsi="Times New Roman" w:cs="Times New Roman"/>
        </w:rPr>
        <w:t xml:space="preserve"> </w:t>
      </w:r>
      <w:r w:rsidR="56B0867C" w:rsidRPr="59555EC1">
        <w:rPr>
          <w:rFonts w:ascii="Times New Roman" w:hAnsi="Times New Roman" w:cs="Times New Roman"/>
        </w:rPr>
        <w:t>o</w:t>
      </w:r>
      <w:r w:rsidR="714C562D" w:rsidRPr="59555EC1">
        <w:rPr>
          <w:rFonts w:ascii="Times New Roman" w:hAnsi="Times New Roman" w:cs="Times New Roman"/>
        </w:rPr>
        <w:t>f</w:t>
      </w:r>
      <w:r w:rsidR="56B0867C" w:rsidRPr="7309605F">
        <w:rPr>
          <w:rFonts w:ascii="Times New Roman" w:hAnsi="Times New Roman" w:cs="Times New Roman"/>
        </w:rPr>
        <w:t xml:space="preserve"> revenue</w:t>
      </w:r>
    </w:p>
    <w:p w14:paraId="1AD36F66" w14:textId="24C23631" w:rsidR="00B80B6F" w:rsidRPr="007474DE" w:rsidRDefault="1122407F" w:rsidP="24A7EFCD">
      <w:r>
        <w:t>Other</w:t>
      </w:r>
      <w:r w:rsidR="2EF99E72">
        <w:t xml:space="preserve"> Key Ratios for Industry</w:t>
      </w:r>
      <w:r>
        <w:t>:</w:t>
      </w:r>
    </w:p>
    <w:p w14:paraId="4AEA4EED" w14:textId="5B4D5CA1" w:rsidR="00B80B6F" w:rsidRPr="000B3804" w:rsidRDefault="1122407F" w:rsidP="411749A9">
      <w:pPr>
        <w:pStyle w:val="ListParagraph"/>
        <w:numPr>
          <w:ilvl w:val="0"/>
          <w:numId w:val="21"/>
        </w:numPr>
        <w:rPr>
          <w:rFonts w:ascii="Times New Roman" w:hAnsi="Times New Roman" w:cs="Times New Roman"/>
        </w:rPr>
      </w:pPr>
      <w:r>
        <w:t>FCF: 1,009.6 for 2026, up from 750.6 PY (In Millions)</w:t>
      </w:r>
    </w:p>
    <w:p w14:paraId="506962FE" w14:textId="15DDDA47" w:rsidR="00B80B6F" w:rsidRPr="000B3804" w:rsidRDefault="6CF29E70" w:rsidP="411749A9">
      <w:pPr>
        <w:pStyle w:val="ListParagraph"/>
        <w:numPr>
          <w:ilvl w:val="0"/>
          <w:numId w:val="21"/>
        </w:numPr>
        <w:rPr>
          <w:rFonts w:ascii="Times New Roman" w:hAnsi="Times New Roman" w:cs="Times New Roman"/>
        </w:rPr>
      </w:pPr>
      <w:r>
        <w:t>Diluted EPS: 24.</w:t>
      </w:r>
      <w:r w:rsidR="248676E4">
        <w:t>0</w:t>
      </w:r>
      <w:r>
        <w:t>% growth in 2025, increasing YOY</w:t>
      </w:r>
    </w:p>
    <w:p w14:paraId="661677F8" w14:textId="4075BBFA" w:rsidR="00B80B6F" w:rsidRPr="000B3804" w:rsidRDefault="3BD38A52" w:rsidP="5D37DE01">
      <w:pPr>
        <w:pStyle w:val="ListParagraph"/>
        <w:numPr>
          <w:ilvl w:val="0"/>
          <w:numId w:val="21"/>
        </w:numPr>
        <w:rPr>
          <w:rFonts w:ascii="Times New Roman" w:hAnsi="Times New Roman" w:cs="Times New Roman"/>
        </w:rPr>
      </w:pPr>
      <w:r>
        <w:t>ROA: 36.9% in 2025</w:t>
      </w:r>
    </w:p>
    <w:p w14:paraId="19892137" w14:textId="3FEA93CF" w:rsidR="00B80B6F" w:rsidRPr="000B3804" w:rsidRDefault="146E7193" w:rsidP="0FF001F8">
      <w:pPr>
        <w:rPr>
          <w:rFonts w:ascii="Times New Roman" w:hAnsi="Times New Roman" w:cs="Times New Roman"/>
        </w:rPr>
      </w:pPr>
      <w:r w:rsidRPr="1B739F04">
        <w:rPr>
          <w:rFonts w:ascii="Times New Roman" w:hAnsi="Times New Roman" w:cs="Times New Roman"/>
        </w:rPr>
        <w:t xml:space="preserve">The financial profile reflects strong </w:t>
      </w:r>
      <w:r w:rsidR="1DDB430C" w:rsidRPr="1B739F04">
        <w:rPr>
          <w:rFonts w:ascii="Times New Roman" w:hAnsi="Times New Roman" w:cs="Times New Roman"/>
        </w:rPr>
        <w:t xml:space="preserve">future </w:t>
      </w:r>
      <w:r w:rsidRPr="1B739F04">
        <w:rPr>
          <w:rFonts w:ascii="Times New Roman" w:hAnsi="Times New Roman" w:cs="Times New Roman"/>
        </w:rPr>
        <w:t xml:space="preserve">margins relative to peers </w:t>
      </w:r>
      <w:r w:rsidR="196E2E41" w:rsidRPr="1B739F04">
        <w:rPr>
          <w:rFonts w:ascii="Times New Roman" w:hAnsi="Times New Roman" w:cs="Times New Roman"/>
        </w:rPr>
        <w:t>(although no competitor is perfectly similar)</w:t>
      </w:r>
      <w:r w:rsidR="384BC70E" w:rsidRPr="1B739F04">
        <w:rPr>
          <w:rFonts w:ascii="Times New Roman" w:hAnsi="Times New Roman" w:cs="Times New Roman"/>
        </w:rPr>
        <w:t>.</w:t>
      </w:r>
    </w:p>
    <w:p w14:paraId="3CCBE757" w14:textId="77777777" w:rsidR="00552BF5" w:rsidRPr="00552BF5" w:rsidRDefault="006376B1" w:rsidP="00552BF5">
      <w:pPr>
        <w:pStyle w:val="Heading2"/>
        <w:rPr>
          <w:rFonts w:ascii="Times New Roman" w:hAnsi="Times New Roman" w:cs="Times New Roman"/>
        </w:rPr>
      </w:pPr>
      <w:r w:rsidRPr="000B3804">
        <w:rPr>
          <w:rFonts w:ascii="Times New Roman" w:hAnsi="Times New Roman" w:cs="Times New Roman"/>
        </w:rPr>
        <w:t>Valuation Summary</w:t>
      </w:r>
    </w:p>
    <w:p w14:paraId="5C21C735" w14:textId="67CCF543" w:rsidR="00061852" w:rsidRDefault="00552BF5">
      <w:pPr>
        <w:rPr>
          <w:rFonts w:ascii="Times New Roman" w:hAnsi="Times New Roman" w:cs="Times New Roman"/>
        </w:rPr>
      </w:pPr>
      <w:r>
        <w:rPr>
          <w:rFonts w:ascii="Times New Roman" w:hAnsi="Times New Roman" w:cs="Times New Roman"/>
        </w:rPr>
        <w:t xml:space="preserve">Our new valuation assumptions imply that FICO will be unable to continue to raise prices as previously </w:t>
      </w:r>
      <w:r w:rsidR="00E42BEB">
        <w:rPr>
          <w:rFonts w:ascii="Times New Roman" w:hAnsi="Times New Roman" w:cs="Times New Roman"/>
        </w:rPr>
        <w:t>assumed.</w:t>
      </w:r>
      <w:r w:rsidR="006A344A">
        <w:rPr>
          <w:rFonts w:ascii="Times New Roman" w:hAnsi="Times New Roman" w:cs="Times New Roman"/>
        </w:rPr>
        <w:t xml:space="preserve"> (reasoning disc</w:t>
      </w:r>
      <w:r w:rsidR="00E333C4">
        <w:rPr>
          <w:rFonts w:ascii="Times New Roman" w:hAnsi="Times New Roman" w:cs="Times New Roman"/>
        </w:rPr>
        <w:t>ussed in greater detail in the Risks section)</w:t>
      </w:r>
      <w:r w:rsidR="00503D30">
        <w:rPr>
          <w:rFonts w:ascii="Times New Roman" w:hAnsi="Times New Roman" w:cs="Times New Roman"/>
        </w:rPr>
        <w:t>.</w:t>
      </w:r>
    </w:p>
    <w:p w14:paraId="2AFB6904" w14:textId="77777777" w:rsidR="0095079F" w:rsidRDefault="006376B1" w:rsidP="0012228F">
      <w:pPr>
        <w:rPr>
          <w:rFonts w:ascii="Times New Roman" w:hAnsi="Times New Roman" w:cs="Times New Roman"/>
        </w:rPr>
      </w:pPr>
      <w:r w:rsidRPr="0551E844">
        <w:rPr>
          <w:rFonts w:ascii="Times New Roman" w:hAnsi="Times New Roman" w:cs="Times New Roman"/>
        </w:rPr>
        <w:t>Using a blended valuation approach referenced in the pitch materials, including:</w:t>
      </w:r>
    </w:p>
    <w:p w14:paraId="5900516E" w14:textId="77777777" w:rsidR="00BF48A1" w:rsidRDefault="0095079F" w:rsidP="0095079F">
      <w:pPr>
        <w:pStyle w:val="ListParagraph"/>
        <w:numPr>
          <w:ilvl w:val="0"/>
          <w:numId w:val="15"/>
        </w:numPr>
        <w:rPr>
          <w:rFonts w:ascii="Times New Roman" w:hAnsi="Times New Roman" w:cs="Times New Roman"/>
        </w:rPr>
      </w:pPr>
      <w:r w:rsidRPr="0095079F">
        <w:rPr>
          <w:rFonts w:ascii="Times New Roman" w:hAnsi="Times New Roman" w:cs="Times New Roman"/>
        </w:rPr>
        <w:t>DCF modeling</w:t>
      </w:r>
    </w:p>
    <w:p w14:paraId="000D878D" w14:textId="34EF4922" w:rsidR="0095079F" w:rsidRDefault="0095079F" w:rsidP="00BF48A1">
      <w:pPr>
        <w:pStyle w:val="ListParagraph"/>
        <w:numPr>
          <w:ilvl w:val="1"/>
          <w:numId w:val="15"/>
        </w:numPr>
        <w:rPr>
          <w:rFonts w:ascii="Times New Roman" w:hAnsi="Times New Roman" w:cs="Times New Roman"/>
        </w:rPr>
      </w:pPr>
      <w:r w:rsidRPr="0095079F">
        <w:rPr>
          <w:rFonts w:ascii="Times New Roman" w:hAnsi="Times New Roman" w:cs="Times New Roman"/>
        </w:rPr>
        <w:t xml:space="preserve"> 10-16% revenue growth</w:t>
      </w:r>
    </w:p>
    <w:p w14:paraId="496D0E6E" w14:textId="7CD80720" w:rsidR="00BF48A1" w:rsidRDefault="00AE7444" w:rsidP="00BF48A1">
      <w:pPr>
        <w:pStyle w:val="ListParagraph"/>
        <w:numPr>
          <w:ilvl w:val="1"/>
          <w:numId w:val="15"/>
        </w:numPr>
        <w:rPr>
          <w:rFonts w:ascii="Times New Roman" w:hAnsi="Times New Roman" w:cs="Times New Roman"/>
        </w:rPr>
      </w:pPr>
      <w:r>
        <w:rPr>
          <w:rFonts w:ascii="Times New Roman" w:hAnsi="Times New Roman" w:cs="Times New Roman"/>
        </w:rPr>
        <w:t>2.5% perpetual growth rate</w:t>
      </w:r>
    </w:p>
    <w:p w14:paraId="4E2C702E" w14:textId="0B9BB34F" w:rsidR="00AE7444" w:rsidRDefault="001076F4" w:rsidP="00BF48A1">
      <w:pPr>
        <w:pStyle w:val="ListParagraph"/>
        <w:numPr>
          <w:ilvl w:val="1"/>
          <w:numId w:val="15"/>
        </w:numPr>
        <w:rPr>
          <w:rFonts w:ascii="Times New Roman" w:hAnsi="Times New Roman" w:cs="Times New Roman"/>
        </w:rPr>
      </w:pPr>
      <w:r>
        <w:rPr>
          <w:rFonts w:ascii="Times New Roman" w:hAnsi="Times New Roman" w:cs="Times New Roman"/>
        </w:rPr>
        <w:t xml:space="preserve">Margins in line with analyst </w:t>
      </w:r>
      <w:r w:rsidR="004A3788">
        <w:rPr>
          <w:rFonts w:ascii="Times New Roman" w:hAnsi="Times New Roman" w:cs="Times New Roman"/>
        </w:rPr>
        <w:t>consensus estimates</w:t>
      </w:r>
    </w:p>
    <w:p w14:paraId="42E03F98" w14:textId="57860130" w:rsidR="008F40DB" w:rsidRPr="0095079F" w:rsidRDefault="008F40DB" w:rsidP="00BF48A1">
      <w:pPr>
        <w:pStyle w:val="ListParagraph"/>
        <w:numPr>
          <w:ilvl w:val="1"/>
          <w:numId w:val="15"/>
        </w:numPr>
        <w:rPr>
          <w:rFonts w:ascii="Times New Roman" w:hAnsi="Times New Roman" w:cs="Times New Roman"/>
        </w:rPr>
      </w:pPr>
      <w:r>
        <w:rPr>
          <w:rFonts w:ascii="Times New Roman" w:hAnsi="Times New Roman" w:cs="Times New Roman"/>
        </w:rPr>
        <w:t>W</w:t>
      </w:r>
      <w:r w:rsidR="0022692D">
        <w:rPr>
          <w:rFonts w:ascii="Times New Roman" w:hAnsi="Times New Roman" w:cs="Times New Roman"/>
        </w:rPr>
        <w:t>ACC</w:t>
      </w:r>
      <w:r>
        <w:rPr>
          <w:rFonts w:ascii="Times New Roman" w:hAnsi="Times New Roman" w:cs="Times New Roman"/>
        </w:rPr>
        <w:t xml:space="preserve"> of</w:t>
      </w:r>
      <w:r w:rsidR="003B3946">
        <w:rPr>
          <w:rFonts w:ascii="Times New Roman" w:hAnsi="Times New Roman" w:cs="Times New Roman"/>
        </w:rPr>
        <w:t xml:space="preserve"> 11.89%</w:t>
      </w:r>
      <w:r w:rsidR="0022692D">
        <w:rPr>
          <w:rFonts w:ascii="Times New Roman" w:hAnsi="Times New Roman" w:cs="Times New Roman"/>
        </w:rPr>
        <w:t xml:space="preserve"> (Bloomberg)</w:t>
      </w:r>
    </w:p>
    <w:p w14:paraId="0A208166" w14:textId="77777777" w:rsidR="0095079F" w:rsidRDefault="0095079F" w:rsidP="0095079F">
      <w:pPr>
        <w:pStyle w:val="ListParagraph"/>
        <w:numPr>
          <w:ilvl w:val="0"/>
          <w:numId w:val="15"/>
        </w:numPr>
        <w:rPr>
          <w:rFonts w:ascii="Times New Roman" w:hAnsi="Times New Roman" w:cs="Times New Roman"/>
        </w:rPr>
      </w:pPr>
      <w:r w:rsidRPr="0095079F">
        <w:rPr>
          <w:rFonts w:ascii="Times New Roman" w:hAnsi="Times New Roman" w:cs="Times New Roman"/>
        </w:rPr>
        <w:t>Peer multiples</w:t>
      </w:r>
    </w:p>
    <w:p w14:paraId="3A44AA32" w14:textId="6E25E099" w:rsidR="0095079F" w:rsidRDefault="0095079F" w:rsidP="0095079F">
      <w:pPr>
        <w:pStyle w:val="ListParagraph"/>
        <w:numPr>
          <w:ilvl w:val="1"/>
          <w:numId w:val="15"/>
        </w:numPr>
        <w:rPr>
          <w:rFonts w:ascii="Times New Roman" w:hAnsi="Times New Roman" w:cs="Times New Roman"/>
        </w:rPr>
      </w:pPr>
      <w:r>
        <w:rPr>
          <w:rFonts w:ascii="Times New Roman" w:hAnsi="Times New Roman" w:cs="Times New Roman"/>
        </w:rPr>
        <w:t>P/E:</w:t>
      </w:r>
      <w:r w:rsidR="000E4A16">
        <w:rPr>
          <w:rFonts w:ascii="Times New Roman" w:hAnsi="Times New Roman" w:cs="Times New Roman"/>
        </w:rPr>
        <w:t xml:space="preserve"> 28x</w:t>
      </w:r>
    </w:p>
    <w:p w14:paraId="7BE00769" w14:textId="77777777" w:rsidR="002C5CEF" w:rsidRDefault="0095079F" w:rsidP="0095079F">
      <w:pPr>
        <w:pStyle w:val="ListParagraph"/>
        <w:numPr>
          <w:ilvl w:val="1"/>
          <w:numId w:val="15"/>
        </w:numPr>
        <w:rPr>
          <w:rFonts w:ascii="Times New Roman" w:hAnsi="Times New Roman" w:cs="Times New Roman"/>
        </w:rPr>
      </w:pPr>
      <w:r>
        <w:rPr>
          <w:rFonts w:ascii="Times New Roman" w:hAnsi="Times New Roman" w:cs="Times New Roman"/>
        </w:rPr>
        <w:t xml:space="preserve">EV/EBITDA: </w:t>
      </w:r>
      <w:r w:rsidR="000E4A16">
        <w:rPr>
          <w:rFonts w:ascii="Times New Roman" w:hAnsi="Times New Roman" w:cs="Times New Roman"/>
        </w:rPr>
        <w:t>18x</w:t>
      </w:r>
    </w:p>
    <w:p w14:paraId="7576BC75" w14:textId="5C9A51ED" w:rsidR="00B80B6F" w:rsidRPr="000B3804" w:rsidRDefault="00341BF2">
      <w:pPr>
        <w:rPr>
          <w:rFonts w:ascii="Times New Roman" w:hAnsi="Times New Roman" w:cs="Times New Roman"/>
        </w:rPr>
      </w:pPr>
      <w:r>
        <w:t>To arrive at the</w:t>
      </w:r>
      <w:r w:rsidR="008B2259">
        <w:t xml:space="preserve"> </w:t>
      </w:r>
      <w:r w:rsidR="009C550F">
        <w:t>chosen multiples, we looked at</w:t>
      </w:r>
      <w:r w:rsidR="00726E84">
        <w:t xml:space="preserve"> peer comps</w:t>
      </w:r>
      <w:r w:rsidR="00567411">
        <w:t xml:space="preserve">, FICO’s </w:t>
      </w:r>
      <w:r w:rsidR="003D019E">
        <w:t xml:space="preserve">historical average, and qualitative data. With comps trading lower </w:t>
      </w:r>
      <w:r w:rsidR="00B554E5">
        <w:t xml:space="preserve">and recent </w:t>
      </w:r>
      <w:r w:rsidR="00B11D1E">
        <w:t xml:space="preserve">news eroding FICO’s long-term moat, </w:t>
      </w:r>
      <w:r w:rsidR="00BF48A1">
        <w:t>we felt comfortable with the above valuation multiples.</w:t>
      </w:r>
      <w:r w:rsidR="00FC762D">
        <w:t xml:space="preserve"> </w:t>
      </w:r>
      <w:r w:rsidR="006376B1">
        <w:br/>
      </w:r>
      <w:r w:rsidR="006376B1">
        <w:br/>
      </w:r>
      <w:r w:rsidR="5CA4759A" w:rsidRPr="0551E844">
        <w:rPr>
          <w:rFonts w:ascii="Times New Roman" w:hAnsi="Times New Roman" w:cs="Times New Roman"/>
        </w:rPr>
        <w:t>Valuation determines a</w:t>
      </w:r>
      <w:r w:rsidR="0051679B">
        <w:rPr>
          <w:rFonts w:ascii="Times New Roman" w:hAnsi="Times New Roman" w:cs="Times New Roman"/>
        </w:rPr>
        <w:t xml:space="preserve"> 5yr</w:t>
      </w:r>
      <w:r w:rsidR="5CA4759A" w:rsidRPr="0551E844">
        <w:rPr>
          <w:rFonts w:ascii="Times New Roman" w:hAnsi="Times New Roman" w:cs="Times New Roman"/>
        </w:rPr>
        <w:t xml:space="preserve"> p</w:t>
      </w:r>
      <w:r w:rsidR="006376B1" w:rsidRPr="0551E844">
        <w:rPr>
          <w:rFonts w:ascii="Times New Roman" w:hAnsi="Times New Roman" w:cs="Times New Roman"/>
        </w:rPr>
        <w:t>rice target of ~$</w:t>
      </w:r>
      <w:r w:rsidR="00006ABA">
        <w:rPr>
          <w:rFonts w:ascii="Times New Roman" w:hAnsi="Times New Roman" w:cs="Times New Roman"/>
        </w:rPr>
        <w:t>1,279.16</w:t>
      </w:r>
      <w:r w:rsidR="006376B1" w:rsidRPr="0551E844">
        <w:rPr>
          <w:rFonts w:ascii="Times New Roman" w:hAnsi="Times New Roman" w:cs="Times New Roman"/>
        </w:rPr>
        <w:t>, implying ~</w:t>
      </w:r>
      <w:r w:rsidR="0051679B">
        <w:rPr>
          <w:rFonts w:ascii="Times New Roman" w:hAnsi="Times New Roman" w:cs="Times New Roman"/>
        </w:rPr>
        <w:t>2</w:t>
      </w:r>
      <w:r w:rsidR="006376B1" w:rsidRPr="0551E844">
        <w:rPr>
          <w:rFonts w:ascii="Times New Roman" w:hAnsi="Times New Roman" w:cs="Times New Roman"/>
        </w:rPr>
        <w:t xml:space="preserve">% annualized returns through FY2030. </w:t>
      </w:r>
      <w:r w:rsidR="00006ABA">
        <w:rPr>
          <w:rFonts w:ascii="Times New Roman" w:hAnsi="Times New Roman" w:cs="Times New Roman"/>
        </w:rPr>
        <w:t xml:space="preserve">Currently, we recommend a hold for FICO. </w:t>
      </w:r>
    </w:p>
    <w:p w14:paraId="6728DC1F" w14:textId="6A3C0607" w:rsidR="00B80B6F" w:rsidRPr="009D1B82" w:rsidRDefault="006376B1">
      <w:pPr>
        <w:pStyle w:val="Heading2"/>
        <w:rPr>
          <w:rFonts w:ascii="Times New Roman" w:hAnsi="Times New Roman" w:cs="Times New Roman"/>
        </w:rPr>
      </w:pPr>
      <w:r w:rsidRPr="009D1B82">
        <w:rPr>
          <w:rFonts w:ascii="Times New Roman" w:hAnsi="Times New Roman" w:cs="Times New Roman"/>
        </w:rPr>
        <w:t>Risks</w:t>
      </w:r>
    </w:p>
    <w:p w14:paraId="18DBE537" w14:textId="08FFC178" w:rsidR="00EC02AD" w:rsidRPr="009D1B82" w:rsidRDefault="006376B1">
      <w:pPr>
        <w:rPr>
          <w:rFonts w:ascii="Times New Roman" w:hAnsi="Times New Roman" w:cs="Times New Roman"/>
        </w:rPr>
      </w:pPr>
      <w:r w:rsidRPr="009D1B82">
        <w:rPr>
          <w:rFonts w:ascii="Times New Roman" w:hAnsi="Times New Roman" w:cs="Times New Roman"/>
        </w:rPr>
        <w:t>Key risks identified include:</w:t>
      </w:r>
    </w:p>
    <w:p w14:paraId="7A74CA59" w14:textId="38004C2D" w:rsidR="001330CF" w:rsidRDefault="00BA2CCC" w:rsidP="00EC02AD">
      <w:pPr>
        <w:pStyle w:val="ListParagraph"/>
        <w:numPr>
          <w:ilvl w:val="0"/>
          <w:numId w:val="16"/>
        </w:numPr>
        <w:rPr>
          <w:rFonts w:ascii="Times New Roman" w:hAnsi="Times New Roman" w:cs="Times New Roman"/>
        </w:rPr>
      </w:pPr>
      <w:r w:rsidRPr="001017B3">
        <w:rPr>
          <w:rFonts w:ascii="Times New Roman" w:hAnsi="Times New Roman" w:cs="Times New Roman"/>
          <w:b/>
          <w:bCs/>
        </w:rPr>
        <w:t>Regulatory Risk</w:t>
      </w:r>
      <w:r>
        <w:rPr>
          <w:rFonts w:ascii="Times New Roman" w:hAnsi="Times New Roman" w:cs="Times New Roman"/>
        </w:rPr>
        <w:t>:</w:t>
      </w:r>
      <w:r w:rsidR="00CC5C2B">
        <w:rPr>
          <w:rFonts w:ascii="Times New Roman" w:hAnsi="Times New Roman" w:cs="Times New Roman"/>
        </w:rPr>
        <w:t xml:space="preserve"> In the past, FICO </w:t>
      </w:r>
      <w:r w:rsidR="002D40F3">
        <w:rPr>
          <w:rFonts w:ascii="Times New Roman" w:hAnsi="Times New Roman" w:cs="Times New Roman"/>
        </w:rPr>
        <w:t>has developed a strong moat being the standard score</w:t>
      </w:r>
      <w:r w:rsidR="005B2842">
        <w:rPr>
          <w:rFonts w:ascii="Times New Roman" w:hAnsi="Times New Roman" w:cs="Times New Roman"/>
        </w:rPr>
        <w:t xml:space="preserve">, especially in mortgages. </w:t>
      </w:r>
      <w:r w:rsidR="0019053B">
        <w:rPr>
          <w:rFonts w:ascii="Times New Roman" w:hAnsi="Times New Roman" w:cs="Times New Roman"/>
        </w:rPr>
        <w:t xml:space="preserve">US regulators </w:t>
      </w:r>
      <w:r w:rsidR="007820F9">
        <w:rPr>
          <w:rFonts w:ascii="Times New Roman" w:hAnsi="Times New Roman" w:cs="Times New Roman"/>
        </w:rPr>
        <w:t>like the FHFA</w:t>
      </w:r>
      <w:r w:rsidR="007715C7">
        <w:rPr>
          <w:rFonts w:ascii="Times New Roman" w:hAnsi="Times New Roman" w:cs="Times New Roman"/>
        </w:rPr>
        <w:t xml:space="preserve"> have been pushing for more </w:t>
      </w:r>
      <w:r w:rsidR="00666083">
        <w:rPr>
          <w:rFonts w:ascii="Times New Roman" w:hAnsi="Times New Roman" w:cs="Times New Roman"/>
        </w:rPr>
        <w:t xml:space="preserve">competition and </w:t>
      </w:r>
      <w:r w:rsidR="00DB1769">
        <w:rPr>
          <w:rFonts w:ascii="Times New Roman" w:hAnsi="Times New Roman" w:cs="Times New Roman"/>
        </w:rPr>
        <w:t>lower pricing</w:t>
      </w:r>
      <w:r w:rsidR="0080571E">
        <w:rPr>
          <w:rFonts w:ascii="Times New Roman" w:hAnsi="Times New Roman" w:cs="Times New Roman"/>
        </w:rPr>
        <w:t xml:space="preserve">. </w:t>
      </w:r>
      <w:r w:rsidR="00C164EA">
        <w:rPr>
          <w:rFonts w:ascii="Times New Roman" w:hAnsi="Times New Roman" w:cs="Times New Roman"/>
        </w:rPr>
        <w:t>Recently, Vantage Score 4.0 was approved f</w:t>
      </w:r>
      <w:r w:rsidR="00E00EBD">
        <w:rPr>
          <w:rFonts w:ascii="Times New Roman" w:hAnsi="Times New Roman" w:cs="Times New Roman"/>
        </w:rPr>
        <w:t xml:space="preserve">or </w:t>
      </w:r>
      <w:r w:rsidR="005653F0">
        <w:rPr>
          <w:rFonts w:ascii="Times New Roman" w:hAnsi="Times New Roman" w:cs="Times New Roman"/>
        </w:rPr>
        <w:t>mortgages sold to</w:t>
      </w:r>
      <w:r w:rsidR="00B068DF">
        <w:rPr>
          <w:rFonts w:ascii="Times New Roman" w:hAnsi="Times New Roman" w:cs="Times New Roman"/>
        </w:rPr>
        <w:t xml:space="preserve"> Fannie Mae and Freddie Mac last year. </w:t>
      </w:r>
      <w:r w:rsidR="001F5BAD">
        <w:rPr>
          <w:rFonts w:ascii="Times New Roman" w:hAnsi="Times New Roman" w:cs="Times New Roman"/>
        </w:rPr>
        <w:t>Thi</w:t>
      </w:r>
      <w:r w:rsidR="0083190E">
        <w:rPr>
          <w:rFonts w:ascii="Times New Roman" w:hAnsi="Times New Roman" w:cs="Times New Roman"/>
        </w:rPr>
        <w:t xml:space="preserve">s </w:t>
      </w:r>
      <w:r w:rsidR="009D6382">
        <w:rPr>
          <w:rFonts w:ascii="Times New Roman" w:hAnsi="Times New Roman" w:cs="Times New Roman"/>
        </w:rPr>
        <w:t>end</w:t>
      </w:r>
      <w:r w:rsidR="008626C6">
        <w:rPr>
          <w:rFonts w:ascii="Times New Roman" w:hAnsi="Times New Roman" w:cs="Times New Roman"/>
        </w:rPr>
        <w:t xml:space="preserve">ed </w:t>
      </w:r>
      <w:r w:rsidR="009250B9">
        <w:rPr>
          <w:rFonts w:ascii="Times New Roman" w:hAnsi="Times New Roman" w:cs="Times New Roman"/>
        </w:rPr>
        <w:t>FICO’s regulatory enforced monopoly in</w:t>
      </w:r>
      <w:r w:rsidR="00560E79">
        <w:rPr>
          <w:rFonts w:ascii="Times New Roman" w:hAnsi="Times New Roman" w:cs="Times New Roman"/>
        </w:rPr>
        <w:t xml:space="preserve"> credits scoring for mortgages. </w:t>
      </w:r>
      <w:r w:rsidR="008626C6">
        <w:rPr>
          <w:rFonts w:ascii="Times New Roman" w:hAnsi="Times New Roman" w:cs="Times New Roman"/>
        </w:rPr>
        <w:t>Recently, Sen.</w:t>
      </w:r>
      <w:r w:rsidR="00654F81">
        <w:rPr>
          <w:rFonts w:ascii="Times New Roman" w:hAnsi="Times New Roman" w:cs="Times New Roman"/>
        </w:rPr>
        <w:t xml:space="preserve"> Josh Hawley (R-MO) announced </w:t>
      </w:r>
      <w:r w:rsidR="00A730D9">
        <w:rPr>
          <w:rFonts w:ascii="Times New Roman" w:hAnsi="Times New Roman" w:cs="Times New Roman"/>
        </w:rPr>
        <w:t>an investigation into FICO</w:t>
      </w:r>
      <w:r w:rsidR="00395F71">
        <w:rPr>
          <w:rFonts w:ascii="Times New Roman" w:hAnsi="Times New Roman" w:cs="Times New Roman"/>
        </w:rPr>
        <w:t xml:space="preserve"> on price hikes</w:t>
      </w:r>
      <w:r w:rsidR="001017B3">
        <w:rPr>
          <w:rFonts w:ascii="Times New Roman" w:hAnsi="Times New Roman" w:cs="Times New Roman"/>
        </w:rPr>
        <w:t xml:space="preserve"> in mortgage credit scores.</w:t>
      </w:r>
    </w:p>
    <w:p w14:paraId="23C81A29" w14:textId="71BEF3C8" w:rsidR="00BA2CCC" w:rsidRDefault="008341B8" w:rsidP="00EC02AD">
      <w:pPr>
        <w:pStyle w:val="ListParagraph"/>
        <w:numPr>
          <w:ilvl w:val="0"/>
          <w:numId w:val="16"/>
        </w:numPr>
        <w:rPr>
          <w:rFonts w:ascii="Times New Roman" w:hAnsi="Times New Roman" w:cs="Times New Roman"/>
        </w:rPr>
      </w:pPr>
      <w:r w:rsidRPr="000C1C59">
        <w:rPr>
          <w:rFonts w:ascii="Times New Roman" w:hAnsi="Times New Roman" w:cs="Times New Roman"/>
          <w:b/>
          <w:bCs/>
        </w:rPr>
        <w:t>Competition</w:t>
      </w:r>
      <w:r w:rsidR="00DA3222">
        <w:rPr>
          <w:rFonts w:ascii="Times New Roman" w:hAnsi="Times New Roman" w:cs="Times New Roman"/>
        </w:rPr>
        <w:t>:</w:t>
      </w:r>
      <w:r w:rsidR="00BC2A91">
        <w:rPr>
          <w:rFonts w:ascii="Times New Roman" w:hAnsi="Times New Roman" w:cs="Times New Roman"/>
        </w:rPr>
        <w:t xml:space="preserve"> The main competitor to </w:t>
      </w:r>
      <w:r w:rsidR="00021D09">
        <w:rPr>
          <w:rFonts w:ascii="Times New Roman" w:hAnsi="Times New Roman" w:cs="Times New Roman"/>
        </w:rPr>
        <w:t xml:space="preserve">FICO is </w:t>
      </w:r>
      <w:r w:rsidR="00033AF0">
        <w:rPr>
          <w:rFonts w:ascii="Times New Roman" w:hAnsi="Times New Roman" w:cs="Times New Roman"/>
        </w:rPr>
        <w:t xml:space="preserve">VantageScore, a joint venture launched by the three credit </w:t>
      </w:r>
      <w:r w:rsidR="00A96806">
        <w:rPr>
          <w:rFonts w:ascii="Times New Roman" w:hAnsi="Times New Roman" w:cs="Times New Roman"/>
        </w:rPr>
        <w:t>bureaus</w:t>
      </w:r>
      <w:r w:rsidR="00354664">
        <w:rPr>
          <w:rFonts w:ascii="Times New Roman" w:hAnsi="Times New Roman" w:cs="Times New Roman"/>
        </w:rPr>
        <w:t xml:space="preserve"> in 2006. </w:t>
      </w:r>
      <w:r w:rsidR="005956C8">
        <w:rPr>
          <w:rFonts w:ascii="Times New Roman" w:hAnsi="Times New Roman" w:cs="Times New Roman"/>
        </w:rPr>
        <w:t xml:space="preserve">The threat has been low </w:t>
      </w:r>
      <w:r w:rsidR="00D02371">
        <w:rPr>
          <w:rFonts w:ascii="Times New Roman" w:hAnsi="Times New Roman" w:cs="Times New Roman"/>
        </w:rPr>
        <w:t>until recentl</w:t>
      </w:r>
      <w:r w:rsidR="003B6D27">
        <w:rPr>
          <w:rFonts w:ascii="Times New Roman" w:hAnsi="Times New Roman" w:cs="Times New Roman"/>
        </w:rPr>
        <w:t>y</w:t>
      </w:r>
      <w:r w:rsidR="00602E2C">
        <w:rPr>
          <w:rFonts w:ascii="Times New Roman" w:hAnsi="Times New Roman" w:cs="Times New Roman"/>
        </w:rPr>
        <w:t>.</w:t>
      </w:r>
      <w:r w:rsidR="003B6D27">
        <w:rPr>
          <w:rFonts w:ascii="Times New Roman" w:hAnsi="Times New Roman" w:cs="Times New Roman"/>
        </w:rPr>
        <w:t xml:space="preserve"> </w:t>
      </w:r>
      <w:r w:rsidR="00835C8E">
        <w:rPr>
          <w:rFonts w:ascii="Times New Roman" w:hAnsi="Times New Roman" w:cs="Times New Roman"/>
        </w:rPr>
        <w:t xml:space="preserve">Recent </w:t>
      </w:r>
      <w:r w:rsidR="004F2915">
        <w:rPr>
          <w:rFonts w:ascii="Times New Roman" w:hAnsi="Times New Roman" w:cs="Times New Roman"/>
        </w:rPr>
        <w:t xml:space="preserve">regulatory </w:t>
      </w:r>
      <w:r w:rsidR="00303B40">
        <w:rPr>
          <w:rFonts w:ascii="Times New Roman" w:hAnsi="Times New Roman" w:cs="Times New Roman"/>
        </w:rPr>
        <w:t>developments as discussed above</w:t>
      </w:r>
      <w:r w:rsidR="00927176">
        <w:rPr>
          <w:rFonts w:ascii="Times New Roman" w:hAnsi="Times New Roman" w:cs="Times New Roman"/>
        </w:rPr>
        <w:t xml:space="preserve"> as well as price cuts by </w:t>
      </w:r>
      <w:r w:rsidR="00A47E42">
        <w:rPr>
          <w:rFonts w:ascii="Times New Roman" w:hAnsi="Times New Roman" w:cs="Times New Roman"/>
        </w:rPr>
        <w:t>Vantage</w:t>
      </w:r>
      <w:r w:rsidR="007616F4">
        <w:rPr>
          <w:rFonts w:ascii="Times New Roman" w:hAnsi="Times New Roman" w:cs="Times New Roman"/>
        </w:rPr>
        <w:t>Score</w:t>
      </w:r>
      <w:r w:rsidR="00D02371">
        <w:rPr>
          <w:rFonts w:ascii="Times New Roman" w:hAnsi="Times New Roman" w:cs="Times New Roman"/>
        </w:rPr>
        <w:t xml:space="preserve"> </w:t>
      </w:r>
      <w:r w:rsidR="009E6B36">
        <w:rPr>
          <w:rFonts w:ascii="Times New Roman" w:hAnsi="Times New Roman" w:cs="Times New Roman"/>
        </w:rPr>
        <w:t xml:space="preserve">have made </w:t>
      </w:r>
      <w:r w:rsidR="00D27386">
        <w:rPr>
          <w:rFonts w:ascii="Times New Roman" w:hAnsi="Times New Roman" w:cs="Times New Roman"/>
        </w:rPr>
        <w:t>VantageScore more competitive.</w:t>
      </w:r>
      <w:r w:rsidR="00BF33E7">
        <w:rPr>
          <w:rFonts w:ascii="Times New Roman" w:hAnsi="Times New Roman" w:cs="Times New Roman"/>
        </w:rPr>
        <w:t xml:space="preserve"> </w:t>
      </w:r>
      <w:r w:rsidR="00816D62">
        <w:rPr>
          <w:rFonts w:ascii="Times New Roman" w:hAnsi="Times New Roman" w:cs="Times New Roman"/>
        </w:rPr>
        <w:t xml:space="preserve">This year, the credit </w:t>
      </w:r>
      <w:r w:rsidR="003E6555">
        <w:rPr>
          <w:rFonts w:ascii="Times New Roman" w:hAnsi="Times New Roman" w:cs="Times New Roman"/>
        </w:rPr>
        <w:t xml:space="preserve">bureaus </w:t>
      </w:r>
      <w:r w:rsidR="00816D62">
        <w:rPr>
          <w:rFonts w:ascii="Times New Roman" w:hAnsi="Times New Roman" w:cs="Times New Roman"/>
        </w:rPr>
        <w:t xml:space="preserve">announced that they will offer </w:t>
      </w:r>
      <w:r w:rsidR="003E6555">
        <w:rPr>
          <w:rFonts w:ascii="Times New Roman" w:hAnsi="Times New Roman" w:cs="Times New Roman"/>
        </w:rPr>
        <w:t xml:space="preserve">VantageScore for $0.99 per score compared to $4.95 for FICO (direct licensing option). </w:t>
      </w:r>
      <w:r w:rsidR="004062F0">
        <w:rPr>
          <w:rFonts w:ascii="Times New Roman" w:hAnsi="Times New Roman" w:cs="Times New Roman"/>
        </w:rPr>
        <w:t xml:space="preserve">This along with </w:t>
      </w:r>
      <w:r w:rsidR="00DB6D22">
        <w:rPr>
          <w:rFonts w:ascii="Times New Roman" w:hAnsi="Times New Roman" w:cs="Times New Roman"/>
        </w:rPr>
        <w:t>the credit bureaus offering VantageScore for free with each FICO score show VantageScore’s push to gain market share.</w:t>
      </w:r>
      <w:r w:rsidR="004062F0">
        <w:rPr>
          <w:rFonts w:ascii="Times New Roman" w:hAnsi="Times New Roman" w:cs="Times New Roman"/>
        </w:rPr>
        <w:t xml:space="preserve"> </w:t>
      </w:r>
      <w:r w:rsidR="00BF33E7">
        <w:rPr>
          <w:rFonts w:ascii="Times New Roman" w:hAnsi="Times New Roman" w:cs="Times New Roman"/>
        </w:rPr>
        <w:t xml:space="preserve">There are additional risks of </w:t>
      </w:r>
      <w:r w:rsidR="00FC6161">
        <w:rPr>
          <w:rFonts w:ascii="Times New Roman" w:hAnsi="Times New Roman" w:cs="Times New Roman"/>
        </w:rPr>
        <w:t>fintech firms and others using their</w:t>
      </w:r>
      <w:r w:rsidR="00D27386">
        <w:rPr>
          <w:rFonts w:ascii="Times New Roman" w:hAnsi="Times New Roman" w:cs="Times New Roman"/>
        </w:rPr>
        <w:t xml:space="preserve"> </w:t>
      </w:r>
      <w:r w:rsidR="0097435F">
        <w:rPr>
          <w:rFonts w:ascii="Times New Roman" w:hAnsi="Times New Roman" w:cs="Times New Roman"/>
        </w:rPr>
        <w:t>own models.</w:t>
      </w:r>
      <w:r w:rsidR="005A0503">
        <w:rPr>
          <w:rFonts w:ascii="Times New Roman" w:hAnsi="Times New Roman" w:cs="Times New Roman"/>
        </w:rPr>
        <w:t xml:space="preserve"> </w:t>
      </w:r>
      <w:r w:rsidR="003650C5">
        <w:rPr>
          <w:rFonts w:ascii="Times New Roman" w:hAnsi="Times New Roman" w:cs="Times New Roman"/>
        </w:rPr>
        <w:t>FICO is unlikely to disappear, but competition limits its pricing power.</w:t>
      </w:r>
    </w:p>
    <w:p w14:paraId="3B9D3489" w14:textId="7214053A" w:rsidR="00DA3222" w:rsidRDefault="00393F17" w:rsidP="00EC02AD">
      <w:pPr>
        <w:pStyle w:val="ListParagraph"/>
        <w:numPr>
          <w:ilvl w:val="0"/>
          <w:numId w:val="16"/>
        </w:numPr>
        <w:rPr>
          <w:rFonts w:ascii="Times New Roman" w:hAnsi="Times New Roman" w:cs="Times New Roman"/>
        </w:rPr>
      </w:pPr>
      <w:r w:rsidRPr="00307B83">
        <w:rPr>
          <w:rFonts w:ascii="Times New Roman" w:hAnsi="Times New Roman" w:cs="Times New Roman"/>
          <w:b/>
        </w:rPr>
        <w:t>Valuation Risk</w:t>
      </w:r>
      <w:r>
        <w:rPr>
          <w:rFonts w:ascii="Times New Roman" w:hAnsi="Times New Roman" w:cs="Times New Roman"/>
        </w:rPr>
        <w:t>:</w:t>
      </w:r>
      <w:r w:rsidR="005A0503">
        <w:rPr>
          <w:rFonts w:ascii="Times New Roman" w:hAnsi="Times New Roman" w:cs="Times New Roman"/>
        </w:rPr>
        <w:t xml:space="preserve"> As with most information technology companies,</w:t>
      </w:r>
      <w:r w:rsidR="009242B0">
        <w:rPr>
          <w:rFonts w:ascii="Times New Roman" w:hAnsi="Times New Roman" w:cs="Times New Roman"/>
        </w:rPr>
        <w:t xml:space="preserve"> FICO trades a</w:t>
      </w:r>
      <w:r w:rsidR="00307B83">
        <w:rPr>
          <w:rFonts w:ascii="Times New Roman" w:hAnsi="Times New Roman" w:cs="Times New Roman"/>
        </w:rPr>
        <w:t xml:space="preserve">t a high P/E multiple. (38.6x). This </w:t>
      </w:r>
      <w:r w:rsidR="0097593A">
        <w:rPr>
          <w:rFonts w:ascii="Times New Roman" w:hAnsi="Times New Roman" w:cs="Times New Roman"/>
        </w:rPr>
        <w:t xml:space="preserve">limits the margin of safety and </w:t>
      </w:r>
      <w:r w:rsidR="003650C5">
        <w:rPr>
          <w:rFonts w:ascii="Times New Roman" w:hAnsi="Times New Roman" w:cs="Times New Roman"/>
        </w:rPr>
        <w:t>enlarges</w:t>
      </w:r>
      <w:r w:rsidR="00EE0A3E">
        <w:rPr>
          <w:rFonts w:ascii="Times New Roman" w:hAnsi="Times New Roman" w:cs="Times New Roman"/>
        </w:rPr>
        <w:t xml:space="preserve"> the </w:t>
      </w:r>
      <w:r w:rsidR="00832247">
        <w:rPr>
          <w:rFonts w:ascii="Times New Roman" w:hAnsi="Times New Roman" w:cs="Times New Roman"/>
        </w:rPr>
        <w:t>downside risk in an environment with higher interest rates.</w:t>
      </w:r>
      <w:r w:rsidR="00307B83">
        <w:rPr>
          <w:rFonts w:ascii="Times New Roman" w:hAnsi="Times New Roman" w:cs="Times New Roman"/>
        </w:rPr>
        <w:t xml:space="preserve"> </w:t>
      </w:r>
    </w:p>
    <w:p w14:paraId="55D1445B" w14:textId="797B91D6" w:rsidR="000C27E5" w:rsidRDefault="000B49DD" w:rsidP="000C27E5">
      <w:pPr>
        <w:pStyle w:val="ListParagraph"/>
        <w:numPr>
          <w:ilvl w:val="0"/>
          <w:numId w:val="16"/>
        </w:numPr>
        <w:rPr>
          <w:rFonts w:ascii="Times New Roman" w:hAnsi="Times New Roman" w:cs="Times New Roman"/>
        </w:rPr>
      </w:pPr>
      <w:r w:rsidRPr="00460FB8">
        <w:rPr>
          <w:rFonts w:ascii="Times New Roman" w:hAnsi="Times New Roman" w:cs="Times New Roman"/>
          <w:b/>
        </w:rPr>
        <w:t>Macro and Credit Cycle Exposure</w:t>
      </w:r>
      <w:r>
        <w:rPr>
          <w:rFonts w:ascii="Times New Roman" w:hAnsi="Times New Roman" w:cs="Times New Roman"/>
        </w:rPr>
        <w:t>:</w:t>
      </w:r>
      <w:r w:rsidR="00B33B11">
        <w:rPr>
          <w:rFonts w:ascii="Times New Roman" w:hAnsi="Times New Roman" w:cs="Times New Roman"/>
        </w:rPr>
        <w:t xml:space="preserve"> FICO </w:t>
      </w:r>
      <w:r w:rsidR="0056055A">
        <w:rPr>
          <w:rFonts w:ascii="Times New Roman" w:hAnsi="Times New Roman" w:cs="Times New Roman"/>
        </w:rPr>
        <w:t xml:space="preserve">is exposed to </w:t>
      </w:r>
      <w:r w:rsidR="0001250D">
        <w:rPr>
          <w:rFonts w:ascii="Times New Roman" w:hAnsi="Times New Roman" w:cs="Times New Roman"/>
        </w:rPr>
        <w:t xml:space="preserve">lending activity </w:t>
      </w:r>
      <w:r w:rsidR="00F41659">
        <w:rPr>
          <w:rFonts w:ascii="Times New Roman" w:hAnsi="Times New Roman" w:cs="Times New Roman"/>
        </w:rPr>
        <w:t>making it susceptible to</w:t>
      </w:r>
      <w:r w:rsidR="00A11FD5">
        <w:rPr>
          <w:rFonts w:ascii="Times New Roman" w:hAnsi="Times New Roman" w:cs="Times New Roman"/>
        </w:rPr>
        <w:t xml:space="preserve"> </w:t>
      </w:r>
      <w:r w:rsidR="00544514">
        <w:rPr>
          <w:rFonts w:ascii="Times New Roman" w:hAnsi="Times New Roman" w:cs="Times New Roman"/>
        </w:rPr>
        <w:t xml:space="preserve">consumer credit </w:t>
      </w:r>
      <w:r w:rsidR="002E0F6C">
        <w:rPr>
          <w:rFonts w:ascii="Times New Roman" w:hAnsi="Times New Roman" w:cs="Times New Roman"/>
        </w:rPr>
        <w:t>cycles and recessions. If consumer lending activity and home-buying were to decrease significantly, score volume would de</w:t>
      </w:r>
      <w:r w:rsidR="00511835">
        <w:rPr>
          <w:rFonts w:ascii="Times New Roman" w:hAnsi="Times New Roman" w:cs="Times New Roman"/>
        </w:rPr>
        <w:t xml:space="preserve">crease resulting in </w:t>
      </w:r>
      <w:r w:rsidR="002B63F9">
        <w:rPr>
          <w:rFonts w:ascii="Times New Roman" w:hAnsi="Times New Roman" w:cs="Times New Roman"/>
        </w:rPr>
        <w:t xml:space="preserve">adverse </w:t>
      </w:r>
      <w:r w:rsidR="00460FB8">
        <w:rPr>
          <w:rFonts w:ascii="Times New Roman" w:hAnsi="Times New Roman" w:cs="Times New Roman"/>
        </w:rPr>
        <w:t>effects to FICO’s business.</w:t>
      </w:r>
    </w:p>
    <w:p w14:paraId="522F316A" w14:textId="4B83475C" w:rsidR="005D28F8" w:rsidRDefault="005D28F8" w:rsidP="000C27E5">
      <w:pPr>
        <w:pStyle w:val="ListParagraph"/>
        <w:numPr>
          <w:ilvl w:val="0"/>
          <w:numId w:val="16"/>
        </w:numPr>
        <w:rPr>
          <w:rFonts w:ascii="Times New Roman" w:hAnsi="Times New Roman" w:cs="Times New Roman"/>
        </w:rPr>
      </w:pPr>
      <w:r w:rsidRPr="001A5FC7">
        <w:rPr>
          <w:rFonts w:ascii="Times New Roman" w:hAnsi="Times New Roman" w:cs="Times New Roman"/>
          <w:b/>
        </w:rPr>
        <w:t xml:space="preserve">Technology </w:t>
      </w:r>
      <w:r w:rsidR="008341B8" w:rsidRPr="001A5FC7">
        <w:rPr>
          <w:rFonts w:ascii="Times New Roman" w:hAnsi="Times New Roman" w:cs="Times New Roman"/>
          <w:b/>
        </w:rPr>
        <w:t>Risk</w:t>
      </w:r>
      <w:r w:rsidR="008341B8">
        <w:rPr>
          <w:rFonts w:ascii="Times New Roman" w:hAnsi="Times New Roman" w:cs="Times New Roman"/>
        </w:rPr>
        <w:t>:</w:t>
      </w:r>
      <w:r w:rsidR="00503B1C">
        <w:rPr>
          <w:rFonts w:ascii="Times New Roman" w:hAnsi="Times New Roman" w:cs="Times New Roman"/>
        </w:rPr>
        <w:t xml:space="preserve"> </w:t>
      </w:r>
      <w:r w:rsidR="00754B7D">
        <w:rPr>
          <w:rFonts w:ascii="Times New Roman" w:hAnsi="Times New Roman" w:cs="Times New Roman"/>
        </w:rPr>
        <w:t xml:space="preserve">Technology advancements are a </w:t>
      </w:r>
      <w:r w:rsidR="004C5502">
        <w:rPr>
          <w:rFonts w:ascii="Times New Roman" w:hAnsi="Times New Roman" w:cs="Times New Roman"/>
        </w:rPr>
        <w:t>long-term risk</w:t>
      </w:r>
      <w:r w:rsidR="00CF3DB5">
        <w:rPr>
          <w:rFonts w:ascii="Times New Roman" w:hAnsi="Times New Roman" w:cs="Times New Roman"/>
        </w:rPr>
        <w:t xml:space="preserve"> for FICO’s software and scores segments</w:t>
      </w:r>
      <w:r w:rsidR="004C5502">
        <w:rPr>
          <w:rFonts w:ascii="Times New Roman" w:hAnsi="Times New Roman" w:cs="Times New Roman"/>
        </w:rPr>
        <w:t xml:space="preserve">. Changing </w:t>
      </w:r>
      <w:r w:rsidR="00CF3DB5">
        <w:rPr>
          <w:rFonts w:ascii="Times New Roman" w:hAnsi="Times New Roman" w:cs="Times New Roman"/>
        </w:rPr>
        <w:t>technology</w:t>
      </w:r>
      <w:r w:rsidR="004C5502">
        <w:rPr>
          <w:rFonts w:ascii="Times New Roman" w:hAnsi="Times New Roman" w:cs="Times New Roman"/>
        </w:rPr>
        <w:t xml:space="preserve"> and use of AI</w:t>
      </w:r>
      <w:r w:rsidR="00754B7D">
        <w:rPr>
          <w:rFonts w:ascii="Times New Roman" w:hAnsi="Times New Roman" w:cs="Times New Roman"/>
        </w:rPr>
        <w:t xml:space="preserve"> </w:t>
      </w:r>
      <w:r w:rsidR="00B838F6">
        <w:rPr>
          <w:rFonts w:ascii="Times New Roman" w:hAnsi="Times New Roman" w:cs="Times New Roman"/>
        </w:rPr>
        <w:t xml:space="preserve">could change the </w:t>
      </w:r>
      <w:r w:rsidR="00CF3DB5">
        <w:rPr>
          <w:rFonts w:ascii="Times New Roman" w:hAnsi="Times New Roman" w:cs="Times New Roman"/>
        </w:rPr>
        <w:t>industry</w:t>
      </w:r>
      <w:r w:rsidR="00B838F6">
        <w:rPr>
          <w:rFonts w:ascii="Times New Roman" w:hAnsi="Times New Roman" w:cs="Times New Roman"/>
        </w:rPr>
        <w:t xml:space="preserve"> and </w:t>
      </w:r>
      <w:r w:rsidR="00CF3DB5">
        <w:rPr>
          <w:rFonts w:ascii="Times New Roman" w:hAnsi="Times New Roman" w:cs="Times New Roman"/>
        </w:rPr>
        <w:t xml:space="preserve">underwriting models. Recent AI advancements have </w:t>
      </w:r>
      <w:r w:rsidR="00A323E6">
        <w:rPr>
          <w:rFonts w:ascii="Times New Roman" w:hAnsi="Times New Roman" w:cs="Times New Roman"/>
        </w:rPr>
        <w:t xml:space="preserve">resulted in concerns over the long-term viability of </w:t>
      </w:r>
      <w:r w:rsidR="00360EBC">
        <w:rPr>
          <w:rFonts w:ascii="Times New Roman" w:hAnsi="Times New Roman" w:cs="Times New Roman"/>
        </w:rPr>
        <w:t xml:space="preserve">software companies. </w:t>
      </w:r>
      <w:r w:rsidR="001A0D07">
        <w:rPr>
          <w:rFonts w:ascii="Times New Roman" w:hAnsi="Times New Roman" w:cs="Times New Roman"/>
        </w:rPr>
        <w:t xml:space="preserve">In addition, if FICO is </w:t>
      </w:r>
      <w:r w:rsidR="001A5FC7">
        <w:rPr>
          <w:rFonts w:ascii="Times New Roman" w:hAnsi="Times New Roman" w:cs="Times New Roman"/>
        </w:rPr>
        <w:t>unable</w:t>
      </w:r>
      <w:r w:rsidR="001A0D07">
        <w:rPr>
          <w:rFonts w:ascii="Times New Roman" w:hAnsi="Times New Roman" w:cs="Times New Roman"/>
        </w:rPr>
        <w:t xml:space="preserve"> to continue with AI advancements, </w:t>
      </w:r>
      <w:r w:rsidR="0090225B">
        <w:rPr>
          <w:rFonts w:ascii="Times New Roman" w:hAnsi="Times New Roman" w:cs="Times New Roman"/>
        </w:rPr>
        <w:t xml:space="preserve">other </w:t>
      </w:r>
      <w:r w:rsidR="008D0645">
        <w:rPr>
          <w:rFonts w:ascii="Times New Roman" w:hAnsi="Times New Roman" w:cs="Times New Roman"/>
        </w:rPr>
        <w:t xml:space="preserve">newer models could become more prevalent. </w:t>
      </w:r>
      <w:r w:rsidR="00753D39">
        <w:rPr>
          <w:rFonts w:ascii="Times New Roman" w:hAnsi="Times New Roman" w:cs="Times New Roman"/>
        </w:rPr>
        <w:t xml:space="preserve">FICO’s long history of a </w:t>
      </w:r>
      <w:r w:rsidR="00200568">
        <w:rPr>
          <w:rFonts w:ascii="Times New Roman" w:hAnsi="Times New Roman" w:cs="Times New Roman"/>
        </w:rPr>
        <w:t>reliable model has given them a strong moat</w:t>
      </w:r>
      <w:r w:rsidR="0063520E">
        <w:rPr>
          <w:rFonts w:ascii="Times New Roman" w:hAnsi="Times New Roman" w:cs="Times New Roman"/>
        </w:rPr>
        <w:t xml:space="preserve"> currently</w:t>
      </w:r>
      <w:r w:rsidR="001A5FC7">
        <w:rPr>
          <w:rFonts w:ascii="Times New Roman" w:hAnsi="Times New Roman" w:cs="Times New Roman"/>
        </w:rPr>
        <w:t>, but risks are real.</w:t>
      </w:r>
    </w:p>
    <w:p w14:paraId="34E88DD6" w14:textId="02DF2DAB" w:rsidR="00803797" w:rsidRPr="00803797" w:rsidRDefault="00803797" w:rsidP="00803797">
      <w:pPr>
        <w:rPr>
          <w:rFonts w:ascii="Times New Roman" w:hAnsi="Times New Roman" w:cs="Times New Roman"/>
        </w:rPr>
      </w:pPr>
      <w:r>
        <w:rPr>
          <w:rFonts w:ascii="Times New Roman" w:hAnsi="Times New Roman" w:cs="Times New Roman"/>
        </w:rPr>
        <w:t xml:space="preserve">With the recent </w:t>
      </w:r>
      <w:r w:rsidR="00CA6EA6">
        <w:rPr>
          <w:rFonts w:ascii="Times New Roman" w:hAnsi="Times New Roman" w:cs="Times New Roman"/>
        </w:rPr>
        <w:t>increase in the</w:t>
      </w:r>
      <w:r w:rsidR="00C2144E">
        <w:rPr>
          <w:rFonts w:ascii="Times New Roman" w:hAnsi="Times New Roman" w:cs="Times New Roman"/>
        </w:rPr>
        <w:t xml:space="preserve">se risks, </w:t>
      </w:r>
      <w:r w:rsidR="001F1565">
        <w:rPr>
          <w:rFonts w:ascii="Times New Roman" w:hAnsi="Times New Roman" w:cs="Times New Roman"/>
        </w:rPr>
        <w:t>FICO’s share price has faced significant declines and volatility.</w:t>
      </w:r>
    </w:p>
    <w:p w14:paraId="5B38E2E7" w14:textId="3F34B444" w:rsidR="00B80B6F" w:rsidRPr="000B3804" w:rsidRDefault="006376B1">
      <w:pPr>
        <w:pStyle w:val="Heading2"/>
        <w:rPr>
          <w:rFonts w:ascii="Times New Roman" w:hAnsi="Times New Roman" w:cs="Times New Roman"/>
        </w:rPr>
      </w:pPr>
      <w:r w:rsidRPr="000B3804">
        <w:rPr>
          <w:rFonts w:ascii="Times New Roman" w:hAnsi="Times New Roman" w:cs="Times New Roman"/>
        </w:rPr>
        <w:t>Conclusion &amp; Recommendation</w:t>
      </w:r>
    </w:p>
    <w:p w14:paraId="58503489" w14:textId="77777777" w:rsidR="00B56EC2" w:rsidRDefault="00B952B8">
      <w:pPr>
        <w:rPr>
          <w:rFonts w:ascii="Times New Roman" w:hAnsi="Times New Roman" w:cs="Times New Roman"/>
        </w:rPr>
      </w:pPr>
      <w:r w:rsidRPr="00B952B8">
        <w:rPr>
          <w:rFonts w:ascii="Times New Roman" w:hAnsi="Times New Roman" w:cs="Times New Roman"/>
        </w:rPr>
        <w:t>While FICO remains a high-quality business with exceptional margins, a near-monopoly share in its core market, and a growing software segment, the competitive developments of 2025-2026 have meaningfully changed the risk-reward calculus. Our view has shifted from a high-conviction BUY</w:t>
      </w:r>
      <w:r w:rsidR="006376B1" w:rsidRPr="000B3804">
        <w:rPr>
          <w:rFonts w:ascii="Times New Roman" w:hAnsi="Times New Roman" w:cs="Times New Roman"/>
        </w:rPr>
        <w:t xml:space="preserve"> to </w:t>
      </w:r>
      <w:r w:rsidRPr="00B952B8">
        <w:rPr>
          <w:rFonts w:ascii="Times New Roman" w:hAnsi="Times New Roman" w:cs="Times New Roman"/>
        </w:rPr>
        <w:t>a cautious HOLD for the following reasons:</w:t>
      </w:r>
    </w:p>
    <w:p w14:paraId="03628637" w14:textId="5C8099F5" w:rsidR="00B56EC2" w:rsidRDefault="00B56EC2" w:rsidP="001A4B15">
      <w:pPr>
        <w:numPr>
          <w:ilvl w:val="0"/>
          <w:numId w:val="12"/>
        </w:numPr>
      </w:pPr>
      <w:r>
        <w:t>Pricing moat is under attack for the first time in a meaningful, regulatory-supported way</w:t>
      </w:r>
    </w:p>
    <w:p w14:paraId="75C3939D" w14:textId="155B2904" w:rsidR="00B56EC2" w:rsidRDefault="00B56EC2" w:rsidP="001A4B15">
      <w:pPr>
        <w:numPr>
          <w:ilvl w:val="0"/>
          <w:numId w:val="12"/>
        </w:numPr>
      </w:pPr>
      <w:r>
        <w:t>At ~40x trailing P/E, valuation leaves no room for margin compression or market share loss</w:t>
      </w:r>
    </w:p>
    <w:p w14:paraId="6B02F19B" w14:textId="1657AEA4" w:rsidR="00B56EC2" w:rsidRDefault="00B56EC2" w:rsidP="001A4B15">
      <w:pPr>
        <w:numPr>
          <w:ilvl w:val="0"/>
          <w:numId w:val="12"/>
        </w:numPr>
      </w:pPr>
      <w:r>
        <w:t>The 5-year target of $1,</w:t>
      </w:r>
      <w:r w:rsidR="005D2D04">
        <w:t>279.16</w:t>
      </w:r>
      <w:r>
        <w:t xml:space="preserve"> implies only ~</w:t>
      </w:r>
      <w:r w:rsidR="005D2D04">
        <w:t>2</w:t>
      </w:r>
      <w:r>
        <w:t>% CAGR from current levels</w:t>
      </w:r>
      <w:r w:rsidR="004E0667">
        <w:t>,</w:t>
      </w:r>
      <w:r>
        <w:t xml:space="preserve"> insufficient given the elevated uncertainty</w:t>
      </w:r>
    </w:p>
    <w:p w14:paraId="6AFBC603" w14:textId="336F0D4D" w:rsidR="00B56EC2" w:rsidRDefault="00B56EC2" w:rsidP="001A4B15">
      <w:pPr>
        <w:numPr>
          <w:ilvl w:val="0"/>
          <w:numId w:val="12"/>
        </w:numPr>
      </w:pPr>
      <w:r>
        <w:t>FICO's innovation initiatives (Direct License, 10T, UltraFICO) partially offset the threat but take time to scale</w:t>
      </w:r>
    </w:p>
    <w:p w14:paraId="3065A2FE" w14:textId="5195163A" w:rsidR="00B80B6F" w:rsidRDefault="00B56EC2" w:rsidP="001A4B15">
      <w:pPr>
        <w:numPr>
          <w:ilvl w:val="0"/>
          <w:numId w:val="12"/>
        </w:numPr>
        <w:rPr>
          <w:rFonts w:ascii="Times New Roman" w:hAnsi="Times New Roman" w:cs="Times New Roman"/>
        </w:rPr>
      </w:pPr>
      <w:r>
        <w:t xml:space="preserve">We would become more </w:t>
      </w:r>
      <w:r w:rsidR="00407D16">
        <w:t>interested</w:t>
      </w:r>
      <w:r>
        <w:t xml:space="preserve"> </w:t>
      </w:r>
      <w:r w:rsidR="00407D16">
        <w:t>if FICO dropped</w:t>
      </w:r>
      <w:r>
        <w:t xml:space="preserve"> below $</w:t>
      </w:r>
      <w:r w:rsidR="005D2D04">
        <w:t>7</w:t>
      </w:r>
      <w:r>
        <w:t>00-$</w:t>
      </w:r>
      <w:r w:rsidR="005D2D04">
        <w:t>85</w:t>
      </w:r>
      <w:r>
        <w:t>0, which would provide a margin of safety</w:t>
      </w:r>
      <w:r>
        <w:br/>
      </w:r>
      <w:r>
        <w:br/>
      </w:r>
      <w:r w:rsidR="006376B1" w:rsidRPr="0C8A9863">
        <w:rPr>
          <w:rFonts w:ascii="Times New Roman" w:hAnsi="Times New Roman" w:cs="Times New Roman"/>
        </w:rPr>
        <w:t xml:space="preserve">Final Recommendation: </w:t>
      </w:r>
      <w:r w:rsidRPr="0C8A9863">
        <w:rPr>
          <w:rFonts w:ascii="Times New Roman" w:hAnsi="Times New Roman" w:cs="Times New Roman"/>
        </w:rPr>
        <w:t>HOLD</w:t>
      </w:r>
      <w:r>
        <w:br/>
      </w:r>
      <w:r w:rsidR="00A61F7F" w:rsidRPr="0C8A9863">
        <w:rPr>
          <w:rFonts w:ascii="Times New Roman" w:hAnsi="Times New Roman" w:cs="Times New Roman"/>
        </w:rPr>
        <w:t>5</w:t>
      </w:r>
      <w:r w:rsidR="00482E42" w:rsidRPr="0C8A9863">
        <w:rPr>
          <w:rFonts w:ascii="Times New Roman" w:hAnsi="Times New Roman" w:cs="Times New Roman"/>
        </w:rPr>
        <w:t xml:space="preserve">-Year </w:t>
      </w:r>
      <w:r w:rsidR="006376B1" w:rsidRPr="0C8A9863">
        <w:rPr>
          <w:rFonts w:ascii="Times New Roman" w:hAnsi="Times New Roman" w:cs="Times New Roman"/>
        </w:rPr>
        <w:t>Target Price: $</w:t>
      </w:r>
      <w:r w:rsidR="00A61F7F" w:rsidRPr="0C8A9863">
        <w:rPr>
          <w:rFonts w:ascii="Times New Roman" w:hAnsi="Times New Roman" w:cs="Times New Roman"/>
        </w:rPr>
        <w:t>1,</w:t>
      </w:r>
      <w:r w:rsidR="00182C56">
        <w:rPr>
          <w:rFonts w:ascii="Times New Roman" w:hAnsi="Times New Roman" w:cs="Times New Roman"/>
        </w:rPr>
        <w:t>279</w:t>
      </w:r>
      <w:r w:rsidR="00973E04">
        <w:rPr>
          <w:rFonts w:ascii="Times New Roman" w:hAnsi="Times New Roman" w:cs="Times New Roman"/>
        </w:rPr>
        <w:t>.16</w:t>
      </w:r>
      <w:r>
        <w:br/>
      </w:r>
      <w:r w:rsidR="006376B1" w:rsidRPr="0C8A9863">
        <w:rPr>
          <w:rFonts w:ascii="Times New Roman" w:hAnsi="Times New Roman" w:cs="Times New Roman"/>
        </w:rPr>
        <w:t xml:space="preserve">Expected </w:t>
      </w:r>
      <w:r w:rsidR="00F42112" w:rsidRPr="0C8A9863">
        <w:rPr>
          <w:rFonts w:ascii="Times New Roman" w:hAnsi="Times New Roman" w:cs="Times New Roman"/>
        </w:rPr>
        <w:t>CAGR</w:t>
      </w:r>
      <w:r w:rsidR="006376B1" w:rsidRPr="0C8A9863">
        <w:rPr>
          <w:rFonts w:ascii="Times New Roman" w:hAnsi="Times New Roman" w:cs="Times New Roman"/>
        </w:rPr>
        <w:t xml:space="preserve"> through FY2030</w:t>
      </w:r>
      <w:r w:rsidR="00F42112" w:rsidRPr="0C8A9863">
        <w:rPr>
          <w:rFonts w:ascii="Times New Roman" w:hAnsi="Times New Roman" w:cs="Times New Roman"/>
        </w:rPr>
        <w:t>: ~</w:t>
      </w:r>
      <w:r w:rsidR="00973E04">
        <w:rPr>
          <w:rFonts w:ascii="Times New Roman" w:hAnsi="Times New Roman" w:cs="Times New Roman"/>
        </w:rPr>
        <w:t>2</w:t>
      </w:r>
      <w:r w:rsidR="00F42112" w:rsidRPr="0C8A9863">
        <w:rPr>
          <w:rFonts w:ascii="Times New Roman" w:hAnsi="Times New Roman" w:cs="Times New Roman"/>
        </w:rPr>
        <w:t>%</w:t>
      </w:r>
    </w:p>
    <w:p w14:paraId="6193D756" w14:textId="3EB6B4CE" w:rsidR="00521073" w:rsidRDefault="0EC6BBA1" w:rsidP="0C8A9863">
      <w:r>
        <w:rPr>
          <w:noProof/>
        </w:rPr>
        <w:drawing>
          <wp:inline distT="0" distB="0" distL="0" distR="0" wp14:anchorId="6C0616D8" wp14:editId="308F914E">
            <wp:extent cx="2156184" cy="2286076"/>
            <wp:effectExtent l="0" t="0" r="0" b="0"/>
            <wp:docPr id="750782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2124" name="Picture 750782124"/>
                    <pic:cNvPicPr/>
                  </pic:nvPicPr>
                  <pic:blipFill>
                    <a:blip r:embed="rId11">
                      <a:extLst>
                        <a:ext uri="{28A0092B-C50C-407E-A947-70E740481C1C}">
                          <a14:useLocalDpi xmlns:a14="http://schemas.microsoft.com/office/drawing/2010/main"/>
                        </a:ext>
                      </a:extLst>
                    </a:blip>
                    <a:stretch>
                      <a:fillRect/>
                    </a:stretch>
                  </pic:blipFill>
                  <pic:spPr>
                    <a:xfrm>
                      <a:off x="0" y="0"/>
                      <a:ext cx="2156184" cy="2286076"/>
                    </a:xfrm>
                    <a:prstGeom prst="rect">
                      <a:avLst/>
                    </a:prstGeom>
                  </pic:spPr>
                </pic:pic>
              </a:graphicData>
            </a:graphic>
          </wp:inline>
        </w:drawing>
      </w:r>
    </w:p>
    <w:p w14:paraId="1C0E46B6" w14:textId="55653B15" w:rsidR="00503EF1" w:rsidRDefault="0BE714A5">
      <w:pPr>
        <w:sectPr w:rsidR="00503EF1" w:rsidSect="002A6F30">
          <w:headerReference w:type="default" r:id="rId12"/>
          <w:footerReference w:type="default" r:id="rId13"/>
          <w:pgSz w:w="12240" w:h="15840"/>
          <w:pgMar w:top="1440" w:right="1800" w:bottom="1440" w:left="1800" w:header="720" w:footer="720" w:gutter="0"/>
          <w:cols w:num="2" w:space="720"/>
          <w:docGrid w:linePitch="360"/>
        </w:sectPr>
      </w:pPr>
      <w:r>
        <w:rPr>
          <w:noProof/>
        </w:rPr>
        <w:drawing>
          <wp:inline distT="0" distB="0" distL="0" distR="0" wp14:anchorId="728F7045" wp14:editId="03772F55">
            <wp:extent cx="2114498" cy="1617977"/>
            <wp:effectExtent l="0" t="0" r="0" b="0"/>
            <wp:docPr id="304776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76234" name="Picture 304776234"/>
                    <pic:cNvPicPr/>
                  </pic:nvPicPr>
                  <pic:blipFill>
                    <a:blip r:embed="rId14">
                      <a:extLst>
                        <a:ext uri="{28A0092B-C50C-407E-A947-70E740481C1C}">
                          <a14:useLocalDpi xmlns:a14="http://schemas.microsoft.com/office/drawing/2010/main"/>
                        </a:ext>
                      </a:extLst>
                    </a:blip>
                    <a:stretch>
                      <a:fillRect/>
                    </a:stretch>
                  </pic:blipFill>
                  <pic:spPr>
                    <a:xfrm>
                      <a:off x="0" y="0"/>
                      <a:ext cx="2114498" cy="1617977"/>
                    </a:xfrm>
                    <a:prstGeom prst="rect">
                      <a:avLst/>
                    </a:prstGeom>
                  </pic:spPr>
                </pic:pic>
              </a:graphicData>
            </a:graphic>
          </wp:inline>
        </w:drawing>
      </w:r>
    </w:p>
    <w:p w14:paraId="04C1534C" w14:textId="5D452000" w:rsidR="00C63DE7" w:rsidRDefault="00C63DE7" w:rsidP="00C63DE7">
      <w:pPr>
        <w:pStyle w:val="Heading1"/>
        <w:jc w:val="center"/>
      </w:pPr>
      <w:r>
        <w:t>Appendix</w:t>
      </w:r>
    </w:p>
    <w:p w14:paraId="729634AF" w14:textId="63A1076C" w:rsidR="00EA594B" w:rsidRDefault="00EA594B" w:rsidP="00EA594B">
      <w:pPr>
        <w:rPr>
          <w:rFonts w:ascii="Times New Roman" w:hAnsi="Times New Roman" w:cs="Times New Roman"/>
          <w:b/>
          <w:bCs/>
          <w:u w:val="single"/>
        </w:rPr>
      </w:pPr>
      <w:r>
        <w:rPr>
          <w:rFonts w:ascii="Times New Roman" w:hAnsi="Times New Roman" w:cs="Times New Roman"/>
          <w:b/>
          <w:bCs/>
          <w:u w:val="single"/>
        </w:rPr>
        <w:t xml:space="preserve">Key </w:t>
      </w:r>
      <w:r w:rsidR="009F448B">
        <w:rPr>
          <w:rFonts w:ascii="Times New Roman" w:hAnsi="Times New Roman" w:cs="Times New Roman"/>
          <w:b/>
          <w:bCs/>
          <w:u w:val="single"/>
        </w:rPr>
        <w:t xml:space="preserve">10-K </w:t>
      </w:r>
      <w:r>
        <w:rPr>
          <w:rFonts w:ascii="Times New Roman" w:hAnsi="Times New Roman" w:cs="Times New Roman"/>
          <w:b/>
          <w:bCs/>
          <w:u w:val="single"/>
        </w:rPr>
        <w:t>Financial</w:t>
      </w:r>
      <w:r w:rsidR="009F448B">
        <w:rPr>
          <w:rFonts w:ascii="Times New Roman" w:hAnsi="Times New Roman" w:cs="Times New Roman"/>
          <w:b/>
          <w:bCs/>
          <w:u w:val="single"/>
        </w:rPr>
        <w:t xml:space="preserve"> Statements</w:t>
      </w:r>
      <w:r w:rsidR="00D70454">
        <w:rPr>
          <w:rFonts w:ascii="Times New Roman" w:hAnsi="Times New Roman" w:cs="Times New Roman"/>
          <w:b/>
          <w:bCs/>
          <w:u w:val="single"/>
        </w:rPr>
        <w:t>:</w:t>
      </w:r>
      <w:r w:rsidR="00CE6525">
        <w:br/>
      </w:r>
      <w:r w:rsidR="00CE6525">
        <w:br/>
      </w:r>
      <w:r w:rsidR="00CE6525">
        <w:rPr>
          <w:rFonts w:ascii="Times New Roman" w:hAnsi="Times New Roman" w:cs="Times New Roman"/>
          <w:b/>
          <w:bCs/>
          <w:u w:val="single"/>
        </w:rPr>
        <w:t>Consolidated Balance Sheets</w:t>
      </w:r>
    </w:p>
    <w:p w14:paraId="7BAEF0FA" w14:textId="425ECFEF" w:rsidR="00EA594B" w:rsidRDefault="757D1B75">
      <w:r>
        <w:rPr>
          <w:noProof/>
        </w:rPr>
        <w:drawing>
          <wp:inline distT="0" distB="0" distL="0" distR="0" wp14:anchorId="5886C958" wp14:editId="3E25933B">
            <wp:extent cx="6027611" cy="5410200"/>
            <wp:effectExtent l="0" t="0" r="0" b="0"/>
            <wp:docPr id="551545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5687" name="Picture 551545687"/>
                    <pic:cNvPicPr/>
                  </pic:nvPicPr>
                  <pic:blipFill>
                    <a:blip r:embed="rId15">
                      <a:extLst>
                        <a:ext uri="{28A0092B-C50C-407E-A947-70E740481C1C}">
                          <a14:useLocalDpi xmlns:a14="http://schemas.microsoft.com/office/drawing/2010/main"/>
                        </a:ext>
                      </a:extLst>
                    </a:blip>
                    <a:stretch>
                      <a:fillRect/>
                    </a:stretch>
                  </pic:blipFill>
                  <pic:spPr>
                    <a:xfrm>
                      <a:off x="0" y="0"/>
                      <a:ext cx="6039201" cy="5420603"/>
                    </a:xfrm>
                    <a:prstGeom prst="rect">
                      <a:avLst/>
                    </a:prstGeom>
                  </pic:spPr>
                </pic:pic>
              </a:graphicData>
            </a:graphic>
          </wp:inline>
        </w:drawing>
      </w:r>
    </w:p>
    <w:p w14:paraId="04C21996" w14:textId="5B697233" w:rsidR="002D56EC" w:rsidRDefault="00CE6525">
      <w:bookmarkStart w:id="0" w:name="_Hlk216097896"/>
      <w:r>
        <w:rPr>
          <w:rFonts w:ascii="Times New Roman" w:hAnsi="Times New Roman" w:cs="Times New Roman"/>
          <w:b/>
          <w:bCs/>
          <w:u w:val="single"/>
        </w:rPr>
        <w:t xml:space="preserve">Consolidated Statements of </w:t>
      </w:r>
      <w:r w:rsidR="17347BFE" w:rsidRPr="1BDBD57B">
        <w:rPr>
          <w:rFonts w:ascii="Times New Roman" w:hAnsi="Times New Roman" w:cs="Times New Roman"/>
          <w:b/>
          <w:bCs/>
          <w:u w:val="single"/>
        </w:rPr>
        <w:t xml:space="preserve">Income and </w:t>
      </w:r>
      <w:r>
        <w:rPr>
          <w:rFonts w:ascii="Times New Roman" w:hAnsi="Times New Roman" w:cs="Times New Roman"/>
          <w:b/>
          <w:bCs/>
          <w:u w:val="single"/>
        </w:rPr>
        <w:t>Comprehensive Income</w:t>
      </w:r>
      <w:r w:rsidRPr="002D56EC">
        <w:rPr>
          <w:rFonts w:ascii="Times New Roman" w:hAnsi="Times New Roman" w:cs="Times New Roman"/>
          <w:b/>
          <w:bCs/>
          <w:u w:val="single"/>
        </w:rPr>
        <w:t xml:space="preserve"> </w:t>
      </w:r>
      <w:bookmarkEnd w:id="0"/>
      <w:r w:rsidR="6381EB75">
        <w:rPr>
          <w:noProof/>
        </w:rPr>
        <w:drawing>
          <wp:inline distT="0" distB="0" distL="0" distR="0" wp14:anchorId="5F138DA0" wp14:editId="5A82E407">
            <wp:extent cx="6039084" cy="4267200"/>
            <wp:effectExtent l="0" t="0" r="0" b="0"/>
            <wp:docPr id="415434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4584" name="Picture 415434584"/>
                    <pic:cNvPicPr/>
                  </pic:nvPicPr>
                  <pic:blipFill>
                    <a:blip r:embed="rId16">
                      <a:extLst>
                        <a:ext uri="{28A0092B-C50C-407E-A947-70E740481C1C}">
                          <a14:useLocalDpi xmlns:a14="http://schemas.microsoft.com/office/drawing/2010/main"/>
                        </a:ext>
                      </a:extLst>
                    </a:blip>
                    <a:stretch>
                      <a:fillRect/>
                    </a:stretch>
                  </pic:blipFill>
                  <pic:spPr>
                    <a:xfrm>
                      <a:off x="0" y="0"/>
                      <a:ext cx="6043419" cy="4270263"/>
                    </a:xfrm>
                    <a:prstGeom prst="rect">
                      <a:avLst/>
                    </a:prstGeom>
                  </pic:spPr>
                </pic:pic>
              </a:graphicData>
            </a:graphic>
          </wp:inline>
        </w:drawing>
      </w:r>
    </w:p>
    <w:p w14:paraId="0E536CAE" w14:textId="2A76F44F" w:rsidR="00CE6525" w:rsidRDefault="00CE6525">
      <w:r>
        <w:rPr>
          <w:rFonts w:ascii="Times New Roman" w:hAnsi="Times New Roman" w:cs="Times New Roman"/>
          <w:b/>
          <w:bCs/>
          <w:u w:val="single"/>
        </w:rPr>
        <w:t>Consolidated Statements of Cash Flows</w:t>
      </w:r>
      <w:r w:rsidR="31F372A4">
        <w:rPr>
          <w:noProof/>
        </w:rPr>
        <w:drawing>
          <wp:inline distT="0" distB="0" distL="0" distR="0" wp14:anchorId="6E0C4B4D" wp14:editId="07C15450">
            <wp:extent cx="5865564" cy="6315075"/>
            <wp:effectExtent l="0" t="0" r="1905" b="0"/>
            <wp:docPr id="1889006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06965" name="Picture 1889006965"/>
                    <pic:cNvPicPr/>
                  </pic:nvPicPr>
                  <pic:blipFill>
                    <a:blip r:embed="rId17">
                      <a:extLst>
                        <a:ext uri="{28A0092B-C50C-407E-A947-70E740481C1C}">
                          <a14:useLocalDpi xmlns:a14="http://schemas.microsoft.com/office/drawing/2010/main"/>
                        </a:ext>
                      </a:extLst>
                    </a:blip>
                    <a:stretch>
                      <a:fillRect/>
                    </a:stretch>
                  </pic:blipFill>
                  <pic:spPr>
                    <a:xfrm>
                      <a:off x="0" y="0"/>
                      <a:ext cx="5872132" cy="6322146"/>
                    </a:xfrm>
                    <a:prstGeom prst="rect">
                      <a:avLst/>
                    </a:prstGeom>
                  </pic:spPr>
                </pic:pic>
              </a:graphicData>
            </a:graphic>
          </wp:inline>
        </w:drawing>
      </w:r>
    </w:p>
    <w:p w14:paraId="1AF414AB" w14:textId="77777777" w:rsidR="00D70454" w:rsidRDefault="00D70454">
      <w:pPr>
        <w:rPr>
          <w:rFonts w:ascii="Times New Roman" w:hAnsi="Times New Roman" w:cs="Times New Roman"/>
          <w:b/>
          <w:bCs/>
          <w:u w:val="single"/>
        </w:rPr>
      </w:pPr>
    </w:p>
    <w:p w14:paraId="71E90D52" w14:textId="77777777" w:rsidR="00D70454" w:rsidRDefault="00D70454">
      <w:pPr>
        <w:rPr>
          <w:rFonts w:ascii="Times New Roman" w:hAnsi="Times New Roman" w:cs="Times New Roman"/>
          <w:b/>
          <w:bCs/>
          <w:u w:val="single"/>
        </w:rPr>
      </w:pPr>
    </w:p>
    <w:p w14:paraId="61770DF0" w14:textId="77777777" w:rsidR="00D70454" w:rsidRDefault="00D70454">
      <w:pPr>
        <w:rPr>
          <w:rFonts w:ascii="Times New Roman" w:hAnsi="Times New Roman" w:cs="Times New Roman"/>
          <w:b/>
          <w:bCs/>
          <w:u w:val="single"/>
        </w:rPr>
      </w:pPr>
    </w:p>
    <w:p w14:paraId="5C88362F" w14:textId="77777777" w:rsidR="00D70454" w:rsidRDefault="00D70454">
      <w:pPr>
        <w:rPr>
          <w:rFonts w:ascii="Times New Roman" w:hAnsi="Times New Roman" w:cs="Times New Roman"/>
          <w:b/>
          <w:bCs/>
          <w:u w:val="single"/>
        </w:rPr>
      </w:pPr>
    </w:p>
    <w:p w14:paraId="00F55E00" w14:textId="4F0BF1CF" w:rsidR="009F448B" w:rsidRDefault="009F448B">
      <w:pPr>
        <w:rPr>
          <w:rFonts w:ascii="Times New Roman" w:hAnsi="Times New Roman" w:cs="Times New Roman"/>
          <w:b/>
          <w:bCs/>
          <w:u w:val="single"/>
        </w:rPr>
      </w:pPr>
      <w:r>
        <w:rPr>
          <w:rFonts w:ascii="Times New Roman" w:hAnsi="Times New Roman" w:cs="Times New Roman"/>
          <w:b/>
          <w:bCs/>
          <w:u w:val="single"/>
        </w:rPr>
        <w:t>Additional Financial</w:t>
      </w:r>
      <w:r w:rsidR="003D7CE0">
        <w:rPr>
          <w:rFonts w:ascii="Times New Roman" w:hAnsi="Times New Roman" w:cs="Times New Roman"/>
          <w:b/>
          <w:bCs/>
          <w:u w:val="single"/>
        </w:rPr>
        <w:t xml:space="preserve"> Analysis:</w:t>
      </w:r>
    </w:p>
    <w:p w14:paraId="2B122806" w14:textId="733630A7" w:rsidR="00EA594B" w:rsidRPr="00EA594B" w:rsidRDefault="00652F78">
      <w:pPr>
        <w:rPr>
          <w:rFonts w:ascii="Times New Roman" w:hAnsi="Times New Roman" w:cs="Times New Roman"/>
          <w:b/>
          <w:bCs/>
          <w:u w:val="single"/>
        </w:rPr>
      </w:pPr>
      <w:r w:rsidRPr="00503EF1">
        <w:rPr>
          <w:rFonts w:ascii="Times New Roman" w:hAnsi="Times New Roman" w:cs="Times New Roman"/>
          <w:b/>
          <w:bCs/>
          <w:u w:val="single"/>
        </w:rPr>
        <w:t>CapIQ </w:t>
      </w:r>
      <w:r>
        <w:rPr>
          <w:rFonts w:ascii="Times New Roman" w:hAnsi="Times New Roman" w:cs="Times New Roman"/>
          <w:b/>
          <w:bCs/>
          <w:u w:val="single"/>
        </w:rPr>
        <w:t xml:space="preserve">Stock Price </w:t>
      </w:r>
      <w:r w:rsidRPr="00503EF1">
        <w:rPr>
          <w:rFonts w:ascii="Times New Roman" w:hAnsi="Times New Roman" w:cs="Times New Roman"/>
          <w:b/>
          <w:bCs/>
          <w:u w:val="single"/>
        </w:rPr>
        <w:t>Graph</w:t>
      </w:r>
    </w:p>
    <w:p w14:paraId="57A1861A" w14:textId="1F37F3A0" w:rsidR="00521073" w:rsidRDefault="5EEBC26A">
      <w:r>
        <w:rPr>
          <w:noProof/>
        </w:rPr>
        <w:drawing>
          <wp:inline distT="0" distB="0" distL="0" distR="0" wp14:anchorId="7650977D" wp14:editId="34BFF886">
            <wp:extent cx="5715000" cy="1847850"/>
            <wp:effectExtent l="0" t="0" r="0" b="0"/>
            <wp:docPr id="163119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9966" name="Picture 1631199966"/>
                    <pic:cNvPicPr/>
                  </pic:nvPicPr>
                  <pic:blipFill>
                    <a:blip r:embed="rId18">
                      <a:extLst>
                        <a:ext uri="{28A0092B-C50C-407E-A947-70E740481C1C}">
                          <a14:useLocalDpi xmlns:a14="http://schemas.microsoft.com/office/drawing/2010/main"/>
                        </a:ext>
                      </a:extLst>
                    </a:blip>
                    <a:stretch>
                      <a:fillRect/>
                    </a:stretch>
                  </pic:blipFill>
                  <pic:spPr>
                    <a:xfrm>
                      <a:off x="0" y="0"/>
                      <a:ext cx="5715000" cy="1847850"/>
                    </a:xfrm>
                    <a:prstGeom prst="rect">
                      <a:avLst/>
                    </a:prstGeom>
                  </pic:spPr>
                </pic:pic>
              </a:graphicData>
            </a:graphic>
          </wp:inline>
        </w:drawing>
      </w:r>
      <w:r w:rsidR="00503EF1">
        <w:br/>
      </w:r>
      <w:r w:rsidR="00652F78">
        <w:rPr>
          <w:rFonts w:ascii="Times New Roman" w:hAnsi="Times New Roman" w:cs="Times New Roman"/>
          <w:b/>
          <w:bCs/>
          <w:u w:val="single"/>
        </w:rPr>
        <w:t>Competitor Metrics Table</w:t>
      </w:r>
      <w:r w:rsidR="00503EF1">
        <w:br/>
      </w:r>
      <w:r w:rsidR="318E4C86">
        <w:rPr>
          <w:noProof/>
        </w:rPr>
        <w:drawing>
          <wp:inline distT="0" distB="0" distL="0" distR="0" wp14:anchorId="42410CBB" wp14:editId="0D86D452">
            <wp:extent cx="6017342" cy="2266950"/>
            <wp:effectExtent l="0" t="0" r="2540" b="0"/>
            <wp:docPr id="1150427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302" name="Picture 1150427302"/>
                    <pic:cNvPicPr/>
                  </pic:nvPicPr>
                  <pic:blipFill>
                    <a:blip r:embed="rId19">
                      <a:extLst>
                        <a:ext uri="{28A0092B-C50C-407E-A947-70E740481C1C}">
                          <a14:useLocalDpi xmlns:a14="http://schemas.microsoft.com/office/drawing/2010/main"/>
                        </a:ext>
                      </a:extLst>
                    </a:blip>
                    <a:stretch>
                      <a:fillRect/>
                    </a:stretch>
                  </pic:blipFill>
                  <pic:spPr>
                    <a:xfrm>
                      <a:off x="0" y="0"/>
                      <a:ext cx="6020943" cy="2268307"/>
                    </a:xfrm>
                    <a:prstGeom prst="rect">
                      <a:avLst/>
                    </a:prstGeom>
                  </pic:spPr>
                </pic:pic>
              </a:graphicData>
            </a:graphic>
          </wp:inline>
        </w:drawing>
      </w:r>
    </w:p>
    <w:p w14:paraId="5ACDCCA9" w14:textId="77777777" w:rsidR="006311DB" w:rsidRDefault="006311DB">
      <w:pPr>
        <w:rPr>
          <w:rFonts w:ascii="Times New Roman" w:hAnsi="Times New Roman" w:cs="Times New Roman"/>
          <w:b/>
          <w:bCs/>
          <w:u w:val="single"/>
        </w:rPr>
      </w:pPr>
    </w:p>
    <w:p w14:paraId="1177589C" w14:textId="77777777" w:rsidR="006311DB" w:rsidRDefault="006311DB">
      <w:pPr>
        <w:rPr>
          <w:rFonts w:ascii="Times New Roman" w:hAnsi="Times New Roman" w:cs="Times New Roman"/>
          <w:b/>
          <w:bCs/>
          <w:u w:val="single"/>
        </w:rPr>
      </w:pPr>
    </w:p>
    <w:p w14:paraId="4F448348" w14:textId="77777777" w:rsidR="006311DB" w:rsidRDefault="006311DB">
      <w:pPr>
        <w:rPr>
          <w:rFonts w:ascii="Times New Roman" w:hAnsi="Times New Roman" w:cs="Times New Roman"/>
          <w:b/>
          <w:bCs/>
          <w:u w:val="single"/>
        </w:rPr>
      </w:pPr>
    </w:p>
    <w:p w14:paraId="06C4748D" w14:textId="77777777" w:rsidR="006311DB" w:rsidRDefault="006311DB">
      <w:pPr>
        <w:rPr>
          <w:rFonts w:ascii="Times New Roman" w:hAnsi="Times New Roman" w:cs="Times New Roman"/>
          <w:b/>
          <w:bCs/>
          <w:u w:val="single"/>
        </w:rPr>
      </w:pPr>
    </w:p>
    <w:p w14:paraId="5F9F15C9" w14:textId="12B567DF" w:rsidR="00A26274" w:rsidRDefault="00A26274">
      <w:pPr>
        <w:rPr>
          <w:rFonts w:ascii="Times New Roman" w:hAnsi="Times New Roman" w:cs="Times New Roman"/>
          <w:b/>
          <w:bCs/>
          <w:u w:val="single"/>
        </w:rPr>
      </w:pPr>
      <w:r>
        <w:rPr>
          <w:rFonts w:ascii="Times New Roman" w:hAnsi="Times New Roman" w:cs="Times New Roman"/>
          <w:b/>
          <w:bCs/>
          <w:u w:val="single"/>
        </w:rPr>
        <w:br w:type="page"/>
      </w:r>
    </w:p>
    <w:p w14:paraId="374D2A69" w14:textId="430BBD3C" w:rsidR="00A565EE" w:rsidRDefault="00A565EE">
      <w:pPr>
        <w:rPr>
          <w:rFonts w:ascii="Times New Roman" w:hAnsi="Times New Roman" w:cs="Times New Roman"/>
          <w:b/>
          <w:bCs/>
          <w:u w:val="single"/>
        </w:rPr>
      </w:pPr>
      <w:r>
        <w:rPr>
          <w:rFonts w:ascii="Times New Roman" w:hAnsi="Times New Roman" w:cs="Times New Roman"/>
          <w:b/>
          <w:bCs/>
          <w:u w:val="single"/>
        </w:rPr>
        <w:t>P</w:t>
      </w:r>
      <w:r w:rsidR="00C837A4">
        <w:rPr>
          <w:rFonts w:ascii="Times New Roman" w:hAnsi="Times New Roman" w:cs="Times New Roman"/>
          <w:b/>
          <w:bCs/>
          <w:u w:val="single"/>
        </w:rPr>
        <w:t>/E Bands</w:t>
      </w:r>
    </w:p>
    <w:p w14:paraId="6C78AE26" w14:textId="57AFB8F9" w:rsidR="00A565EE" w:rsidRDefault="3122F4A6">
      <w:r>
        <w:rPr>
          <w:noProof/>
        </w:rPr>
        <w:drawing>
          <wp:inline distT="0" distB="0" distL="0" distR="0" wp14:anchorId="03C4DE85" wp14:editId="3DF1AD0F">
            <wp:extent cx="5486400" cy="2895600"/>
            <wp:effectExtent l="0" t="0" r="0" b="0"/>
            <wp:docPr id="626672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2687" name="Picture 626672687"/>
                    <pic:cNvPicPr/>
                  </pic:nvPicPr>
                  <pic:blipFill>
                    <a:blip r:embed="rId20">
                      <a:extLst>
                        <a:ext uri="{28A0092B-C50C-407E-A947-70E740481C1C}">
                          <a14:useLocalDpi xmlns:a14="http://schemas.microsoft.com/office/drawing/2010/main"/>
                        </a:ext>
                      </a:extLst>
                    </a:blip>
                    <a:stretch>
                      <a:fillRect/>
                    </a:stretch>
                  </pic:blipFill>
                  <pic:spPr>
                    <a:xfrm>
                      <a:off x="0" y="0"/>
                      <a:ext cx="5486400" cy="2895600"/>
                    </a:xfrm>
                    <a:prstGeom prst="rect">
                      <a:avLst/>
                    </a:prstGeom>
                  </pic:spPr>
                </pic:pic>
              </a:graphicData>
            </a:graphic>
          </wp:inline>
        </w:drawing>
      </w:r>
    </w:p>
    <w:p w14:paraId="17BFC490" w14:textId="3C1577E9" w:rsidR="00B51F05" w:rsidRDefault="00B51F05">
      <w:r>
        <w:rPr>
          <w:rFonts w:ascii="Times New Roman" w:hAnsi="Times New Roman" w:cs="Times New Roman"/>
          <w:b/>
          <w:bCs/>
          <w:u w:val="single"/>
        </w:rPr>
        <w:t>Earnings Estimate Graphs</w:t>
      </w:r>
      <w:r w:rsidR="5D74E0A5">
        <w:rPr>
          <w:noProof/>
        </w:rPr>
        <w:drawing>
          <wp:inline distT="0" distB="0" distL="0" distR="0" wp14:anchorId="4C082C84" wp14:editId="6A82292E">
            <wp:extent cx="5486400" cy="2733675"/>
            <wp:effectExtent l="0" t="0" r="0" b="0"/>
            <wp:docPr id="219645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45935" name="Picture 219645935"/>
                    <pic:cNvPicPr/>
                  </pic:nvPicPr>
                  <pic:blipFill>
                    <a:blip r:embed="rId21">
                      <a:extLst>
                        <a:ext uri="{28A0092B-C50C-407E-A947-70E740481C1C}">
                          <a14:useLocalDpi xmlns:a14="http://schemas.microsoft.com/office/drawing/2010/main"/>
                        </a:ext>
                      </a:extLst>
                    </a:blip>
                    <a:stretch>
                      <a:fillRect/>
                    </a:stretch>
                  </pic:blipFill>
                  <pic:spPr>
                    <a:xfrm>
                      <a:off x="0" y="0"/>
                      <a:ext cx="5486400" cy="2733675"/>
                    </a:xfrm>
                    <a:prstGeom prst="rect">
                      <a:avLst/>
                    </a:prstGeom>
                  </pic:spPr>
                </pic:pic>
              </a:graphicData>
            </a:graphic>
          </wp:inline>
        </w:drawing>
      </w:r>
    </w:p>
    <w:p w14:paraId="149AD79E" w14:textId="54C62B89" w:rsidR="00B51F05" w:rsidRDefault="00B51F05"/>
    <w:p w14:paraId="69FE7152" w14:textId="0D30454B" w:rsidR="00521073" w:rsidRDefault="00D764FD">
      <w:r w:rsidRPr="00D764FD">
        <w:rPr>
          <w:rFonts w:ascii="Times New Roman" w:hAnsi="Times New Roman" w:cs="Times New Roman"/>
          <w:b/>
          <w:bCs/>
          <w:u w:val="single"/>
        </w:rPr>
        <w:t>Analyst Recommendations</w:t>
      </w:r>
      <w:r w:rsidR="6B9777D0">
        <w:rPr>
          <w:noProof/>
        </w:rPr>
        <w:drawing>
          <wp:inline distT="0" distB="0" distL="0" distR="0" wp14:anchorId="5B351F45" wp14:editId="7D47BEAF">
            <wp:extent cx="5486400" cy="3362325"/>
            <wp:effectExtent l="0" t="0" r="0" b="0"/>
            <wp:docPr id="1655793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3949" name="Picture 1655793949"/>
                    <pic:cNvPicPr/>
                  </pic:nvPicPr>
                  <pic:blipFill>
                    <a:blip r:embed="rId22">
                      <a:extLst>
                        <a:ext uri="{28A0092B-C50C-407E-A947-70E740481C1C}">
                          <a14:useLocalDpi xmlns:a14="http://schemas.microsoft.com/office/drawing/2010/main"/>
                        </a:ext>
                      </a:extLst>
                    </a:blip>
                    <a:stretch>
                      <a:fillRect/>
                    </a:stretch>
                  </pic:blipFill>
                  <pic:spPr>
                    <a:xfrm>
                      <a:off x="0" y="0"/>
                      <a:ext cx="5486400" cy="3362325"/>
                    </a:xfrm>
                    <a:prstGeom prst="rect">
                      <a:avLst/>
                    </a:prstGeom>
                  </pic:spPr>
                </pic:pic>
              </a:graphicData>
            </a:graphic>
          </wp:inline>
        </w:drawing>
      </w:r>
    </w:p>
    <w:p w14:paraId="6ABB8124" w14:textId="77777777" w:rsidR="00503EF1" w:rsidRDefault="00503EF1">
      <w:pPr>
        <w:rPr>
          <w:rFonts w:ascii="Times New Roman" w:hAnsi="Times New Roman" w:cs="Times New Roman"/>
        </w:rPr>
        <w:sectPr w:rsidR="00503EF1" w:rsidSect="00503EF1">
          <w:type w:val="continuous"/>
          <w:pgSz w:w="12240" w:h="15840"/>
          <w:pgMar w:top="1440" w:right="1800" w:bottom="1440" w:left="1800" w:header="720" w:footer="720" w:gutter="0"/>
          <w:cols w:space="720"/>
          <w:docGrid w:linePitch="360"/>
        </w:sectPr>
      </w:pPr>
    </w:p>
    <w:p w14:paraId="14623E12" w14:textId="77777777" w:rsidR="006311DB" w:rsidRDefault="006311DB">
      <w:pPr>
        <w:rPr>
          <w:rFonts w:ascii="Times New Roman" w:hAnsi="Times New Roman" w:cs="Times New Roman"/>
          <w:b/>
          <w:bCs/>
          <w:u w:val="single"/>
        </w:rPr>
      </w:pPr>
      <w:r>
        <w:rPr>
          <w:rFonts w:ascii="Times New Roman" w:hAnsi="Times New Roman" w:cs="Times New Roman"/>
          <w:b/>
          <w:bCs/>
          <w:u w:val="single"/>
        </w:rPr>
        <w:br w:type="page"/>
      </w:r>
    </w:p>
    <w:p w14:paraId="75C93A37" w14:textId="3BB142A0" w:rsidR="00C63DE7" w:rsidRDefault="00A51C45" w:rsidP="00C63DE7">
      <w:pPr>
        <w:rPr>
          <w:rFonts w:ascii="Times New Roman" w:hAnsi="Times New Roman" w:cs="Times New Roman"/>
          <w:b/>
          <w:bCs/>
          <w:u w:val="single"/>
        </w:rPr>
      </w:pPr>
      <w:r>
        <w:rPr>
          <w:rFonts w:ascii="Times New Roman" w:hAnsi="Times New Roman" w:cs="Times New Roman"/>
          <w:b/>
          <w:bCs/>
          <w:u w:val="single"/>
        </w:rPr>
        <w:t>Revenue Analysis:</w:t>
      </w:r>
    </w:p>
    <w:p w14:paraId="7D400BAE" w14:textId="5E3432E3" w:rsidR="00C63DE7" w:rsidRDefault="00C63DE7" w:rsidP="00C63DE7">
      <w:pPr>
        <w:rPr>
          <w:rFonts w:ascii="Times New Roman" w:hAnsi="Times New Roman" w:cs="Times New Roman"/>
          <w:b/>
          <w:bCs/>
          <w:u w:val="single"/>
        </w:rPr>
        <w:sectPr w:rsidR="00C63DE7" w:rsidSect="00C63DE7">
          <w:type w:val="continuous"/>
          <w:pgSz w:w="12240" w:h="15840"/>
          <w:pgMar w:top="1440" w:right="1800" w:bottom="1440" w:left="1800" w:header="720" w:footer="720" w:gutter="0"/>
          <w:cols w:space="720"/>
          <w:docGrid w:linePitch="360"/>
        </w:sectPr>
      </w:pPr>
      <w:r w:rsidRPr="00016A43">
        <w:rPr>
          <w:rFonts w:ascii="Times New Roman" w:hAnsi="Times New Roman" w:cs="Times New Roman"/>
          <w:b/>
          <w:bCs/>
          <w:u w:val="single"/>
        </w:rPr>
        <w:t xml:space="preserve">Revenue by </w:t>
      </w:r>
      <w:r>
        <w:rPr>
          <w:rFonts w:ascii="Times New Roman" w:hAnsi="Times New Roman" w:cs="Times New Roman"/>
          <w:b/>
          <w:bCs/>
          <w:u w:val="single"/>
        </w:rPr>
        <w:t>Marke</w:t>
      </w:r>
      <w:r w:rsidR="006311DB">
        <w:rPr>
          <w:rFonts w:ascii="Times New Roman" w:hAnsi="Times New Roman" w:cs="Times New Roman"/>
          <w:b/>
          <w:bCs/>
          <w:u w:val="single"/>
        </w:rPr>
        <w:t>t</w:t>
      </w:r>
    </w:p>
    <w:p w14:paraId="40265953" w14:textId="77777777" w:rsidR="006311DB" w:rsidRDefault="006311DB" w:rsidP="00C63DE7">
      <w:pPr>
        <w:rPr>
          <w:noProof/>
        </w:rPr>
      </w:pPr>
    </w:p>
    <w:p w14:paraId="5ED11A22" w14:textId="65333100" w:rsidR="00C63DE7" w:rsidRDefault="60C1D24D" w:rsidP="00C63DE7">
      <w:r>
        <w:rPr>
          <w:noProof/>
        </w:rPr>
        <w:drawing>
          <wp:inline distT="0" distB="0" distL="0" distR="0" wp14:anchorId="36F7E084" wp14:editId="1FEEBE4D">
            <wp:extent cx="5948218" cy="1066800"/>
            <wp:effectExtent l="0" t="0" r="0" b="0"/>
            <wp:docPr id="593046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6531" name="Picture 593046531"/>
                    <pic:cNvPicPr/>
                  </pic:nvPicPr>
                  <pic:blipFill rotWithShape="1">
                    <a:blip r:embed="rId23">
                      <a:extLst>
                        <a:ext uri="{28A0092B-C50C-407E-A947-70E740481C1C}">
                          <a14:useLocalDpi xmlns:a14="http://schemas.microsoft.com/office/drawing/2010/main"/>
                        </a:ext>
                      </a:extLst>
                    </a:blip>
                    <a:srcRect l="1742" r="2090"/>
                    <a:stretch>
                      <a:fillRect/>
                    </a:stretch>
                  </pic:blipFill>
                  <pic:spPr bwMode="auto">
                    <a:xfrm>
                      <a:off x="0" y="0"/>
                      <a:ext cx="5949700" cy="1067066"/>
                    </a:xfrm>
                    <a:prstGeom prst="rect">
                      <a:avLst/>
                    </a:prstGeom>
                    <a:ln>
                      <a:noFill/>
                    </a:ln>
                    <a:extLst>
                      <a:ext uri="{53640926-AAD7-44D8-BBD7-CCE9431645EC}">
                        <a14:shadowObscured xmlns:a14="http://schemas.microsoft.com/office/drawing/2010/main"/>
                      </a:ext>
                    </a:extLst>
                  </pic:spPr>
                </pic:pic>
              </a:graphicData>
            </a:graphic>
          </wp:inline>
        </w:drawing>
      </w:r>
    </w:p>
    <w:p w14:paraId="371517FF" w14:textId="77777777" w:rsidR="00C63DE7" w:rsidRDefault="00C63DE7" w:rsidP="00C63DE7">
      <w:pPr>
        <w:rPr>
          <w:rFonts w:ascii="Times New Roman" w:hAnsi="Times New Roman" w:cs="Times New Roman"/>
          <w:b/>
          <w:bCs/>
          <w:u w:val="single"/>
        </w:rPr>
        <w:sectPr w:rsidR="00C63DE7" w:rsidSect="00C63DE7">
          <w:type w:val="continuous"/>
          <w:pgSz w:w="12240" w:h="15840"/>
          <w:pgMar w:top="1440" w:right="1800" w:bottom="1440" w:left="1800" w:header="720" w:footer="720" w:gutter="0"/>
          <w:cols w:space="720"/>
          <w:docGrid w:linePitch="360"/>
        </w:sectPr>
      </w:pPr>
    </w:p>
    <w:p w14:paraId="2716983A" w14:textId="77777777" w:rsidR="009200B6" w:rsidRDefault="00C63DE7" w:rsidP="00C63DE7">
      <w:pPr>
        <w:rPr>
          <w:rFonts w:ascii="Times New Roman" w:hAnsi="Times New Roman" w:cs="Times New Roman"/>
          <w:b/>
          <w:bCs/>
          <w:u w:val="single"/>
        </w:rPr>
        <w:sectPr w:rsidR="009200B6" w:rsidSect="009200B6">
          <w:type w:val="continuous"/>
          <w:pgSz w:w="12240" w:h="15840"/>
          <w:pgMar w:top="1440" w:right="1800" w:bottom="1440" w:left="1800" w:header="720" w:footer="720" w:gutter="0"/>
          <w:cols w:space="720"/>
          <w:docGrid w:linePitch="360"/>
        </w:sectPr>
      </w:pPr>
      <w:r w:rsidRPr="005A3E89">
        <w:rPr>
          <w:rFonts w:ascii="Times New Roman" w:hAnsi="Times New Roman" w:cs="Times New Roman"/>
          <w:b/>
          <w:bCs/>
          <w:u w:val="single"/>
        </w:rPr>
        <w:t>Revenue by Product</w:t>
      </w:r>
    </w:p>
    <w:p w14:paraId="1E13D819" w14:textId="03970BAE" w:rsidR="009200B6" w:rsidRDefault="2AA18CF8" w:rsidP="76B457B3">
      <w:r w:rsidRPr="113BAB3F">
        <w:rPr>
          <w:rFonts w:ascii="Cambria" w:eastAsia="Cambria" w:hAnsi="Cambria" w:cs="Cambria"/>
        </w:rPr>
        <w:t xml:space="preserve">    </w:t>
      </w:r>
      <w:r w:rsidRPr="634D0F44">
        <w:rPr>
          <w:rFonts w:ascii="Times New Roman" w:eastAsia="Times New Roman" w:hAnsi="Times New Roman" w:cs="Times New Roman"/>
          <w:color w:val="000000" w:themeColor="text1"/>
        </w:rPr>
        <w:t xml:space="preserve"> </w:t>
      </w:r>
      <w:r w:rsidRPr="634D0F44">
        <w:rPr>
          <w:rFonts w:ascii="Cambria" w:eastAsia="Cambria" w:hAnsi="Cambria" w:cs="Cambria"/>
        </w:rPr>
        <w:t xml:space="preserve"> </w:t>
      </w:r>
      <w:r w:rsidR="000570C0">
        <w:rPr>
          <w:noProof/>
        </w:rPr>
        <w:drawing>
          <wp:inline distT="0" distB="0" distL="0" distR="0" wp14:anchorId="54A7C815" wp14:editId="793D2EB5">
            <wp:extent cx="5121629" cy="1743075"/>
            <wp:effectExtent l="0" t="0" r="3175" b="0"/>
            <wp:docPr id="1018571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1062" name="Picture 1018571062"/>
                    <pic:cNvPicPr/>
                  </pic:nvPicPr>
                  <pic:blipFill>
                    <a:blip r:embed="rId24">
                      <a:extLst>
                        <a:ext uri="{28A0092B-C50C-407E-A947-70E740481C1C}">
                          <a14:useLocalDpi xmlns:a14="http://schemas.microsoft.com/office/drawing/2010/main"/>
                        </a:ext>
                      </a:extLst>
                    </a:blip>
                    <a:stretch>
                      <a:fillRect/>
                    </a:stretch>
                  </pic:blipFill>
                  <pic:spPr>
                    <a:xfrm>
                      <a:off x="0" y="0"/>
                      <a:ext cx="5164185" cy="1757558"/>
                    </a:xfrm>
                    <a:prstGeom prst="rect">
                      <a:avLst/>
                    </a:prstGeom>
                  </pic:spPr>
                </pic:pic>
              </a:graphicData>
            </a:graphic>
          </wp:inline>
        </w:drawing>
      </w:r>
      <w:r w:rsidR="000570C0">
        <w:rPr>
          <w:noProof/>
        </w:rPr>
        <w:drawing>
          <wp:inline distT="0" distB="0" distL="0" distR="0" wp14:anchorId="1C482DF2" wp14:editId="00939448">
            <wp:extent cx="6074501" cy="885825"/>
            <wp:effectExtent l="0" t="0" r="2540" b="0"/>
            <wp:docPr id="377244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4304" name="Picture 377244304"/>
                    <pic:cNvPicPr/>
                  </pic:nvPicPr>
                  <pic:blipFill>
                    <a:blip r:embed="rId25">
                      <a:extLst>
                        <a:ext uri="{28A0092B-C50C-407E-A947-70E740481C1C}">
                          <a14:useLocalDpi xmlns:a14="http://schemas.microsoft.com/office/drawing/2010/main"/>
                        </a:ext>
                      </a:extLst>
                    </a:blip>
                    <a:stretch>
                      <a:fillRect/>
                    </a:stretch>
                  </pic:blipFill>
                  <pic:spPr>
                    <a:xfrm>
                      <a:off x="0" y="0"/>
                      <a:ext cx="6081602" cy="886861"/>
                    </a:xfrm>
                    <a:prstGeom prst="rect">
                      <a:avLst/>
                    </a:prstGeom>
                  </pic:spPr>
                </pic:pic>
              </a:graphicData>
            </a:graphic>
          </wp:inline>
        </w:drawing>
      </w:r>
    </w:p>
    <w:p w14:paraId="30FCE7B7" w14:textId="020C6E76" w:rsidR="000570C0" w:rsidRDefault="00DA718C" w:rsidP="00A83A57">
      <w:pPr>
        <w:rPr>
          <w:rFonts w:ascii="Times New Roman" w:hAnsi="Times New Roman" w:cs="Times New Roman"/>
          <w:b/>
          <w:bCs/>
          <w:u w:val="single"/>
        </w:rPr>
      </w:pPr>
      <w:r>
        <w:rPr>
          <w:rFonts w:ascii="Times New Roman" w:hAnsi="Times New Roman" w:cs="Times New Roman"/>
          <w:b/>
          <w:bCs/>
          <w:u w:val="single"/>
        </w:rPr>
        <w:t>Revenue Growth by Segment</w:t>
      </w:r>
      <w:r>
        <w:rPr>
          <w:rFonts w:ascii="Times New Roman" w:hAnsi="Times New Roman" w:cs="Times New Roman"/>
          <w:b/>
          <w:bCs/>
          <w:u w:val="single"/>
        </w:rPr>
        <w:br/>
      </w:r>
      <w:r w:rsidR="000570C0" w:rsidRPr="000570C0">
        <w:rPr>
          <w:rFonts w:ascii="Times New Roman" w:hAnsi="Times New Roman" w:cs="Times New Roman"/>
          <w:b/>
          <w:bCs/>
          <w:noProof/>
          <w:u w:val="single"/>
        </w:rPr>
        <w:drawing>
          <wp:inline distT="0" distB="0" distL="0" distR="0" wp14:anchorId="5CBCFA06" wp14:editId="75DBD1BB">
            <wp:extent cx="5759016" cy="3219450"/>
            <wp:effectExtent l="0" t="0" r="0" b="0"/>
            <wp:docPr id="6" name="Picture 5">
              <a:extLst xmlns:a="http://schemas.openxmlformats.org/drawingml/2006/main">
                <a:ext uri="{FF2B5EF4-FFF2-40B4-BE49-F238E27FC236}">
                  <a16:creationId xmlns:a16="http://schemas.microsoft.com/office/drawing/2014/main" id="{B76221F8-DCB0-B5C6-FD9F-99C89069B1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76221F8-DCB0-B5C6-FD9F-99C89069B18F}"/>
                        </a:ext>
                      </a:extLst>
                    </pic:cNvPr>
                    <pic:cNvPicPr>
                      <a:picLocks noChangeAspect="1"/>
                    </pic:cNvPicPr>
                  </pic:nvPicPr>
                  <pic:blipFill rotWithShape="1">
                    <a:blip r:embed="rId26"/>
                    <a:srcRect b="963"/>
                    <a:stretch>
                      <a:fillRect/>
                    </a:stretch>
                  </pic:blipFill>
                  <pic:spPr bwMode="auto">
                    <a:xfrm>
                      <a:off x="0" y="0"/>
                      <a:ext cx="5762162" cy="3221209"/>
                    </a:xfrm>
                    <a:prstGeom prst="rect">
                      <a:avLst/>
                    </a:prstGeom>
                    <a:ln>
                      <a:noFill/>
                    </a:ln>
                    <a:extLst>
                      <a:ext uri="{53640926-AAD7-44D8-BBD7-CCE9431645EC}">
                        <a14:shadowObscured xmlns:a14="http://schemas.microsoft.com/office/drawing/2010/main"/>
                      </a:ext>
                    </a:extLst>
                  </pic:spPr>
                </pic:pic>
              </a:graphicData>
            </a:graphic>
          </wp:inline>
        </w:drawing>
      </w:r>
    </w:p>
    <w:p w14:paraId="132A2807" w14:textId="0F162F66" w:rsidR="00A83A57" w:rsidRDefault="00A83A57" w:rsidP="00A83A57">
      <w:pPr>
        <w:rPr>
          <w:rFonts w:ascii="Times New Roman" w:hAnsi="Times New Roman" w:cs="Times New Roman"/>
          <w:b/>
          <w:bCs/>
          <w:u w:val="single"/>
        </w:rPr>
        <w:sectPr w:rsidR="00A83A57" w:rsidSect="00A83A57">
          <w:type w:val="continuous"/>
          <w:pgSz w:w="12240" w:h="15840"/>
          <w:pgMar w:top="1440" w:right="1800" w:bottom="1440" w:left="1800" w:header="720" w:footer="720" w:gutter="0"/>
          <w:cols w:space="720"/>
          <w:docGrid w:linePitch="360"/>
        </w:sectPr>
      </w:pPr>
      <w:r>
        <w:rPr>
          <w:rFonts w:ascii="Times New Roman" w:hAnsi="Times New Roman" w:cs="Times New Roman"/>
          <w:b/>
          <w:bCs/>
          <w:u w:val="single"/>
        </w:rPr>
        <w:br/>
      </w:r>
      <w:r w:rsidR="00E26C4D">
        <w:rPr>
          <w:rFonts w:ascii="Times New Roman" w:hAnsi="Times New Roman" w:cs="Times New Roman"/>
          <w:b/>
          <w:bCs/>
          <w:u w:val="single"/>
        </w:rPr>
        <w:t>“How FICO Works”</w:t>
      </w:r>
      <w:r>
        <w:rPr>
          <w:rFonts w:ascii="Times New Roman" w:hAnsi="Times New Roman" w:cs="Times New Roman"/>
          <w:b/>
          <w:bCs/>
          <w:u w:val="single"/>
        </w:rPr>
        <w:t xml:space="preserve"> </w:t>
      </w:r>
      <w:r w:rsidR="00AD0844">
        <w:rPr>
          <w:rFonts w:ascii="Times New Roman" w:hAnsi="Times New Roman" w:cs="Times New Roman"/>
          <w:b/>
          <w:bCs/>
          <w:u w:val="single"/>
        </w:rPr>
        <w:t>D</w:t>
      </w:r>
      <w:r w:rsidR="00B26CEA">
        <w:rPr>
          <w:rFonts w:ascii="Times New Roman" w:hAnsi="Times New Roman" w:cs="Times New Roman"/>
          <w:b/>
          <w:bCs/>
          <w:u w:val="single"/>
        </w:rPr>
        <w:t>iagram</w:t>
      </w:r>
      <w:r w:rsidR="00C03664">
        <w:rPr>
          <w:rFonts w:ascii="Times New Roman" w:hAnsi="Times New Roman" w:cs="Times New Roman"/>
          <w:b/>
          <w:bCs/>
          <w:u w:val="single"/>
        </w:rPr>
        <w:br/>
      </w:r>
      <w:r w:rsidR="00C03664" w:rsidRPr="00C03664">
        <w:rPr>
          <w:rFonts w:ascii="Times New Roman" w:hAnsi="Times New Roman" w:cs="Times New Roman"/>
          <w:b/>
          <w:bCs/>
          <w:noProof/>
          <w:u w:val="single"/>
        </w:rPr>
        <w:drawing>
          <wp:inline distT="0" distB="0" distL="0" distR="0" wp14:anchorId="2816053E" wp14:editId="623284F5">
            <wp:extent cx="5734585" cy="2905125"/>
            <wp:effectExtent l="0" t="0" r="0" b="0"/>
            <wp:docPr id="89842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2287" name=""/>
                    <pic:cNvPicPr/>
                  </pic:nvPicPr>
                  <pic:blipFill>
                    <a:blip r:embed="rId27"/>
                    <a:stretch>
                      <a:fillRect/>
                    </a:stretch>
                  </pic:blipFill>
                  <pic:spPr>
                    <a:xfrm>
                      <a:off x="0" y="0"/>
                      <a:ext cx="5738238" cy="2906976"/>
                    </a:xfrm>
                    <a:prstGeom prst="rect">
                      <a:avLst/>
                    </a:prstGeom>
                  </pic:spPr>
                </pic:pic>
              </a:graphicData>
            </a:graphic>
          </wp:inline>
        </w:drawing>
      </w:r>
    </w:p>
    <w:p w14:paraId="3BED8197" w14:textId="534E4C10" w:rsidR="009200B6" w:rsidRDefault="009200B6" w:rsidP="00C63DE7">
      <w:pPr>
        <w:rPr>
          <w:rFonts w:ascii="Times New Roman" w:hAnsi="Times New Roman" w:cs="Times New Roman"/>
          <w:b/>
          <w:bCs/>
          <w:u w:val="single"/>
        </w:rPr>
      </w:pPr>
    </w:p>
    <w:sectPr w:rsidR="009200B6" w:rsidSect="00503EF1">
      <w:type w:val="continuous"/>
      <w:pgSz w:w="12240" w:h="15840"/>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5BE9" w14:textId="77777777" w:rsidR="0071203C" w:rsidRDefault="0071203C" w:rsidP="00143F78">
      <w:pPr>
        <w:spacing w:after="0" w:line="240" w:lineRule="auto"/>
      </w:pPr>
      <w:r>
        <w:separator/>
      </w:r>
    </w:p>
  </w:endnote>
  <w:endnote w:type="continuationSeparator" w:id="0">
    <w:p w14:paraId="6C2DD5AE" w14:textId="77777777" w:rsidR="0071203C" w:rsidRDefault="0071203C" w:rsidP="00143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621223"/>
      <w:docPartObj>
        <w:docPartGallery w:val="Page Numbers (Bottom of Page)"/>
        <w:docPartUnique/>
      </w:docPartObj>
    </w:sdtPr>
    <w:sdtEndPr>
      <w:rPr>
        <w:color w:val="7F7F7F" w:themeColor="background1" w:themeShade="7F"/>
        <w:spacing w:val="60"/>
      </w:rPr>
    </w:sdtEndPr>
    <w:sdtContent>
      <w:p w14:paraId="4F260BCF" w14:textId="30BCBC77" w:rsidR="00860E9E" w:rsidRDefault="00860E9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p>
    </w:sdtContent>
  </w:sdt>
  <w:p w14:paraId="3DA6B8B6" w14:textId="77777777" w:rsidR="00860E9E" w:rsidRDefault="00860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DCFAB" w14:textId="77777777" w:rsidR="0071203C" w:rsidRDefault="0071203C" w:rsidP="00143F78">
      <w:pPr>
        <w:spacing w:after="0" w:line="240" w:lineRule="auto"/>
      </w:pPr>
      <w:r>
        <w:separator/>
      </w:r>
    </w:p>
  </w:footnote>
  <w:footnote w:type="continuationSeparator" w:id="0">
    <w:p w14:paraId="3BD60E21" w14:textId="77777777" w:rsidR="0071203C" w:rsidRDefault="0071203C" w:rsidP="00143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890937"/>
      <w:docPartObj>
        <w:docPartGallery w:val="Page Numbers (Top of Page)"/>
        <w:docPartUnique/>
      </w:docPartObj>
    </w:sdtPr>
    <w:sdtEndPr>
      <w:rPr>
        <w:color w:val="7F7F7F" w:themeColor="background1" w:themeShade="7F"/>
        <w:spacing w:val="60"/>
      </w:rPr>
    </w:sdtEndPr>
    <w:sdtContent>
      <w:p w14:paraId="46E8D4AC" w14:textId="77777777" w:rsidR="00151070" w:rsidRDefault="00151070" w:rsidP="00EA0856">
        <w:pPr>
          <w:pStyle w:val="Header"/>
          <w:pBdr>
            <w:bottom w:val="single" w:sz="4" w:space="1" w:color="D9D9D9" w:themeColor="background1" w:themeShade="D9"/>
          </w:pBdr>
          <w:tabs>
            <w:tab w:val="clear" w:pos="4680"/>
            <w:tab w:val="clear" w:pos="9360"/>
            <w:tab w:val="right" w:pos="8640"/>
          </w:tabs>
        </w:pPr>
        <w:r>
          <w:rPr>
            <w:noProof/>
          </w:rPr>
          <w:drawing>
            <wp:inline distT="0" distB="0" distL="0" distR="0" wp14:anchorId="2D27EA6C" wp14:editId="1D36627A">
              <wp:extent cx="1267051" cy="452120"/>
              <wp:effectExtent l="0" t="0" r="9525" b="5080"/>
              <wp:docPr id="754386446"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806" cy="455601"/>
                      </a:xfrm>
                      <a:prstGeom prst="rect">
                        <a:avLst/>
                      </a:prstGeom>
                      <a:noFill/>
                      <a:ln>
                        <a:noFill/>
                      </a:ln>
                    </pic:spPr>
                  </pic:pic>
                </a:graphicData>
              </a:graphic>
            </wp:inline>
          </w:drawing>
        </w:r>
      </w:p>
      <w:p w14:paraId="5E963D7A" w14:textId="4A6CB1AB" w:rsidR="006376B1" w:rsidRDefault="006376B1" w:rsidP="00EA0856">
        <w:pPr>
          <w:pStyle w:val="Header"/>
          <w:pBdr>
            <w:bottom w:val="single" w:sz="4" w:space="1" w:color="D9D9D9" w:themeColor="background1" w:themeShade="D9"/>
          </w:pBdr>
          <w:tabs>
            <w:tab w:val="clear" w:pos="4680"/>
            <w:tab w:val="clear" w:pos="9360"/>
            <w:tab w:val="right" w:pos="8640"/>
          </w:tabs>
        </w:pPr>
        <w:r w:rsidRPr="005A5ED7">
          <w:rPr>
            <w:rFonts w:ascii="Times New Roman" w:hAnsi="Times New Roman" w:cs="Times New Roman"/>
            <w:b/>
            <w:bCs/>
            <w:noProof/>
            <w:sz w:val="32"/>
            <w:szCs w:val="32"/>
          </w:rPr>
          <w:drawing>
            <wp:anchor distT="0" distB="0" distL="114300" distR="114300" simplePos="0" relativeHeight="251658240" behindDoc="1" locked="0" layoutInCell="1" allowOverlap="1" wp14:anchorId="356C50B5" wp14:editId="174B60FC">
              <wp:simplePos x="0" y="0"/>
              <wp:positionH relativeFrom="margin">
                <wp:posOffset>5486400</wp:posOffset>
              </wp:positionH>
              <wp:positionV relativeFrom="paragraph">
                <wp:posOffset>-225701</wp:posOffset>
              </wp:positionV>
              <wp:extent cx="680944" cy="680944"/>
              <wp:effectExtent l="0" t="0" r="5080" b="5080"/>
              <wp:wrapNone/>
              <wp:docPr id="636824111" name="Picture 1" descr="BYU Silver Fun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YU Silver Fund | LinkedIn"/>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80944" cy="6809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2B073" w14:textId="7421E5ED" w:rsidR="0014528F" w:rsidRPr="00EA0856" w:rsidRDefault="00FF58BE" w:rsidP="0FF001F8">
        <w:pPr>
          <w:pStyle w:val="Header"/>
          <w:pBdr>
            <w:bottom w:val="single" w:sz="4" w:space="1" w:color="D9D9D9" w:themeColor="background1" w:themeShade="D9"/>
          </w:pBdr>
          <w:tabs>
            <w:tab w:val="clear" w:pos="4680"/>
            <w:tab w:val="clear" w:pos="9360"/>
            <w:tab w:val="right" w:pos="8640"/>
          </w:tabs>
        </w:pPr>
        <w:r>
          <w:t>Fair Isaac Corp</w:t>
        </w:r>
        <w:r w:rsidR="0FF001F8">
          <w:t xml:space="preserve"> </w:t>
        </w:r>
        <w:r w:rsidR="0FF001F8" w:rsidRPr="0FF001F8">
          <w:rPr>
            <w:rFonts w:ascii="Times New Roman" w:hAnsi="Times New Roman" w:cs="Times New Roman"/>
          </w:rPr>
          <w:t xml:space="preserve">(NYSE: </w:t>
        </w:r>
        <w:r>
          <w:rPr>
            <w:rFonts w:ascii="Times New Roman" w:hAnsi="Times New Roman" w:cs="Times New Roman"/>
          </w:rPr>
          <w:t>FICO</w:t>
        </w:r>
        <w:r w:rsidR="0FF001F8" w:rsidRPr="0FF001F8">
          <w:rPr>
            <w:rFonts w:ascii="Times New Roman" w:hAnsi="Times New Roman" w:cs="Times New Roman"/>
          </w:rPr>
          <w:t xml:space="preserve">) </w:t>
        </w:r>
        <w:r w:rsidR="0FF001F8">
          <w:t xml:space="preserve">Silver Fund Report </w:t>
        </w:r>
        <w:r w:rsidR="00894150">
          <w:tab/>
        </w:r>
        <w:r w:rsidR="00CA7974">
          <w:t>4</w:t>
        </w:r>
        <w:r w:rsidR="0FF001F8">
          <w:t>/</w:t>
        </w:r>
        <w:r w:rsidR="00CA7974">
          <w:t>14</w:t>
        </w:r>
        <w:r w:rsidR="0FF001F8">
          <w:t>/202</w:t>
        </w:r>
        <w:r w:rsidR="00CA7974">
          <w:t>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99293"/>
    <w:multiLevelType w:val="hybridMultilevel"/>
    <w:tmpl w:val="FFFFFFFF"/>
    <w:lvl w:ilvl="0" w:tplc="7038826C">
      <w:start w:val="1"/>
      <w:numFmt w:val="bullet"/>
      <w:lvlText w:val="•"/>
      <w:lvlJc w:val="left"/>
      <w:pPr>
        <w:ind w:left="720" w:hanging="360"/>
      </w:pPr>
      <w:rPr>
        <w:rFonts w:ascii="Times New Roman" w:hAnsi="Times New Roman" w:hint="default"/>
      </w:rPr>
    </w:lvl>
    <w:lvl w:ilvl="1" w:tplc="F3466192">
      <w:start w:val="1"/>
      <w:numFmt w:val="bullet"/>
      <w:lvlText w:val="o"/>
      <w:lvlJc w:val="left"/>
      <w:pPr>
        <w:ind w:left="1440" w:hanging="360"/>
      </w:pPr>
      <w:rPr>
        <w:rFonts w:ascii="Courier New" w:hAnsi="Courier New" w:hint="default"/>
      </w:rPr>
    </w:lvl>
    <w:lvl w:ilvl="2" w:tplc="89EE0F22">
      <w:start w:val="1"/>
      <w:numFmt w:val="bullet"/>
      <w:lvlText w:val=""/>
      <w:lvlJc w:val="left"/>
      <w:pPr>
        <w:ind w:left="2160" w:hanging="360"/>
      </w:pPr>
      <w:rPr>
        <w:rFonts w:ascii="Wingdings" w:hAnsi="Wingdings" w:hint="default"/>
      </w:rPr>
    </w:lvl>
    <w:lvl w:ilvl="3" w:tplc="FBC43B50">
      <w:start w:val="1"/>
      <w:numFmt w:val="bullet"/>
      <w:lvlText w:val=""/>
      <w:lvlJc w:val="left"/>
      <w:pPr>
        <w:ind w:left="2880" w:hanging="360"/>
      </w:pPr>
      <w:rPr>
        <w:rFonts w:ascii="Symbol" w:hAnsi="Symbol" w:hint="default"/>
      </w:rPr>
    </w:lvl>
    <w:lvl w:ilvl="4" w:tplc="E3E0ABA2">
      <w:start w:val="1"/>
      <w:numFmt w:val="bullet"/>
      <w:lvlText w:val="o"/>
      <w:lvlJc w:val="left"/>
      <w:pPr>
        <w:ind w:left="3600" w:hanging="360"/>
      </w:pPr>
      <w:rPr>
        <w:rFonts w:ascii="Courier New" w:hAnsi="Courier New" w:hint="default"/>
      </w:rPr>
    </w:lvl>
    <w:lvl w:ilvl="5" w:tplc="0080A756">
      <w:start w:val="1"/>
      <w:numFmt w:val="bullet"/>
      <w:lvlText w:val=""/>
      <w:lvlJc w:val="left"/>
      <w:pPr>
        <w:ind w:left="4320" w:hanging="360"/>
      </w:pPr>
      <w:rPr>
        <w:rFonts w:ascii="Wingdings" w:hAnsi="Wingdings" w:hint="default"/>
      </w:rPr>
    </w:lvl>
    <w:lvl w:ilvl="6" w:tplc="3B64F668">
      <w:start w:val="1"/>
      <w:numFmt w:val="bullet"/>
      <w:lvlText w:val=""/>
      <w:lvlJc w:val="left"/>
      <w:pPr>
        <w:ind w:left="5040" w:hanging="360"/>
      </w:pPr>
      <w:rPr>
        <w:rFonts w:ascii="Symbol" w:hAnsi="Symbol" w:hint="default"/>
      </w:rPr>
    </w:lvl>
    <w:lvl w:ilvl="7" w:tplc="B34280B2">
      <w:start w:val="1"/>
      <w:numFmt w:val="bullet"/>
      <w:lvlText w:val="o"/>
      <w:lvlJc w:val="left"/>
      <w:pPr>
        <w:ind w:left="5760" w:hanging="360"/>
      </w:pPr>
      <w:rPr>
        <w:rFonts w:ascii="Courier New" w:hAnsi="Courier New" w:hint="default"/>
      </w:rPr>
    </w:lvl>
    <w:lvl w:ilvl="8" w:tplc="B41E7EBA">
      <w:start w:val="1"/>
      <w:numFmt w:val="bullet"/>
      <w:lvlText w:val=""/>
      <w:lvlJc w:val="left"/>
      <w:pPr>
        <w:ind w:left="6480" w:hanging="360"/>
      </w:pPr>
      <w:rPr>
        <w:rFonts w:ascii="Wingdings" w:hAnsi="Wingdings" w:hint="default"/>
      </w:rPr>
    </w:lvl>
  </w:abstractNum>
  <w:abstractNum w:abstractNumId="10" w15:restartNumberingAfterBreak="0">
    <w:nsid w:val="089618DF"/>
    <w:multiLevelType w:val="hybridMultilevel"/>
    <w:tmpl w:val="8B56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794FFB"/>
    <w:multiLevelType w:val="hybridMultilevel"/>
    <w:tmpl w:val="2D267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0B7DD0"/>
    <w:multiLevelType w:val="hybridMultilevel"/>
    <w:tmpl w:val="CB703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AE072"/>
    <w:multiLevelType w:val="hybridMultilevel"/>
    <w:tmpl w:val="FFFFFFFF"/>
    <w:lvl w:ilvl="0" w:tplc="2356DB14">
      <w:start w:val="1"/>
      <w:numFmt w:val="bullet"/>
      <w:lvlText w:val=""/>
      <w:lvlJc w:val="left"/>
      <w:pPr>
        <w:ind w:left="720" w:hanging="360"/>
      </w:pPr>
      <w:rPr>
        <w:rFonts w:ascii="Symbol" w:hAnsi="Symbol" w:hint="default"/>
      </w:rPr>
    </w:lvl>
    <w:lvl w:ilvl="1" w:tplc="0C1CDF9C">
      <w:start w:val="1"/>
      <w:numFmt w:val="bullet"/>
      <w:lvlText w:val="o"/>
      <w:lvlJc w:val="left"/>
      <w:pPr>
        <w:ind w:left="1440" w:hanging="360"/>
      </w:pPr>
      <w:rPr>
        <w:rFonts w:ascii="Courier New" w:hAnsi="Courier New" w:hint="default"/>
      </w:rPr>
    </w:lvl>
    <w:lvl w:ilvl="2" w:tplc="F488C6A0">
      <w:start w:val="1"/>
      <w:numFmt w:val="bullet"/>
      <w:lvlText w:val=""/>
      <w:lvlJc w:val="left"/>
      <w:pPr>
        <w:ind w:left="2160" w:hanging="360"/>
      </w:pPr>
      <w:rPr>
        <w:rFonts w:ascii="Wingdings" w:hAnsi="Wingdings" w:hint="default"/>
      </w:rPr>
    </w:lvl>
    <w:lvl w:ilvl="3" w:tplc="A246CE48">
      <w:start w:val="1"/>
      <w:numFmt w:val="bullet"/>
      <w:lvlText w:val=""/>
      <w:lvlJc w:val="left"/>
      <w:pPr>
        <w:ind w:left="2880" w:hanging="360"/>
      </w:pPr>
      <w:rPr>
        <w:rFonts w:ascii="Symbol" w:hAnsi="Symbol" w:hint="default"/>
      </w:rPr>
    </w:lvl>
    <w:lvl w:ilvl="4" w:tplc="1A08E796">
      <w:start w:val="1"/>
      <w:numFmt w:val="bullet"/>
      <w:lvlText w:val="o"/>
      <w:lvlJc w:val="left"/>
      <w:pPr>
        <w:ind w:left="3600" w:hanging="360"/>
      </w:pPr>
      <w:rPr>
        <w:rFonts w:ascii="Courier New" w:hAnsi="Courier New" w:hint="default"/>
      </w:rPr>
    </w:lvl>
    <w:lvl w:ilvl="5" w:tplc="1412739C">
      <w:start w:val="1"/>
      <w:numFmt w:val="bullet"/>
      <w:lvlText w:val=""/>
      <w:lvlJc w:val="left"/>
      <w:pPr>
        <w:ind w:left="4320" w:hanging="360"/>
      </w:pPr>
      <w:rPr>
        <w:rFonts w:ascii="Wingdings" w:hAnsi="Wingdings" w:hint="default"/>
      </w:rPr>
    </w:lvl>
    <w:lvl w:ilvl="6" w:tplc="CC74353E">
      <w:start w:val="1"/>
      <w:numFmt w:val="bullet"/>
      <w:lvlText w:val=""/>
      <w:lvlJc w:val="left"/>
      <w:pPr>
        <w:ind w:left="5040" w:hanging="360"/>
      </w:pPr>
      <w:rPr>
        <w:rFonts w:ascii="Symbol" w:hAnsi="Symbol" w:hint="default"/>
      </w:rPr>
    </w:lvl>
    <w:lvl w:ilvl="7" w:tplc="F446AB0E">
      <w:start w:val="1"/>
      <w:numFmt w:val="bullet"/>
      <w:lvlText w:val="o"/>
      <w:lvlJc w:val="left"/>
      <w:pPr>
        <w:ind w:left="5760" w:hanging="360"/>
      </w:pPr>
      <w:rPr>
        <w:rFonts w:ascii="Courier New" w:hAnsi="Courier New" w:hint="default"/>
      </w:rPr>
    </w:lvl>
    <w:lvl w:ilvl="8" w:tplc="B9767DFE">
      <w:start w:val="1"/>
      <w:numFmt w:val="bullet"/>
      <w:lvlText w:val=""/>
      <w:lvlJc w:val="left"/>
      <w:pPr>
        <w:ind w:left="6480" w:hanging="360"/>
      </w:pPr>
      <w:rPr>
        <w:rFonts w:ascii="Wingdings" w:hAnsi="Wingdings" w:hint="default"/>
      </w:rPr>
    </w:lvl>
  </w:abstractNum>
  <w:abstractNum w:abstractNumId="14" w15:restartNumberingAfterBreak="0">
    <w:nsid w:val="2F284B8B"/>
    <w:multiLevelType w:val="hybridMultilevel"/>
    <w:tmpl w:val="FFFFFFFF"/>
    <w:lvl w:ilvl="0" w:tplc="42F2ABE2">
      <w:start w:val="1"/>
      <w:numFmt w:val="bullet"/>
      <w:lvlText w:val=""/>
      <w:lvlJc w:val="left"/>
      <w:pPr>
        <w:ind w:left="720" w:hanging="360"/>
      </w:pPr>
      <w:rPr>
        <w:rFonts w:ascii="Symbol" w:hAnsi="Symbol" w:hint="default"/>
      </w:rPr>
    </w:lvl>
    <w:lvl w:ilvl="1" w:tplc="8D8EEF48">
      <w:start w:val="1"/>
      <w:numFmt w:val="bullet"/>
      <w:lvlText w:val="o"/>
      <w:lvlJc w:val="left"/>
      <w:pPr>
        <w:ind w:left="1440" w:hanging="360"/>
      </w:pPr>
      <w:rPr>
        <w:rFonts w:ascii="Courier New" w:hAnsi="Courier New" w:hint="default"/>
      </w:rPr>
    </w:lvl>
    <w:lvl w:ilvl="2" w:tplc="4C609706">
      <w:start w:val="1"/>
      <w:numFmt w:val="bullet"/>
      <w:lvlText w:val=""/>
      <w:lvlJc w:val="left"/>
      <w:pPr>
        <w:ind w:left="2160" w:hanging="360"/>
      </w:pPr>
      <w:rPr>
        <w:rFonts w:ascii="Wingdings" w:hAnsi="Wingdings" w:hint="default"/>
      </w:rPr>
    </w:lvl>
    <w:lvl w:ilvl="3" w:tplc="64C8C870">
      <w:start w:val="1"/>
      <w:numFmt w:val="bullet"/>
      <w:lvlText w:val=""/>
      <w:lvlJc w:val="left"/>
      <w:pPr>
        <w:ind w:left="2880" w:hanging="360"/>
      </w:pPr>
      <w:rPr>
        <w:rFonts w:ascii="Symbol" w:hAnsi="Symbol" w:hint="default"/>
      </w:rPr>
    </w:lvl>
    <w:lvl w:ilvl="4" w:tplc="FCB41D86">
      <w:start w:val="1"/>
      <w:numFmt w:val="bullet"/>
      <w:lvlText w:val="o"/>
      <w:lvlJc w:val="left"/>
      <w:pPr>
        <w:ind w:left="3600" w:hanging="360"/>
      </w:pPr>
      <w:rPr>
        <w:rFonts w:ascii="Courier New" w:hAnsi="Courier New" w:hint="default"/>
      </w:rPr>
    </w:lvl>
    <w:lvl w:ilvl="5" w:tplc="216C8EA0">
      <w:start w:val="1"/>
      <w:numFmt w:val="bullet"/>
      <w:lvlText w:val=""/>
      <w:lvlJc w:val="left"/>
      <w:pPr>
        <w:ind w:left="4320" w:hanging="360"/>
      </w:pPr>
      <w:rPr>
        <w:rFonts w:ascii="Wingdings" w:hAnsi="Wingdings" w:hint="default"/>
      </w:rPr>
    </w:lvl>
    <w:lvl w:ilvl="6" w:tplc="FA02C0A6">
      <w:start w:val="1"/>
      <w:numFmt w:val="bullet"/>
      <w:lvlText w:val=""/>
      <w:lvlJc w:val="left"/>
      <w:pPr>
        <w:ind w:left="5040" w:hanging="360"/>
      </w:pPr>
      <w:rPr>
        <w:rFonts w:ascii="Symbol" w:hAnsi="Symbol" w:hint="default"/>
      </w:rPr>
    </w:lvl>
    <w:lvl w:ilvl="7" w:tplc="2638A086">
      <w:start w:val="1"/>
      <w:numFmt w:val="bullet"/>
      <w:lvlText w:val="o"/>
      <w:lvlJc w:val="left"/>
      <w:pPr>
        <w:ind w:left="5760" w:hanging="360"/>
      </w:pPr>
      <w:rPr>
        <w:rFonts w:ascii="Courier New" w:hAnsi="Courier New" w:hint="default"/>
      </w:rPr>
    </w:lvl>
    <w:lvl w:ilvl="8" w:tplc="BDDEA432">
      <w:start w:val="1"/>
      <w:numFmt w:val="bullet"/>
      <w:lvlText w:val=""/>
      <w:lvlJc w:val="left"/>
      <w:pPr>
        <w:ind w:left="6480" w:hanging="360"/>
      </w:pPr>
      <w:rPr>
        <w:rFonts w:ascii="Wingdings" w:hAnsi="Wingdings" w:hint="default"/>
      </w:rPr>
    </w:lvl>
  </w:abstractNum>
  <w:abstractNum w:abstractNumId="15" w15:restartNumberingAfterBreak="0">
    <w:nsid w:val="3AB24B48"/>
    <w:multiLevelType w:val="hybridMultilevel"/>
    <w:tmpl w:val="FFFFFFFF"/>
    <w:lvl w:ilvl="0" w:tplc="C01EF772">
      <w:start w:val="1"/>
      <w:numFmt w:val="bullet"/>
      <w:lvlText w:val=""/>
      <w:lvlJc w:val="left"/>
      <w:pPr>
        <w:ind w:left="720" w:hanging="360"/>
      </w:pPr>
      <w:rPr>
        <w:rFonts w:ascii="Symbol" w:hAnsi="Symbol" w:hint="default"/>
      </w:rPr>
    </w:lvl>
    <w:lvl w:ilvl="1" w:tplc="85FEC1AC">
      <w:start w:val="1"/>
      <w:numFmt w:val="bullet"/>
      <w:lvlText w:val="o"/>
      <w:lvlJc w:val="left"/>
      <w:pPr>
        <w:ind w:left="1440" w:hanging="360"/>
      </w:pPr>
      <w:rPr>
        <w:rFonts w:ascii="Courier New" w:hAnsi="Courier New" w:hint="default"/>
      </w:rPr>
    </w:lvl>
    <w:lvl w:ilvl="2" w:tplc="640EE826">
      <w:start w:val="1"/>
      <w:numFmt w:val="bullet"/>
      <w:lvlText w:val=""/>
      <w:lvlJc w:val="left"/>
      <w:pPr>
        <w:ind w:left="2160" w:hanging="360"/>
      </w:pPr>
      <w:rPr>
        <w:rFonts w:ascii="Wingdings" w:hAnsi="Wingdings" w:hint="default"/>
      </w:rPr>
    </w:lvl>
    <w:lvl w:ilvl="3" w:tplc="7C8EC55C">
      <w:start w:val="1"/>
      <w:numFmt w:val="bullet"/>
      <w:lvlText w:val=""/>
      <w:lvlJc w:val="left"/>
      <w:pPr>
        <w:ind w:left="2880" w:hanging="360"/>
      </w:pPr>
      <w:rPr>
        <w:rFonts w:ascii="Symbol" w:hAnsi="Symbol" w:hint="default"/>
      </w:rPr>
    </w:lvl>
    <w:lvl w:ilvl="4" w:tplc="FC56F4C2">
      <w:start w:val="1"/>
      <w:numFmt w:val="bullet"/>
      <w:lvlText w:val="o"/>
      <w:lvlJc w:val="left"/>
      <w:pPr>
        <w:ind w:left="3600" w:hanging="360"/>
      </w:pPr>
      <w:rPr>
        <w:rFonts w:ascii="Courier New" w:hAnsi="Courier New" w:hint="default"/>
      </w:rPr>
    </w:lvl>
    <w:lvl w:ilvl="5" w:tplc="70387D08">
      <w:start w:val="1"/>
      <w:numFmt w:val="bullet"/>
      <w:lvlText w:val=""/>
      <w:lvlJc w:val="left"/>
      <w:pPr>
        <w:ind w:left="4320" w:hanging="360"/>
      </w:pPr>
      <w:rPr>
        <w:rFonts w:ascii="Wingdings" w:hAnsi="Wingdings" w:hint="default"/>
      </w:rPr>
    </w:lvl>
    <w:lvl w:ilvl="6" w:tplc="08061D72">
      <w:start w:val="1"/>
      <w:numFmt w:val="bullet"/>
      <w:lvlText w:val=""/>
      <w:lvlJc w:val="left"/>
      <w:pPr>
        <w:ind w:left="5040" w:hanging="360"/>
      </w:pPr>
      <w:rPr>
        <w:rFonts w:ascii="Symbol" w:hAnsi="Symbol" w:hint="default"/>
      </w:rPr>
    </w:lvl>
    <w:lvl w:ilvl="7" w:tplc="18CED81C">
      <w:start w:val="1"/>
      <w:numFmt w:val="bullet"/>
      <w:lvlText w:val="o"/>
      <w:lvlJc w:val="left"/>
      <w:pPr>
        <w:ind w:left="5760" w:hanging="360"/>
      </w:pPr>
      <w:rPr>
        <w:rFonts w:ascii="Courier New" w:hAnsi="Courier New" w:hint="default"/>
      </w:rPr>
    </w:lvl>
    <w:lvl w:ilvl="8" w:tplc="580E9384">
      <w:start w:val="1"/>
      <w:numFmt w:val="bullet"/>
      <w:lvlText w:val=""/>
      <w:lvlJc w:val="left"/>
      <w:pPr>
        <w:ind w:left="6480" w:hanging="360"/>
      </w:pPr>
      <w:rPr>
        <w:rFonts w:ascii="Wingdings" w:hAnsi="Wingdings" w:hint="default"/>
      </w:rPr>
    </w:lvl>
  </w:abstractNum>
  <w:abstractNum w:abstractNumId="16" w15:restartNumberingAfterBreak="0">
    <w:nsid w:val="4A3A57E8"/>
    <w:multiLevelType w:val="hybridMultilevel"/>
    <w:tmpl w:val="4260E2FC"/>
    <w:lvl w:ilvl="0" w:tplc="1018CDD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6969F5"/>
    <w:multiLevelType w:val="hybridMultilevel"/>
    <w:tmpl w:val="499A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CFE4E"/>
    <w:multiLevelType w:val="hybridMultilevel"/>
    <w:tmpl w:val="FFFFFFFF"/>
    <w:lvl w:ilvl="0" w:tplc="2722B77E">
      <w:start w:val="1"/>
      <w:numFmt w:val="bullet"/>
      <w:lvlText w:val=""/>
      <w:lvlJc w:val="left"/>
      <w:pPr>
        <w:ind w:left="720" w:hanging="360"/>
      </w:pPr>
      <w:rPr>
        <w:rFonts w:ascii="Symbol" w:hAnsi="Symbol" w:hint="default"/>
      </w:rPr>
    </w:lvl>
    <w:lvl w:ilvl="1" w:tplc="CA968430">
      <w:start w:val="1"/>
      <w:numFmt w:val="bullet"/>
      <w:lvlText w:val="o"/>
      <w:lvlJc w:val="left"/>
      <w:pPr>
        <w:ind w:left="1440" w:hanging="360"/>
      </w:pPr>
      <w:rPr>
        <w:rFonts w:ascii="Courier New" w:hAnsi="Courier New" w:hint="default"/>
      </w:rPr>
    </w:lvl>
    <w:lvl w:ilvl="2" w:tplc="9D80C65C">
      <w:start w:val="1"/>
      <w:numFmt w:val="bullet"/>
      <w:lvlText w:val=""/>
      <w:lvlJc w:val="left"/>
      <w:pPr>
        <w:ind w:left="2160" w:hanging="360"/>
      </w:pPr>
      <w:rPr>
        <w:rFonts w:ascii="Wingdings" w:hAnsi="Wingdings" w:hint="default"/>
      </w:rPr>
    </w:lvl>
    <w:lvl w:ilvl="3" w:tplc="6D14F1B2">
      <w:start w:val="1"/>
      <w:numFmt w:val="bullet"/>
      <w:lvlText w:val=""/>
      <w:lvlJc w:val="left"/>
      <w:pPr>
        <w:ind w:left="2880" w:hanging="360"/>
      </w:pPr>
      <w:rPr>
        <w:rFonts w:ascii="Symbol" w:hAnsi="Symbol" w:hint="default"/>
      </w:rPr>
    </w:lvl>
    <w:lvl w:ilvl="4" w:tplc="FF06540E">
      <w:start w:val="1"/>
      <w:numFmt w:val="bullet"/>
      <w:lvlText w:val="o"/>
      <w:lvlJc w:val="left"/>
      <w:pPr>
        <w:ind w:left="3600" w:hanging="360"/>
      </w:pPr>
      <w:rPr>
        <w:rFonts w:ascii="Courier New" w:hAnsi="Courier New" w:hint="default"/>
      </w:rPr>
    </w:lvl>
    <w:lvl w:ilvl="5" w:tplc="11C27B78">
      <w:start w:val="1"/>
      <w:numFmt w:val="bullet"/>
      <w:lvlText w:val=""/>
      <w:lvlJc w:val="left"/>
      <w:pPr>
        <w:ind w:left="4320" w:hanging="360"/>
      </w:pPr>
      <w:rPr>
        <w:rFonts w:ascii="Wingdings" w:hAnsi="Wingdings" w:hint="default"/>
      </w:rPr>
    </w:lvl>
    <w:lvl w:ilvl="6" w:tplc="05D05934">
      <w:start w:val="1"/>
      <w:numFmt w:val="bullet"/>
      <w:lvlText w:val=""/>
      <w:lvlJc w:val="left"/>
      <w:pPr>
        <w:ind w:left="5040" w:hanging="360"/>
      </w:pPr>
      <w:rPr>
        <w:rFonts w:ascii="Symbol" w:hAnsi="Symbol" w:hint="default"/>
      </w:rPr>
    </w:lvl>
    <w:lvl w:ilvl="7" w:tplc="92C28EDE">
      <w:start w:val="1"/>
      <w:numFmt w:val="bullet"/>
      <w:lvlText w:val="o"/>
      <w:lvlJc w:val="left"/>
      <w:pPr>
        <w:ind w:left="5760" w:hanging="360"/>
      </w:pPr>
      <w:rPr>
        <w:rFonts w:ascii="Courier New" w:hAnsi="Courier New" w:hint="default"/>
      </w:rPr>
    </w:lvl>
    <w:lvl w:ilvl="8" w:tplc="880804B0">
      <w:start w:val="1"/>
      <w:numFmt w:val="bullet"/>
      <w:lvlText w:val=""/>
      <w:lvlJc w:val="left"/>
      <w:pPr>
        <w:ind w:left="6480" w:hanging="360"/>
      </w:pPr>
      <w:rPr>
        <w:rFonts w:ascii="Wingdings" w:hAnsi="Wingdings" w:hint="default"/>
      </w:rPr>
    </w:lvl>
  </w:abstractNum>
  <w:abstractNum w:abstractNumId="19" w15:restartNumberingAfterBreak="0">
    <w:nsid w:val="5051B4FC"/>
    <w:multiLevelType w:val="hybridMultilevel"/>
    <w:tmpl w:val="FFFFFFFF"/>
    <w:lvl w:ilvl="0" w:tplc="74AC8EEC">
      <w:start w:val="1"/>
      <w:numFmt w:val="bullet"/>
      <w:lvlText w:val=""/>
      <w:lvlJc w:val="left"/>
      <w:pPr>
        <w:ind w:left="720" w:hanging="360"/>
      </w:pPr>
      <w:rPr>
        <w:rFonts w:ascii="Symbol" w:hAnsi="Symbol" w:hint="default"/>
      </w:rPr>
    </w:lvl>
    <w:lvl w:ilvl="1" w:tplc="63B44956">
      <w:start w:val="1"/>
      <w:numFmt w:val="bullet"/>
      <w:lvlText w:val="o"/>
      <w:lvlJc w:val="left"/>
      <w:pPr>
        <w:ind w:left="1440" w:hanging="360"/>
      </w:pPr>
      <w:rPr>
        <w:rFonts w:ascii="Courier New" w:hAnsi="Courier New" w:hint="default"/>
      </w:rPr>
    </w:lvl>
    <w:lvl w:ilvl="2" w:tplc="E1FACBE6">
      <w:start w:val="1"/>
      <w:numFmt w:val="bullet"/>
      <w:lvlText w:val=""/>
      <w:lvlJc w:val="left"/>
      <w:pPr>
        <w:ind w:left="2160" w:hanging="360"/>
      </w:pPr>
      <w:rPr>
        <w:rFonts w:ascii="Wingdings" w:hAnsi="Wingdings" w:hint="default"/>
      </w:rPr>
    </w:lvl>
    <w:lvl w:ilvl="3" w:tplc="F064EDD2">
      <w:start w:val="1"/>
      <w:numFmt w:val="bullet"/>
      <w:lvlText w:val=""/>
      <w:lvlJc w:val="left"/>
      <w:pPr>
        <w:ind w:left="2880" w:hanging="360"/>
      </w:pPr>
      <w:rPr>
        <w:rFonts w:ascii="Symbol" w:hAnsi="Symbol" w:hint="default"/>
      </w:rPr>
    </w:lvl>
    <w:lvl w:ilvl="4" w:tplc="4D30AECC">
      <w:start w:val="1"/>
      <w:numFmt w:val="bullet"/>
      <w:lvlText w:val="o"/>
      <w:lvlJc w:val="left"/>
      <w:pPr>
        <w:ind w:left="3600" w:hanging="360"/>
      </w:pPr>
      <w:rPr>
        <w:rFonts w:ascii="Courier New" w:hAnsi="Courier New" w:hint="default"/>
      </w:rPr>
    </w:lvl>
    <w:lvl w:ilvl="5" w:tplc="479EE19E">
      <w:start w:val="1"/>
      <w:numFmt w:val="bullet"/>
      <w:lvlText w:val=""/>
      <w:lvlJc w:val="left"/>
      <w:pPr>
        <w:ind w:left="4320" w:hanging="360"/>
      </w:pPr>
      <w:rPr>
        <w:rFonts w:ascii="Wingdings" w:hAnsi="Wingdings" w:hint="default"/>
      </w:rPr>
    </w:lvl>
    <w:lvl w:ilvl="6" w:tplc="1E003720">
      <w:start w:val="1"/>
      <w:numFmt w:val="bullet"/>
      <w:lvlText w:val=""/>
      <w:lvlJc w:val="left"/>
      <w:pPr>
        <w:ind w:left="5040" w:hanging="360"/>
      </w:pPr>
      <w:rPr>
        <w:rFonts w:ascii="Symbol" w:hAnsi="Symbol" w:hint="default"/>
      </w:rPr>
    </w:lvl>
    <w:lvl w:ilvl="7" w:tplc="48C2CB74">
      <w:start w:val="1"/>
      <w:numFmt w:val="bullet"/>
      <w:lvlText w:val="o"/>
      <w:lvlJc w:val="left"/>
      <w:pPr>
        <w:ind w:left="5760" w:hanging="360"/>
      </w:pPr>
      <w:rPr>
        <w:rFonts w:ascii="Courier New" w:hAnsi="Courier New" w:hint="default"/>
      </w:rPr>
    </w:lvl>
    <w:lvl w:ilvl="8" w:tplc="BB842CB2">
      <w:start w:val="1"/>
      <w:numFmt w:val="bullet"/>
      <w:lvlText w:val=""/>
      <w:lvlJc w:val="left"/>
      <w:pPr>
        <w:ind w:left="6480" w:hanging="360"/>
      </w:pPr>
      <w:rPr>
        <w:rFonts w:ascii="Wingdings" w:hAnsi="Wingdings" w:hint="default"/>
      </w:rPr>
    </w:lvl>
  </w:abstractNum>
  <w:abstractNum w:abstractNumId="20" w15:restartNumberingAfterBreak="0">
    <w:nsid w:val="56956006"/>
    <w:multiLevelType w:val="hybridMultilevel"/>
    <w:tmpl w:val="10F4D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3B0870"/>
    <w:multiLevelType w:val="hybridMultilevel"/>
    <w:tmpl w:val="9FF6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96A49"/>
    <w:multiLevelType w:val="hybridMultilevel"/>
    <w:tmpl w:val="6CF2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573F8"/>
    <w:multiLevelType w:val="hybridMultilevel"/>
    <w:tmpl w:val="A9B8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FF7243"/>
    <w:multiLevelType w:val="hybridMultilevel"/>
    <w:tmpl w:val="A9BE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979FB"/>
    <w:multiLevelType w:val="hybridMultilevel"/>
    <w:tmpl w:val="C5D8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3B6A37"/>
    <w:multiLevelType w:val="hybridMultilevel"/>
    <w:tmpl w:val="2D0EFF6A"/>
    <w:lvl w:ilvl="0" w:tplc="4314E8A0">
      <w:start w:val="1"/>
      <w:numFmt w:val="bullet"/>
      <w:lvlText w:val="•"/>
      <w:lvlJc w:val="left"/>
      <w:pPr>
        <w:ind w:left="600" w:hanging="300"/>
      </w:pPr>
    </w:lvl>
    <w:lvl w:ilvl="1" w:tplc="DA56A1CE">
      <w:numFmt w:val="decimal"/>
      <w:lvlText w:val=""/>
      <w:lvlJc w:val="left"/>
      <w:pPr>
        <w:ind w:left="0" w:firstLine="0"/>
      </w:pPr>
    </w:lvl>
    <w:lvl w:ilvl="2" w:tplc="F162DC3E">
      <w:numFmt w:val="decimal"/>
      <w:lvlText w:val=""/>
      <w:lvlJc w:val="left"/>
      <w:pPr>
        <w:ind w:left="0" w:firstLine="0"/>
      </w:pPr>
    </w:lvl>
    <w:lvl w:ilvl="3" w:tplc="F32A4DEE">
      <w:numFmt w:val="decimal"/>
      <w:lvlText w:val=""/>
      <w:lvlJc w:val="left"/>
      <w:pPr>
        <w:ind w:left="0" w:firstLine="0"/>
      </w:pPr>
    </w:lvl>
    <w:lvl w:ilvl="4" w:tplc="1290A046">
      <w:numFmt w:val="decimal"/>
      <w:lvlText w:val=""/>
      <w:lvlJc w:val="left"/>
      <w:pPr>
        <w:ind w:left="0" w:firstLine="0"/>
      </w:pPr>
    </w:lvl>
    <w:lvl w:ilvl="5" w:tplc="4A04E406">
      <w:numFmt w:val="decimal"/>
      <w:lvlText w:val=""/>
      <w:lvlJc w:val="left"/>
      <w:pPr>
        <w:ind w:left="0" w:firstLine="0"/>
      </w:pPr>
    </w:lvl>
    <w:lvl w:ilvl="6" w:tplc="52ACE106">
      <w:numFmt w:val="decimal"/>
      <w:lvlText w:val=""/>
      <w:lvlJc w:val="left"/>
      <w:pPr>
        <w:ind w:left="0" w:firstLine="0"/>
      </w:pPr>
    </w:lvl>
    <w:lvl w:ilvl="7" w:tplc="65EC9F6C">
      <w:numFmt w:val="decimal"/>
      <w:lvlText w:val=""/>
      <w:lvlJc w:val="left"/>
      <w:pPr>
        <w:ind w:left="0" w:firstLine="0"/>
      </w:pPr>
    </w:lvl>
    <w:lvl w:ilvl="8" w:tplc="8E96B1C2">
      <w:numFmt w:val="decimal"/>
      <w:lvlText w:val=""/>
      <w:lvlJc w:val="left"/>
      <w:pPr>
        <w:ind w:left="0" w:firstLine="0"/>
      </w:pPr>
    </w:lvl>
  </w:abstractNum>
  <w:num w:numId="1" w16cid:durableId="563682527">
    <w:abstractNumId w:val="8"/>
  </w:num>
  <w:num w:numId="2" w16cid:durableId="2034915002">
    <w:abstractNumId w:val="6"/>
  </w:num>
  <w:num w:numId="3" w16cid:durableId="64576233">
    <w:abstractNumId w:val="5"/>
  </w:num>
  <w:num w:numId="4" w16cid:durableId="2049837917">
    <w:abstractNumId w:val="4"/>
  </w:num>
  <w:num w:numId="5" w16cid:durableId="802306622">
    <w:abstractNumId w:val="7"/>
  </w:num>
  <w:num w:numId="6" w16cid:durableId="1298409798">
    <w:abstractNumId w:val="3"/>
  </w:num>
  <w:num w:numId="7" w16cid:durableId="516237990">
    <w:abstractNumId w:val="2"/>
  </w:num>
  <w:num w:numId="8" w16cid:durableId="742527950">
    <w:abstractNumId w:val="1"/>
  </w:num>
  <w:num w:numId="9" w16cid:durableId="1161698342">
    <w:abstractNumId w:val="0"/>
  </w:num>
  <w:num w:numId="10" w16cid:durableId="1250770563">
    <w:abstractNumId w:val="24"/>
  </w:num>
  <w:num w:numId="11" w16cid:durableId="1362321043">
    <w:abstractNumId w:val="16"/>
  </w:num>
  <w:num w:numId="12" w16cid:durableId="1119370715">
    <w:abstractNumId w:val="26"/>
  </w:num>
  <w:num w:numId="13" w16cid:durableId="84613031">
    <w:abstractNumId w:val="11"/>
  </w:num>
  <w:num w:numId="14" w16cid:durableId="1903716398">
    <w:abstractNumId w:val="25"/>
  </w:num>
  <w:num w:numId="15" w16cid:durableId="102774384">
    <w:abstractNumId w:val="12"/>
  </w:num>
  <w:num w:numId="16" w16cid:durableId="805853763">
    <w:abstractNumId w:val="10"/>
  </w:num>
  <w:num w:numId="17" w16cid:durableId="1606770929">
    <w:abstractNumId w:val="13"/>
  </w:num>
  <w:num w:numId="18" w16cid:durableId="1141508033">
    <w:abstractNumId w:val="19"/>
  </w:num>
  <w:num w:numId="19" w16cid:durableId="1237788715">
    <w:abstractNumId w:val="14"/>
  </w:num>
  <w:num w:numId="20" w16cid:durableId="431516839">
    <w:abstractNumId w:val="18"/>
  </w:num>
  <w:num w:numId="21" w16cid:durableId="1707245374">
    <w:abstractNumId w:val="15"/>
  </w:num>
  <w:num w:numId="22" w16cid:durableId="1444152885">
    <w:abstractNumId w:val="21"/>
  </w:num>
  <w:num w:numId="23" w16cid:durableId="674378397">
    <w:abstractNumId w:val="23"/>
  </w:num>
  <w:num w:numId="24" w16cid:durableId="1421489083">
    <w:abstractNumId w:val="17"/>
  </w:num>
  <w:num w:numId="25" w16cid:durableId="1643539138">
    <w:abstractNumId w:val="22"/>
  </w:num>
  <w:num w:numId="26" w16cid:durableId="734548522">
    <w:abstractNumId w:val="20"/>
  </w:num>
  <w:num w:numId="27" w16cid:durableId="1825393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24"/>
    <w:rsid w:val="00002007"/>
    <w:rsid w:val="000035E8"/>
    <w:rsid w:val="0000416E"/>
    <w:rsid w:val="00006264"/>
    <w:rsid w:val="000065D4"/>
    <w:rsid w:val="00006ABA"/>
    <w:rsid w:val="0000710E"/>
    <w:rsid w:val="00007A8F"/>
    <w:rsid w:val="00010642"/>
    <w:rsid w:val="000121D1"/>
    <w:rsid w:val="0001250D"/>
    <w:rsid w:val="00012D8C"/>
    <w:rsid w:val="00013CA8"/>
    <w:rsid w:val="00014E17"/>
    <w:rsid w:val="00015446"/>
    <w:rsid w:val="00016543"/>
    <w:rsid w:val="00016A43"/>
    <w:rsid w:val="00016D94"/>
    <w:rsid w:val="00020798"/>
    <w:rsid w:val="00020E1E"/>
    <w:rsid w:val="00021D09"/>
    <w:rsid w:val="00021ED3"/>
    <w:rsid w:val="000231AF"/>
    <w:rsid w:val="000257C0"/>
    <w:rsid w:val="00027206"/>
    <w:rsid w:val="00030758"/>
    <w:rsid w:val="00030AAA"/>
    <w:rsid w:val="00030BCA"/>
    <w:rsid w:val="000318EA"/>
    <w:rsid w:val="00032035"/>
    <w:rsid w:val="00032A2A"/>
    <w:rsid w:val="00032CB0"/>
    <w:rsid w:val="00033AF0"/>
    <w:rsid w:val="00033BE9"/>
    <w:rsid w:val="00034616"/>
    <w:rsid w:val="00036868"/>
    <w:rsid w:val="000417B1"/>
    <w:rsid w:val="00041EA9"/>
    <w:rsid w:val="0004214B"/>
    <w:rsid w:val="00042643"/>
    <w:rsid w:val="00045DE2"/>
    <w:rsid w:val="00046BEB"/>
    <w:rsid w:val="00050D36"/>
    <w:rsid w:val="000548ED"/>
    <w:rsid w:val="00054CEA"/>
    <w:rsid w:val="000570C0"/>
    <w:rsid w:val="0006063C"/>
    <w:rsid w:val="00060EFB"/>
    <w:rsid w:val="00061852"/>
    <w:rsid w:val="00062C4D"/>
    <w:rsid w:val="00063461"/>
    <w:rsid w:val="00066922"/>
    <w:rsid w:val="0007106F"/>
    <w:rsid w:val="0007222C"/>
    <w:rsid w:val="0007284B"/>
    <w:rsid w:val="000740C1"/>
    <w:rsid w:val="0007499C"/>
    <w:rsid w:val="00074B94"/>
    <w:rsid w:val="00074DB5"/>
    <w:rsid w:val="0007522B"/>
    <w:rsid w:val="00075BB6"/>
    <w:rsid w:val="0007609E"/>
    <w:rsid w:val="0007735F"/>
    <w:rsid w:val="00080878"/>
    <w:rsid w:val="00082F55"/>
    <w:rsid w:val="00083176"/>
    <w:rsid w:val="000831BC"/>
    <w:rsid w:val="000844AA"/>
    <w:rsid w:val="000848B6"/>
    <w:rsid w:val="000863F9"/>
    <w:rsid w:val="00090F3D"/>
    <w:rsid w:val="0009440B"/>
    <w:rsid w:val="0009667D"/>
    <w:rsid w:val="00096860"/>
    <w:rsid w:val="000A2368"/>
    <w:rsid w:val="000A2DCA"/>
    <w:rsid w:val="000A3007"/>
    <w:rsid w:val="000A3060"/>
    <w:rsid w:val="000A3E14"/>
    <w:rsid w:val="000A4548"/>
    <w:rsid w:val="000A6BE0"/>
    <w:rsid w:val="000A75A7"/>
    <w:rsid w:val="000A776B"/>
    <w:rsid w:val="000B0A8C"/>
    <w:rsid w:val="000B19DD"/>
    <w:rsid w:val="000B3804"/>
    <w:rsid w:val="000B46F4"/>
    <w:rsid w:val="000B49DD"/>
    <w:rsid w:val="000B4B0B"/>
    <w:rsid w:val="000B7953"/>
    <w:rsid w:val="000B7C19"/>
    <w:rsid w:val="000B7F4E"/>
    <w:rsid w:val="000C165E"/>
    <w:rsid w:val="000C17D6"/>
    <w:rsid w:val="000C1C59"/>
    <w:rsid w:val="000C27D1"/>
    <w:rsid w:val="000C27E5"/>
    <w:rsid w:val="000C383B"/>
    <w:rsid w:val="000C38F3"/>
    <w:rsid w:val="000C4950"/>
    <w:rsid w:val="000C61F3"/>
    <w:rsid w:val="000C63E9"/>
    <w:rsid w:val="000C6505"/>
    <w:rsid w:val="000D086A"/>
    <w:rsid w:val="000D1179"/>
    <w:rsid w:val="000D1F32"/>
    <w:rsid w:val="000D2677"/>
    <w:rsid w:val="000D26C4"/>
    <w:rsid w:val="000D4CD8"/>
    <w:rsid w:val="000D5946"/>
    <w:rsid w:val="000D7CAB"/>
    <w:rsid w:val="000E05F9"/>
    <w:rsid w:val="000E3AC3"/>
    <w:rsid w:val="000E4A16"/>
    <w:rsid w:val="000E7A67"/>
    <w:rsid w:val="000E7B55"/>
    <w:rsid w:val="000F0A91"/>
    <w:rsid w:val="000F489E"/>
    <w:rsid w:val="000F6969"/>
    <w:rsid w:val="00101078"/>
    <w:rsid w:val="00101636"/>
    <w:rsid w:val="001017B3"/>
    <w:rsid w:val="001021AD"/>
    <w:rsid w:val="001026F2"/>
    <w:rsid w:val="0010450B"/>
    <w:rsid w:val="00105143"/>
    <w:rsid w:val="001076F4"/>
    <w:rsid w:val="00111933"/>
    <w:rsid w:val="00111F68"/>
    <w:rsid w:val="0011295D"/>
    <w:rsid w:val="001133F8"/>
    <w:rsid w:val="001149CE"/>
    <w:rsid w:val="001204AA"/>
    <w:rsid w:val="001217EE"/>
    <w:rsid w:val="00121981"/>
    <w:rsid w:val="0012228F"/>
    <w:rsid w:val="00126EB5"/>
    <w:rsid w:val="0012711F"/>
    <w:rsid w:val="001272E9"/>
    <w:rsid w:val="00131161"/>
    <w:rsid w:val="00131BBA"/>
    <w:rsid w:val="001330CF"/>
    <w:rsid w:val="00134827"/>
    <w:rsid w:val="00135FB9"/>
    <w:rsid w:val="00136838"/>
    <w:rsid w:val="00137D94"/>
    <w:rsid w:val="001413E6"/>
    <w:rsid w:val="00141B83"/>
    <w:rsid w:val="0014239B"/>
    <w:rsid w:val="00142F22"/>
    <w:rsid w:val="00143B4D"/>
    <w:rsid w:val="00143F78"/>
    <w:rsid w:val="0014428D"/>
    <w:rsid w:val="00144630"/>
    <w:rsid w:val="00144E96"/>
    <w:rsid w:val="0014528F"/>
    <w:rsid w:val="00146AA4"/>
    <w:rsid w:val="00146C9F"/>
    <w:rsid w:val="001471AB"/>
    <w:rsid w:val="00150028"/>
    <w:rsid w:val="0015074B"/>
    <w:rsid w:val="00151070"/>
    <w:rsid w:val="00153087"/>
    <w:rsid w:val="0015395C"/>
    <w:rsid w:val="00162646"/>
    <w:rsid w:val="00163235"/>
    <w:rsid w:val="001633C4"/>
    <w:rsid w:val="001665E1"/>
    <w:rsid w:val="001667C1"/>
    <w:rsid w:val="001670F2"/>
    <w:rsid w:val="001679EC"/>
    <w:rsid w:val="00170276"/>
    <w:rsid w:val="001719BE"/>
    <w:rsid w:val="0017206C"/>
    <w:rsid w:val="00172316"/>
    <w:rsid w:val="00173DAE"/>
    <w:rsid w:val="00173E8F"/>
    <w:rsid w:val="00174569"/>
    <w:rsid w:val="00181F73"/>
    <w:rsid w:val="001820DB"/>
    <w:rsid w:val="001826B3"/>
    <w:rsid w:val="00182C56"/>
    <w:rsid w:val="00182F49"/>
    <w:rsid w:val="00182FF4"/>
    <w:rsid w:val="0018353B"/>
    <w:rsid w:val="00183B8A"/>
    <w:rsid w:val="00184168"/>
    <w:rsid w:val="00184620"/>
    <w:rsid w:val="001850CE"/>
    <w:rsid w:val="001854B4"/>
    <w:rsid w:val="00187258"/>
    <w:rsid w:val="001879E7"/>
    <w:rsid w:val="00187F03"/>
    <w:rsid w:val="0019053B"/>
    <w:rsid w:val="0019072A"/>
    <w:rsid w:val="00191E97"/>
    <w:rsid w:val="0019405D"/>
    <w:rsid w:val="0019476E"/>
    <w:rsid w:val="0019480B"/>
    <w:rsid w:val="00196246"/>
    <w:rsid w:val="001966D5"/>
    <w:rsid w:val="00196B49"/>
    <w:rsid w:val="00196DFE"/>
    <w:rsid w:val="00197C2F"/>
    <w:rsid w:val="001A0364"/>
    <w:rsid w:val="001A0D07"/>
    <w:rsid w:val="001A2048"/>
    <w:rsid w:val="001A4B15"/>
    <w:rsid w:val="001A5FC7"/>
    <w:rsid w:val="001A68AE"/>
    <w:rsid w:val="001A7A44"/>
    <w:rsid w:val="001B02E3"/>
    <w:rsid w:val="001B3ED5"/>
    <w:rsid w:val="001B4642"/>
    <w:rsid w:val="001B61CF"/>
    <w:rsid w:val="001B6C1C"/>
    <w:rsid w:val="001C041E"/>
    <w:rsid w:val="001C18B3"/>
    <w:rsid w:val="001C48F7"/>
    <w:rsid w:val="001C55BE"/>
    <w:rsid w:val="001C5755"/>
    <w:rsid w:val="001C5F0F"/>
    <w:rsid w:val="001C6364"/>
    <w:rsid w:val="001C652C"/>
    <w:rsid w:val="001D2BEB"/>
    <w:rsid w:val="001D37F5"/>
    <w:rsid w:val="001D3861"/>
    <w:rsid w:val="001D3D63"/>
    <w:rsid w:val="001D3F61"/>
    <w:rsid w:val="001D63DB"/>
    <w:rsid w:val="001D6E22"/>
    <w:rsid w:val="001D7462"/>
    <w:rsid w:val="001D7EEE"/>
    <w:rsid w:val="001D7F97"/>
    <w:rsid w:val="001E0701"/>
    <w:rsid w:val="001E0762"/>
    <w:rsid w:val="001E140B"/>
    <w:rsid w:val="001E2D17"/>
    <w:rsid w:val="001E3A9D"/>
    <w:rsid w:val="001E4795"/>
    <w:rsid w:val="001E4911"/>
    <w:rsid w:val="001E5C42"/>
    <w:rsid w:val="001E644C"/>
    <w:rsid w:val="001F04ED"/>
    <w:rsid w:val="001F06D9"/>
    <w:rsid w:val="001F1565"/>
    <w:rsid w:val="001F16BF"/>
    <w:rsid w:val="001F48EE"/>
    <w:rsid w:val="001F5BAD"/>
    <w:rsid w:val="00200362"/>
    <w:rsid w:val="00200568"/>
    <w:rsid w:val="00202817"/>
    <w:rsid w:val="00204214"/>
    <w:rsid w:val="00204B2C"/>
    <w:rsid w:val="00205459"/>
    <w:rsid w:val="00205D9A"/>
    <w:rsid w:val="00205FD7"/>
    <w:rsid w:val="00207C61"/>
    <w:rsid w:val="002104C6"/>
    <w:rsid w:val="00210A2D"/>
    <w:rsid w:val="00212625"/>
    <w:rsid w:val="002149DE"/>
    <w:rsid w:val="002160A8"/>
    <w:rsid w:val="002160DF"/>
    <w:rsid w:val="0021631F"/>
    <w:rsid w:val="002225C2"/>
    <w:rsid w:val="0022419B"/>
    <w:rsid w:val="0022453A"/>
    <w:rsid w:val="00224B54"/>
    <w:rsid w:val="00224F05"/>
    <w:rsid w:val="00225ABB"/>
    <w:rsid w:val="0022692D"/>
    <w:rsid w:val="002274CC"/>
    <w:rsid w:val="002279BD"/>
    <w:rsid w:val="00231189"/>
    <w:rsid w:val="0023519C"/>
    <w:rsid w:val="00236FAF"/>
    <w:rsid w:val="00240EA1"/>
    <w:rsid w:val="002416BA"/>
    <w:rsid w:val="00245089"/>
    <w:rsid w:val="00245515"/>
    <w:rsid w:val="00246CA9"/>
    <w:rsid w:val="0024717C"/>
    <w:rsid w:val="0025014A"/>
    <w:rsid w:val="00250881"/>
    <w:rsid w:val="00250921"/>
    <w:rsid w:val="00251577"/>
    <w:rsid w:val="00251A33"/>
    <w:rsid w:val="0025208C"/>
    <w:rsid w:val="002539D3"/>
    <w:rsid w:val="00253EFB"/>
    <w:rsid w:val="00254033"/>
    <w:rsid w:val="002542CD"/>
    <w:rsid w:val="002543FA"/>
    <w:rsid w:val="00254649"/>
    <w:rsid w:val="00254690"/>
    <w:rsid w:val="00254AF9"/>
    <w:rsid w:val="00254FB0"/>
    <w:rsid w:val="00256992"/>
    <w:rsid w:val="00261157"/>
    <w:rsid w:val="00265688"/>
    <w:rsid w:val="002656CF"/>
    <w:rsid w:val="0026599C"/>
    <w:rsid w:val="00266325"/>
    <w:rsid w:val="0027193E"/>
    <w:rsid w:val="002730BA"/>
    <w:rsid w:val="002732DF"/>
    <w:rsid w:val="0027343A"/>
    <w:rsid w:val="00273586"/>
    <w:rsid w:val="00274275"/>
    <w:rsid w:val="00274DEE"/>
    <w:rsid w:val="00275243"/>
    <w:rsid w:val="0027586C"/>
    <w:rsid w:val="00275F4B"/>
    <w:rsid w:val="00277547"/>
    <w:rsid w:val="0028019B"/>
    <w:rsid w:val="00285A94"/>
    <w:rsid w:val="00285AC8"/>
    <w:rsid w:val="0028637D"/>
    <w:rsid w:val="0028695F"/>
    <w:rsid w:val="00290694"/>
    <w:rsid w:val="00292FA1"/>
    <w:rsid w:val="0029431C"/>
    <w:rsid w:val="002946FD"/>
    <w:rsid w:val="00294D97"/>
    <w:rsid w:val="0029597A"/>
    <w:rsid w:val="00295999"/>
    <w:rsid w:val="0029639D"/>
    <w:rsid w:val="0029738E"/>
    <w:rsid w:val="002A0C14"/>
    <w:rsid w:val="002A2DF5"/>
    <w:rsid w:val="002A6F30"/>
    <w:rsid w:val="002A7004"/>
    <w:rsid w:val="002A74A5"/>
    <w:rsid w:val="002B1C85"/>
    <w:rsid w:val="002B1DD8"/>
    <w:rsid w:val="002B29CE"/>
    <w:rsid w:val="002B2C9A"/>
    <w:rsid w:val="002B3D3D"/>
    <w:rsid w:val="002B434D"/>
    <w:rsid w:val="002B48C5"/>
    <w:rsid w:val="002B63F9"/>
    <w:rsid w:val="002B696F"/>
    <w:rsid w:val="002B6C86"/>
    <w:rsid w:val="002B6E82"/>
    <w:rsid w:val="002B7395"/>
    <w:rsid w:val="002C3B23"/>
    <w:rsid w:val="002C4A87"/>
    <w:rsid w:val="002C4BD0"/>
    <w:rsid w:val="002C509F"/>
    <w:rsid w:val="002C56D3"/>
    <w:rsid w:val="002C5CEF"/>
    <w:rsid w:val="002C6F98"/>
    <w:rsid w:val="002C716F"/>
    <w:rsid w:val="002D0018"/>
    <w:rsid w:val="002D07D1"/>
    <w:rsid w:val="002D0D50"/>
    <w:rsid w:val="002D0EC5"/>
    <w:rsid w:val="002D12C2"/>
    <w:rsid w:val="002D1897"/>
    <w:rsid w:val="002D1CB1"/>
    <w:rsid w:val="002D1ECF"/>
    <w:rsid w:val="002D2488"/>
    <w:rsid w:val="002D2F85"/>
    <w:rsid w:val="002D3247"/>
    <w:rsid w:val="002D40F3"/>
    <w:rsid w:val="002D5525"/>
    <w:rsid w:val="002D56EC"/>
    <w:rsid w:val="002D63E1"/>
    <w:rsid w:val="002D6F76"/>
    <w:rsid w:val="002E0A1B"/>
    <w:rsid w:val="002E0F6C"/>
    <w:rsid w:val="002E2369"/>
    <w:rsid w:val="002E2AB0"/>
    <w:rsid w:val="002E4B64"/>
    <w:rsid w:val="002E4EC4"/>
    <w:rsid w:val="002E5E98"/>
    <w:rsid w:val="002E63E0"/>
    <w:rsid w:val="002E6C5E"/>
    <w:rsid w:val="002F0ACF"/>
    <w:rsid w:val="002F1334"/>
    <w:rsid w:val="002F22F3"/>
    <w:rsid w:val="002F2776"/>
    <w:rsid w:val="002F2807"/>
    <w:rsid w:val="002F386E"/>
    <w:rsid w:val="002F3F4F"/>
    <w:rsid w:val="002F4505"/>
    <w:rsid w:val="002F4C0E"/>
    <w:rsid w:val="002F51B7"/>
    <w:rsid w:val="002F5C72"/>
    <w:rsid w:val="002F66B9"/>
    <w:rsid w:val="002F7077"/>
    <w:rsid w:val="00302A0C"/>
    <w:rsid w:val="00302BA3"/>
    <w:rsid w:val="00303B40"/>
    <w:rsid w:val="00303F5E"/>
    <w:rsid w:val="003045F3"/>
    <w:rsid w:val="00304D33"/>
    <w:rsid w:val="0030581C"/>
    <w:rsid w:val="003059AF"/>
    <w:rsid w:val="00306AF6"/>
    <w:rsid w:val="00307B83"/>
    <w:rsid w:val="003103E4"/>
    <w:rsid w:val="00311771"/>
    <w:rsid w:val="0031338F"/>
    <w:rsid w:val="003146D3"/>
    <w:rsid w:val="0031653F"/>
    <w:rsid w:val="0031717D"/>
    <w:rsid w:val="00323622"/>
    <w:rsid w:val="0032605E"/>
    <w:rsid w:val="00326F90"/>
    <w:rsid w:val="00327608"/>
    <w:rsid w:val="00330D53"/>
    <w:rsid w:val="00330FB2"/>
    <w:rsid w:val="00332311"/>
    <w:rsid w:val="003339DC"/>
    <w:rsid w:val="00334363"/>
    <w:rsid w:val="00334AEC"/>
    <w:rsid w:val="00335951"/>
    <w:rsid w:val="00335AFC"/>
    <w:rsid w:val="00341BF2"/>
    <w:rsid w:val="00341FDF"/>
    <w:rsid w:val="00342CAA"/>
    <w:rsid w:val="0034304C"/>
    <w:rsid w:val="003440F4"/>
    <w:rsid w:val="00344A2C"/>
    <w:rsid w:val="0034551A"/>
    <w:rsid w:val="00354664"/>
    <w:rsid w:val="0035636D"/>
    <w:rsid w:val="00356EEB"/>
    <w:rsid w:val="00357015"/>
    <w:rsid w:val="00357701"/>
    <w:rsid w:val="00360EBC"/>
    <w:rsid w:val="0036141C"/>
    <w:rsid w:val="00361F7B"/>
    <w:rsid w:val="00363052"/>
    <w:rsid w:val="00364A3B"/>
    <w:rsid w:val="00364A5A"/>
    <w:rsid w:val="003650C5"/>
    <w:rsid w:val="00365764"/>
    <w:rsid w:val="00365FDA"/>
    <w:rsid w:val="003677B9"/>
    <w:rsid w:val="0037267E"/>
    <w:rsid w:val="00372723"/>
    <w:rsid w:val="003730DB"/>
    <w:rsid w:val="003733C1"/>
    <w:rsid w:val="00374D30"/>
    <w:rsid w:val="0037706B"/>
    <w:rsid w:val="00380B9B"/>
    <w:rsid w:val="00380E07"/>
    <w:rsid w:val="0038111C"/>
    <w:rsid w:val="00381FB5"/>
    <w:rsid w:val="00382118"/>
    <w:rsid w:val="003826F4"/>
    <w:rsid w:val="00382C09"/>
    <w:rsid w:val="00384C68"/>
    <w:rsid w:val="00385960"/>
    <w:rsid w:val="00385FE5"/>
    <w:rsid w:val="00386276"/>
    <w:rsid w:val="0038703B"/>
    <w:rsid w:val="00387237"/>
    <w:rsid w:val="0038726D"/>
    <w:rsid w:val="003876B8"/>
    <w:rsid w:val="00391AFE"/>
    <w:rsid w:val="00391CB2"/>
    <w:rsid w:val="0039312E"/>
    <w:rsid w:val="0039329A"/>
    <w:rsid w:val="00393F17"/>
    <w:rsid w:val="003941A2"/>
    <w:rsid w:val="003952B2"/>
    <w:rsid w:val="00395F71"/>
    <w:rsid w:val="00397C6A"/>
    <w:rsid w:val="003A4107"/>
    <w:rsid w:val="003A49EF"/>
    <w:rsid w:val="003A56FC"/>
    <w:rsid w:val="003A5782"/>
    <w:rsid w:val="003A5D4A"/>
    <w:rsid w:val="003A638D"/>
    <w:rsid w:val="003A754A"/>
    <w:rsid w:val="003A7A54"/>
    <w:rsid w:val="003B0487"/>
    <w:rsid w:val="003B1B57"/>
    <w:rsid w:val="003B1F69"/>
    <w:rsid w:val="003B24B7"/>
    <w:rsid w:val="003B34F8"/>
    <w:rsid w:val="003B3946"/>
    <w:rsid w:val="003B3B10"/>
    <w:rsid w:val="003B6062"/>
    <w:rsid w:val="003B625B"/>
    <w:rsid w:val="003B6331"/>
    <w:rsid w:val="003B6590"/>
    <w:rsid w:val="003B6D27"/>
    <w:rsid w:val="003B7DB5"/>
    <w:rsid w:val="003C04C2"/>
    <w:rsid w:val="003C1230"/>
    <w:rsid w:val="003C1987"/>
    <w:rsid w:val="003C2651"/>
    <w:rsid w:val="003C3223"/>
    <w:rsid w:val="003C3AA8"/>
    <w:rsid w:val="003C3CDC"/>
    <w:rsid w:val="003C4E08"/>
    <w:rsid w:val="003C58C5"/>
    <w:rsid w:val="003C74AB"/>
    <w:rsid w:val="003C7DD0"/>
    <w:rsid w:val="003C7FC1"/>
    <w:rsid w:val="003D019E"/>
    <w:rsid w:val="003D1A9C"/>
    <w:rsid w:val="003D1B74"/>
    <w:rsid w:val="003D4CEC"/>
    <w:rsid w:val="003D5954"/>
    <w:rsid w:val="003D70F9"/>
    <w:rsid w:val="003D7CE0"/>
    <w:rsid w:val="003D7D7E"/>
    <w:rsid w:val="003E0115"/>
    <w:rsid w:val="003E0268"/>
    <w:rsid w:val="003E3FCE"/>
    <w:rsid w:val="003E4DC7"/>
    <w:rsid w:val="003E6555"/>
    <w:rsid w:val="003E6B23"/>
    <w:rsid w:val="003E7488"/>
    <w:rsid w:val="003F0E26"/>
    <w:rsid w:val="003F315D"/>
    <w:rsid w:val="003F48A3"/>
    <w:rsid w:val="003F4ACE"/>
    <w:rsid w:val="003F58CF"/>
    <w:rsid w:val="003F6449"/>
    <w:rsid w:val="003F6B60"/>
    <w:rsid w:val="003F760F"/>
    <w:rsid w:val="00402893"/>
    <w:rsid w:val="00403416"/>
    <w:rsid w:val="0040536B"/>
    <w:rsid w:val="004062F0"/>
    <w:rsid w:val="00407034"/>
    <w:rsid w:val="004076E7"/>
    <w:rsid w:val="00407D16"/>
    <w:rsid w:val="004115B6"/>
    <w:rsid w:val="00411FC1"/>
    <w:rsid w:val="00413C29"/>
    <w:rsid w:val="00415BB3"/>
    <w:rsid w:val="004166F9"/>
    <w:rsid w:val="00420CF6"/>
    <w:rsid w:val="00421473"/>
    <w:rsid w:val="00423C0E"/>
    <w:rsid w:val="00423EA5"/>
    <w:rsid w:val="00424286"/>
    <w:rsid w:val="00424909"/>
    <w:rsid w:val="004249EB"/>
    <w:rsid w:val="00426DAF"/>
    <w:rsid w:val="00427074"/>
    <w:rsid w:val="00432DE1"/>
    <w:rsid w:val="004333FA"/>
    <w:rsid w:val="004364FF"/>
    <w:rsid w:val="00440AC2"/>
    <w:rsid w:val="004423EB"/>
    <w:rsid w:val="004427E2"/>
    <w:rsid w:val="00442DC6"/>
    <w:rsid w:val="004432BE"/>
    <w:rsid w:val="004453CE"/>
    <w:rsid w:val="00446A13"/>
    <w:rsid w:val="0045061F"/>
    <w:rsid w:val="00451058"/>
    <w:rsid w:val="0045191B"/>
    <w:rsid w:val="00451C6D"/>
    <w:rsid w:val="00451F45"/>
    <w:rsid w:val="004530FE"/>
    <w:rsid w:val="004534BA"/>
    <w:rsid w:val="004539AE"/>
    <w:rsid w:val="00455EEC"/>
    <w:rsid w:val="0045611F"/>
    <w:rsid w:val="00460F18"/>
    <w:rsid w:val="00460FB8"/>
    <w:rsid w:val="004618B1"/>
    <w:rsid w:val="00462342"/>
    <w:rsid w:val="00462585"/>
    <w:rsid w:val="00462F34"/>
    <w:rsid w:val="004638B4"/>
    <w:rsid w:val="00466230"/>
    <w:rsid w:val="00471E20"/>
    <w:rsid w:val="00474C18"/>
    <w:rsid w:val="00474D72"/>
    <w:rsid w:val="00475B82"/>
    <w:rsid w:val="00482E42"/>
    <w:rsid w:val="004831F7"/>
    <w:rsid w:val="0048394E"/>
    <w:rsid w:val="00484B34"/>
    <w:rsid w:val="00487EC0"/>
    <w:rsid w:val="004902AB"/>
    <w:rsid w:val="00490FE0"/>
    <w:rsid w:val="0049497A"/>
    <w:rsid w:val="00495047"/>
    <w:rsid w:val="00496FB7"/>
    <w:rsid w:val="004A0E50"/>
    <w:rsid w:val="004A21D1"/>
    <w:rsid w:val="004A2EDD"/>
    <w:rsid w:val="004A317B"/>
    <w:rsid w:val="004A3788"/>
    <w:rsid w:val="004A548A"/>
    <w:rsid w:val="004A6C57"/>
    <w:rsid w:val="004B14C0"/>
    <w:rsid w:val="004B2726"/>
    <w:rsid w:val="004B3C98"/>
    <w:rsid w:val="004B427B"/>
    <w:rsid w:val="004B4CEF"/>
    <w:rsid w:val="004B728F"/>
    <w:rsid w:val="004C005F"/>
    <w:rsid w:val="004C17B5"/>
    <w:rsid w:val="004C1A7B"/>
    <w:rsid w:val="004C1DE8"/>
    <w:rsid w:val="004C2729"/>
    <w:rsid w:val="004C5502"/>
    <w:rsid w:val="004C566C"/>
    <w:rsid w:val="004D274A"/>
    <w:rsid w:val="004D2AB7"/>
    <w:rsid w:val="004D306D"/>
    <w:rsid w:val="004D42D9"/>
    <w:rsid w:val="004D4EBC"/>
    <w:rsid w:val="004D62C0"/>
    <w:rsid w:val="004D6C6F"/>
    <w:rsid w:val="004D6FEF"/>
    <w:rsid w:val="004D7340"/>
    <w:rsid w:val="004D7B88"/>
    <w:rsid w:val="004E0667"/>
    <w:rsid w:val="004E3A6B"/>
    <w:rsid w:val="004E446C"/>
    <w:rsid w:val="004E49F3"/>
    <w:rsid w:val="004E526C"/>
    <w:rsid w:val="004E52C2"/>
    <w:rsid w:val="004E5C4A"/>
    <w:rsid w:val="004E6684"/>
    <w:rsid w:val="004E6B1D"/>
    <w:rsid w:val="004E71A4"/>
    <w:rsid w:val="004E784E"/>
    <w:rsid w:val="004E7FF0"/>
    <w:rsid w:val="004F21B4"/>
    <w:rsid w:val="004F2915"/>
    <w:rsid w:val="004F3469"/>
    <w:rsid w:val="004F3EF6"/>
    <w:rsid w:val="004F482B"/>
    <w:rsid w:val="004F4AFA"/>
    <w:rsid w:val="004F4FFF"/>
    <w:rsid w:val="004F5CB3"/>
    <w:rsid w:val="004F61E0"/>
    <w:rsid w:val="004F655F"/>
    <w:rsid w:val="005012EA"/>
    <w:rsid w:val="005025AF"/>
    <w:rsid w:val="0050313F"/>
    <w:rsid w:val="00503B1C"/>
    <w:rsid w:val="00503D30"/>
    <w:rsid w:val="00503EF1"/>
    <w:rsid w:val="00504352"/>
    <w:rsid w:val="0050531D"/>
    <w:rsid w:val="005079B0"/>
    <w:rsid w:val="00511835"/>
    <w:rsid w:val="0051220D"/>
    <w:rsid w:val="00513244"/>
    <w:rsid w:val="0051330C"/>
    <w:rsid w:val="00514B89"/>
    <w:rsid w:val="0051679B"/>
    <w:rsid w:val="005174CD"/>
    <w:rsid w:val="00517985"/>
    <w:rsid w:val="005203D3"/>
    <w:rsid w:val="005209A9"/>
    <w:rsid w:val="00521073"/>
    <w:rsid w:val="0052229F"/>
    <w:rsid w:val="00523602"/>
    <w:rsid w:val="0052367B"/>
    <w:rsid w:val="00525AE6"/>
    <w:rsid w:val="005262E4"/>
    <w:rsid w:val="00526311"/>
    <w:rsid w:val="00526836"/>
    <w:rsid w:val="00527E78"/>
    <w:rsid w:val="00530781"/>
    <w:rsid w:val="00530A0F"/>
    <w:rsid w:val="00530BF2"/>
    <w:rsid w:val="00532DC6"/>
    <w:rsid w:val="00535FC4"/>
    <w:rsid w:val="005361CC"/>
    <w:rsid w:val="005373E4"/>
    <w:rsid w:val="00542BC5"/>
    <w:rsid w:val="00543A17"/>
    <w:rsid w:val="00543A22"/>
    <w:rsid w:val="00544514"/>
    <w:rsid w:val="00544528"/>
    <w:rsid w:val="00547C45"/>
    <w:rsid w:val="00547EA3"/>
    <w:rsid w:val="005501A9"/>
    <w:rsid w:val="00551151"/>
    <w:rsid w:val="00551203"/>
    <w:rsid w:val="00551BB1"/>
    <w:rsid w:val="00551DE2"/>
    <w:rsid w:val="00551E94"/>
    <w:rsid w:val="00552397"/>
    <w:rsid w:val="00552BF5"/>
    <w:rsid w:val="00553A6C"/>
    <w:rsid w:val="005543C7"/>
    <w:rsid w:val="0055510A"/>
    <w:rsid w:val="0055530C"/>
    <w:rsid w:val="005554DD"/>
    <w:rsid w:val="00556344"/>
    <w:rsid w:val="00556AA2"/>
    <w:rsid w:val="00557072"/>
    <w:rsid w:val="005575E8"/>
    <w:rsid w:val="0056055A"/>
    <w:rsid w:val="00560E79"/>
    <w:rsid w:val="0056318A"/>
    <w:rsid w:val="005640E7"/>
    <w:rsid w:val="005653F0"/>
    <w:rsid w:val="00565493"/>
    <w:rsid w:val="00567411"/>
    <w:rsid w:val="00567CC8"/>
    <w:rsid w:val="0057181B"/>
    <w:rsid w:val="005722EA"/>
    <w:rsid w:val="00574855"/>
    <w:rsid w:val="005759DD"/>
    <w:rsid w:val="0057785B"/>
    <w:rsid w:val="00582A9C"/>
    <w:rsid w:val="00584871"/>
    <w:rsid w:val="005849E7"/>
    <w:rsid w:val="00584BCE"/>
    <w:rsid w:val="00584E28"/>
    <w:rsid w:val="005855CF"/>
    <w:rsid w:val="0058669C"/>
    <w:rsid w:val="00586D61"/>
    <w:rsid w:val="005877D0"/>
    <w:rsid w:val="00587AA5"/>
    <w:rsid w:val="0059040D"/>
    <w:rsid w:val="00593FBB"/>
    <w:rsid w:val="00594513"/>
    <w:rsid w:val="005953A4"/>
    <w:rsid w:val="005956C8"/>
    <w:rsid w:val="00597698"/>
    <w:rsid w:val="005A0503"/>
    <w:rsid w:val="005A1F6F"/>
    <w:rsid w:val="005A273F"/>
    <w:rsid w:val="005A3E89"/>
    <w:rsid w:val="005A400E"/>
    <w:rsid w:val="005A5CC4"/>
    <w:rsid w:val="005B030D"/>
    <w:rsid w:val="005B1560"/>
    <w:rsid w:val="005B1712"/>
    <w:rsid w:val="005B194E"/>
    <w:rsid w:val="005B1CEF"/>
    <w:rsid w:val="005B1DC8"/>
    <w:rsid w:val="005B2842"/>
    <w:rsid w:val="005B2FC7"/>
    <w:rsid w:val="005B2FD4"/>
    <w:rsid w:val="005B58EF"/>
    <w:rsid w:val="005B5C28"/>
    <w:rsid w:val="005B627F"/>
    <w:rsid w:val="005B68F8"/>
    <w:rsid w:val="005B6C7A"/>
    <w:rsid w:val="005B73D7"/>
    <w:rsid w:val="005C153C"/>
    <w:rsid w:val="005C28E0"/>
    <w:rsid w:val="005C3FB4"/>
    <w:rsid w:val="005C4AD7"/>
    <w:rsid w:val="005C4B90"/>
    <w:rsid w:val="005C4FFE"/>
    <w:rsid w:val="005C5126"/>
    <w:rsid w:val="005C5CE8"/>
    <w:rsid w:val="005D019F"/>
    <w:rsid w:val="005D28F8"/>
    <w:rsid w:val="005D2D04"/>
    <w:rsid w:val="005D3EA3"/>
    <w:rsid w:val="005D4A71"/>
    <w:rsid w:val="005D7632"/>
    <w:rsid w:val="005D79FE"/>
    <w:rsid w:val="005D7AA9"/>
    <w:rsid w:val="005E17AC"/>
    <w:rsid w:val="005E18BA"/>
    <w:rsid w:val="005E28BA"/>
    <w:rsid w:val="005E2F48"/>
    <w:rsid w:val="005E3074"/>
    <w:rsid w:val="005E3AA7"/>
    <w:rsid w:val="005E4342"/>
    <w:rsid w:val="005E662C"/>
    <w:rsid w:val="005E7907"/>
    <w:rsid w:val="005F0C2D"/>
    <w:rsid w:val="005F1D33"/>
    <w:rsid w:val="005F2022"/>
    <w:rsid w:val="005F2445"/>
    <w:rsid w:val="005F2AB2"/>
    <w:rsid w:val="005F4680"/>
    <w:rsid w:val="005F476D"/>
    <w:rsid w:val="005F4CEB"/>
    <w:rsid w:val="005F60FA"/>
    <w:rsid w:val="005F6F1B"/>
    <w:rsid w:val="00602289"/>
    <w:rsid w:val="006027E0"/>
    <w:rsid w:val="00602B49"/>
    <w:rsid w:val="00602E2C"/>
    <w:rsid w:val="006035AB"/>
    <w:rsid w:val="00603D1C"/>
    <w:rsid w:val="0060421A"/>
    <w:rsid w:val="00604942"/>
    <w:rsid w:val="00604DA9"/>
    <w:rsid w:val="00610B10"/>
    <w:rsid w:val="00610B2A"/>
    <w:rsid w:val="00610D84"/>
    <w:rsid w:val="00611CF9"/>
    <w:rsid w:val="00613C77"/>
    <w:rsid w:val="00613CC3"/>
    <w:rsid w:val="00613E3A"/>
    <w:rsid w:val="0061483C"/>
    <w:rsid w:val="00614FB2"/>
    <w:rsid w:val="00617CBD"/>
    <w:rsid w:val="006251EB"/>
    <w:rsid w:val="006258BC"/>
    <w:rsid w:val="0062609E"/>
    <w:rsid w:val="006300A3"/>
    <w:rsid w:val="00630634"/>
    <w:rsid w:val="006311DB"/>
    <w:rsid w:val="0063260D"/>
    <w:rsid w:val="00633F74"/>
    <w:rsid w:val="0063520E"/>
    <w:rsid w:val="006370FA"/>
    <w:rsid w:val="006376B1"/>
    <w:rsid w:val="00643D20"/>
    <w:rsid w:val="0064416C"/>
    <w:rsid w:val="00644223"/>
    <w:rsid w:val="006462A4"/>
    <w:rsid w:val="00646AAC"/>
    <w:rsid w:val="006476BF"/>
    <w:rsid w:val="00650CEC"/>
    <w:rsid w:val="006512FE"/>
    <w:rsid w:val="00651AB0"/>
    <w:rsid w:val="0065211F"/>
    <w:rsid w:val="006523AE"/>
    <w:rsid w:val="00652F78"/>
    <w:rsid w:val="006538DF"/>
    <w:rsid w:val="00654CED"/>
    <w:rsid w:val="00654F81"/>
    <w:rsid w:val="00655C1E"/>
    <w:rsid w:val="006564A9"/>
    <w:rsid w:val="00656D71"/>
    <w:rsid w:val="00656D9C"/>
    <w:rsid w:val="00656E51"/>
    <w:rsid w:val="00657458"/>
    <w:rsid w:val="00657E00"/>
    <w:rsid w:val="00661210"/>
    <w:rsid w:val="00661924"/>
    <w:rsid w:val="0066373A"/>
    <w:rsid w:val="00663E50"/>
    <w:rsid w:val="00664090"/>
    <w:rsid w:val="00664A6D"/>
    <w:rsid w:val="00664BB4"/>
    <w:rsid w:val="0066567E"/>
    <w:rsid w:val="00666083"/>
    <w:rsid w:val="006675CD"/>
    <w:rsid w:val="0067134C"/>
    <w:rsid w:val="006717C7"/>
    <w:rsid w:val="00671F2F"/>
    <w:rsid w:val="00673230"/>
    <w:rsid w:val="00675513"/>
    <w:rsid w:val="006773AB"/>
    <w:rsid w:val="0068142A"/>
    <w:rsid w:val="006816CC"/>
    <w:rsid w:val="006827BF"/>
    <w:rsid w:val="00683D92"/>
    <w:rsid w:val="00683EB7"/>
    <w:rsid w:val="00685F19"/>
    <w:rsid w:val="00685F31"/>
    <w:rsid w:val="00686A0B"/>
    <w:rsid w:val="00690DFE"/>
    <w:rsid w:val="00690E5D"/>
    <w:rsid w:val="0069124F"/>
    <w:rsid w:val="00691FE5"/>
    <w:rsid w:val="0069632A"/>
    <w:rsid w:val="006A097F"/>
    <w:rsid w:val="006A1129"/>
    <w:rsid w:val="006A3360"/>
    <w:rsid w:val="006A344A"/>
    <w:rsid w:val="006A6401"/>
    <w:rsid w:val="006A6431"/>
    <w:rsid w:val="006A6848"/>
    <w:rsid w:val="006A6A27"/>
    <w:rsid w:val="006A7550"/>
    <w:rsid w:val="006B0E35"/>
    <w:rsid w:val="006B197B"/>
    <w:rsid w:val="006B3B2C"/>
    <w:rsid w:val="006B4528"/>
    <w:rsid w:val="006B4A6D"/>
    <w:rsid w:val="006B51D4"/>
    <w:rsid w:val="006B6D22"/>
    <w:rsid w:val="006B7143"/>
    <w:rsid w:val="006B767F"/>
    <w:rsid w:val="006B770F"/>
    <w:rsid w:val="006B7A8B"/>
    <w:rsid w:val="006C1639"/>
    <w:rsid w:val="006C1738"/>
    <w:rsid w:val="006C6936"/>
    <w:rsid w:val="006C6E4B"/>
    <w:rsid w:val="006C7614"/>
    <w:rsid w:val="006C7B9B"/>
    <w:rsid w:val="006C7FF6"/>
    <w:rsid w:val="006D20BA"/>
    <w:rsid w:val="006D2EAE"/>
    <w:rsid w:val="006D3D40"/>
    <w:rsid w:val="006D3E9B"/>
    <w:rsid w:val="006D3EAB"/>
    <w:rsid w:val="006D4487"/>
    <w:rsid w:val="006E02CA"/>
    <w:rsid w:val="006E1141"/>
    <w:rsid w:val="006E1F38"/>
    <w:rsid w:val="006E2791"/>
    <w:rsid w:val="006E2CDB"/>
    <w:rsid w:val="006E42D5"/>
    <w:rsid w:val="006E5395"/>
    <w:rsid w:val="006E5F0A"/>
    <w:rsid w:val="006F006E"/>
    <w:rsid w:val="006F06F9"/>
    <w:rsid w:val="006F1388"/>
    <w:rsid w:val="006F5989"/>
    <w:rsid w:val="006F6A58"/>
    <w:rsid w:val="0070040C"/>
    <w:rsid w:val="007008A2"/>
    <w:rsid w:val="0070196A"/>
    <w:rsid w:val="0070381A"/>
    <w:rsid w:val="0070607C"/>
    <w:rsid w:val="00710A89"/>
    <w:rsid w:val="0071203C"/>
    <w:rsid w:val="007134E2"/>
    <w:rsid w:val="00713673"/>
    <w:rsid w:val="007140AB"/>
    <w:rsid w:val="007147D4"/>
    <w:rsid w:val="00714E46"/>
    <w:rsid w:val="00716579"/>
    <w:rsid w:val="00716927"/>
    <w:rsid w:val="00716CC5"/>
    <w:rsid w:val="007172D9"/>
    <w:rsid w:val="00717B42"/>
    <w:rsid w:val="00720752"/>
    <w:rsid w:val="00722D8F"/>
    <w:rsid w:val="00725A92"/>
    <w:rsid w:val="007261DD"/>
    <w:rsid w:val="00726D03"/>
    <w:rsid w:val="00726E84"/>
    <w:rsid w:val="00730113"/>
    <w:rsid w:val="00731CE3"/>
    <w:rsid w:val="00731D62"/>
    <w:rsid w:val="00731F10"/>
    <w:rsid w:val="00731FDA"/>
    <w:rsid w:val="00732C63"/>
    <w:rsid w:val="00733696"/>
    <w:rsid w:val="00733F0F"/>
    <w:rsid w:val="00733FC6"/>
    <w:rsid w:val="00737542"/>
    <w:rsid w:val="00741A47"/>
    <w:rsid w:val="00741FAD"/>
    <w:rsid w:val="007432E3"/>
    <w:rsid w:val="00743AF9"/>
    <w:rsid w:val="00743C61"/>
    <w:rsid w:val="00745613"/>
    <w:rsid w:val="00745DA7"/>
    <w:rsid w:val="00746BC8"/>
    <w:rsid w:val="007474DE"/>
    <w:rsid w:val="00747A05"/>
    <w:rsid w:val="0075032E"/>
    <w:rsid w:val="00753D39"/>
    <w:rsid w:val="00754B7D"/>
    <w:rsid w:val="007616F4"/>
    <w:rsid w:val="00761EA7"/>
    <w:rsid w:val="00761F91"/>
    <w:rsid w:val="00762517"/>
    <w:rsid w:val="00762EAA"/>
    <w:rsid w:val="00762EEA"/>
    <w:rsid w:val="00766EAB"/>
    <w:rsid w:val="0076766C"/>
    <w:rsid w:val="00770ACC"/>
    <w:rsid w:val="00770DAA"/>
    <w:rsid w:val="00770E32"/>
    <w:rsid w:val="00770FEF"/>
    <w:rsid w:val="007715C7"/>
    <w:rsid w:val="007723F0"/>
    <w:rsid w:val="007727F8"/>
    <w:rsid w:val="00774D5D"/>
    <w:rsid w:val="00775332"/>
    <w:rsid w:val="00776520"/>
    <w:rsid w:val="0077659C"/>
    <w:rsid w:val="007800FC"/>
    <w:rsid w:val="00780266"/>
    <w:rsid w:val="007820F9"/>
    <w:rsid w:val="007831D0"/>
    <w:rsid w:val="007845C6"/>
    <w:rsid w:val="00786A20"/>
    <w:rsid w:val="00786C79"/>
    <w:rsid w:val="00791E8D"/>
    <w:rsid w:val="00795225"/>
    <w:rsid w:val="00795369"/>
    <w:rsid w:val="0079549E"/>
    <w:rsid w:val="00795B96"/>
    <w:rsid w:val="0079688D"/>
    <w:rsid w:val="007A0E78"/>
    <w:rsid w:val="007A1A72"/>
    <w:rsid w:val="007A30A7"/>
    <w:rsid w:val="007A5857"/>
    <w:rsid w:val="007A6175"/>
    <w:rsid w:val="007B0676"/>
    <w:rsid w:val="007C10ED"/>
    <w:rsid w:val="007C271F"/>
    <w:rsid w:val="007C38D4"/>
    <w:rsid w:val="007C3A46"/>
    <w:rsid w:val="007C6508"/>
    <w:rsid w:val="007C712D"/>
    <w:rsid w:val="007D0059"/>
    <w:rsid w:val="007D0CFD"/>
    <w:rsid w:val="007D1477"/>
    <w:rsid w:val="007D1FCE"/>
    <w:rsid w:val="007D42A2"/>
    <w:rsid w:val="007D4B21"/>
    <w:rsid w:val="007D6704"/>
    <w:rsid w:val="007E0AAC"/>
    <w:rsid w:val="007E0F1C"/>
    <w:rsid w:val="007E3EFF"/>
    <w:rsid w:val="007E53B2"/>
    <w:rsid w:val="007E5DEE"/>
    <w:rsid w:val="007F006F"/>
    <w:rsid w:val="007F1D1D"/>
    <w:rsid w:val="007F236E"/>
    <w:rsid w:val="007F5022"/>
    <w:rsid w:val="007F5E69"/>
    <w:rsid w:val="007F7F3B"/>
    <w:rsid w:val="00800B7F"/>
    <w:rsid w:val="00801EEC"/>
    <w:rsid w:val="0080292C"/>
    <w:rsid w:val="00803797"/>
    <w:rsid w:val="008041B1"/>
    <w:rsid w:val="008042A2"/>
    <w:rsid w:val="0080571E"/>
    <w:rsid w:val="0080640C"/>
    <w:rsid w:val="00807327"/>
    <w:rsid w:val="00807B48"/>
    <w:rsid w:val="00807BF7"/>
    <w:rsid w:val="008101CB"/>
    <w:rsid w:val="00810F16"/>
    <w:rsid w:val="00812D5E"/>
    <w:rsid w:val="008132AB"/>
    <w:rsid w:val="008137FE"/>
    <w:rsid w:val="0081522A"/>
    <w:rsid w:val="008159BB"/>
    <w:rsid w:val="00816229"/>
    <w:rsid w:val="0081636C"/>
    <w:rsid w:val="00816D62"/>
    <w:rsid w:val="00817534"/>
    <w:rsid w:val="008200E6"/>
    <w:rsid w:val="008210A0"/>
    <w:rsid w:val="0082162A"/>
    <w:rsid w:val="00821DD7"/>
    <w:rsid w:val="0082362E"/>
    <w:rsid w:val="008240FB"/>
    <w:rsid w:val="00824369"/>
    <w:rsid w:val="00826191"/>
    <w:rsid w:val="00827F2B"/>
    <w:rsid w:val="00831579"/>
    <w:rsid w:val="0083190E"/>
    <w:rsid w:val="00831E52"/>
    <w:rsid w:val="0083221E"/>
    <w:rsid w:val="00832247"/>
    <w:rsid w:val="00833F9F"/>
    <w:rsid w:val="008341B8"/>
    <w:rsid w:val="00835227"/>
    <w:rsid w:val="00835C8E"/>
    <w:rsid w:val="00835E39"/>
    <w:rsid w:val="00837158"/>
    <w:rsid w:val="008401B7"/>
    <w:rsid w:val="008402AF"/>
    <w:rsid w:val="00841843"/>
    <w:rsid w:val="008418EA"/>
    <w:rsid w:val="008427CC"/>
    <w:rsid w:val="00844FE1"/>
    <w:rsid w:val="00845C9A"/>
    <w:rsid w:val="00851A42"/>
    <w:rsid w:val="00851B04"/>
    <w:rsid w:val="00852745"/>
    <w:rsid w:val="0085280C"/>
    <w:rsid w:val="00853004"/>
    <w:rsid w:val="00854A51"/>
    <w:rsid w:val="008573DD"/>
    <w:rsid w:val="00857CDB"/>
    <w:rsid w:val="0086025B"/>
    <w:rsid w:val="008605BA"/>
    <w:rsid w:val="00860E9E"/>
    <w:rsid w:val="00861CC5"/>
    <w:rsid w:val="008626C6"/>
    <w:rsid w:val="008641F1"/>
    <w:rsid w:val="0086483A"/>
    <w:rsid w:val="00867316"/>
    <w:rsid w:val="00867832"/>
    <w:rsid w:val="00867AE8"/>
    <w:rsid w:val="00872E69"/>
    <w:rsid w:val="00873609"/>
    <w:rsid w:val="00874006"/>
    <w:rsid w:val="00880919"/>
    <w:rsid w:val="008816D4"/>
    <w:rsid w:val="008839A7"/>
    <w:rsid w:val="008839D5"/>
    <w:rsid w:val="00884108"/>
    <w:rsid w:val="00885248"/>
    <w:rsid w:val="00886EFA"/>
    <w:rsid w:val="008875B4"/>
    <w:rsid w:val="00891CA3"/>
    <w:rsid w:val="00894150"/>
    <w:rsid w:val="00897948"/>
    <w:rsid w:val="008A08C5"/>
    <w:rsid w:val="008A30CA"/>
    <w:rsid w:val="008A5027"/>
    <w:rsid w:val="008A5D66"/>
    <w:rsid w:val="008A7EB4"/>
    <w:rsid w:val="008B2259"/>
    <w:rsid w:val="008B2FD3"/>
    <w:rsid w:val="008B3EF0"/>
    <w:rsid w:val="008B6AC3"/>
    <w:rsid w:val="008C0605"/>
    <w:rsid w:val="008C14C4"/>
    <w:rsid w:val="008C209B"/>
    <w:rsid w:val="008C2BFC"/>
    <w:rsid w:val="008C2E38"/>
    <w:rsid w:val="008C6E26"/>
    <w:rsid w:val="008C7909"/>
    <w:rsid w:val="008D0645"/>
    <w:rsid w:val="008D0922"/>
    <w:rsid w:val="008D0B15"/>
    <w:rsid w:val="008D0C00"/>
    <w:rsid w:val="008D1F77"/>
    <w:rsid w:val="008D2E80"/>
    <w:rsid w:val="008D3291"/>
    <w:rsid w:val="008D3A27"/>
    <w:rsid w:val="008D45F8"/>
    <w:rsid w:val="008D4AB5"/>
    <w:rsid w:val="008D5CAF"/>
    <w:rsid w:val="008E0708"/>
    <w:rsid w:val="008E1D66"/>
    <w:rsid w:val="008E2DD5"/>
    <w:rsid w:val="008E4330"/>
    <w:rsid w:val="008E4F5C"/>
    <w:rsid w:val="008E5B1D"/>
    <w:rsid w:val="008F079F"/>
    <w:rsid w:val="008F36FE"/>
    <w:rsid w:val="008F40DB"/>
    <w:rsid w:val="008F429D"/>
    <w:rsid w:val="008F6155"/>
    <w:rsid w:val="008F755C"/>
    <w:rsid w:val="008F7848"/>
    <w:rsid w:val="00900227"/>
    <w:rsid w:val="00901917"/>
    <w:rsid w:val="0090225B"/>
    <w:rsid w:val="00902A54"/>
    <w:rsid w:val="00903ADC"/>
    <w:rsid w:val="00904EE4"/>
    <w:rsid w:val="00907947"/>
    <w:rsid w:val="00914EE7"/>
    <w:rsid w:val="0091536C"/>
    <w:rsid w:val="009162F4"/>
    <w:rsid w:val="0091757A"/>
    <w:rsid w:val="009200B6"/>
    <w:rsid w:val="00920331"/>
    <w:rsid w:val="00921294"/>
    <w:rsid w:val="00921A2A"/>
    <w:rsid w:val="009221ED"/>
    <w:rsid w:val="00922278"/>
    <w:rsid w:val="0092256E"/>
    <w:rsid w:val="00922D9D"/>
    <w:rsid w:val="00922DEB"/>
    <w:rsid w:val="009242B0"/>
    <w:rsid w:val="0092441C"/>
    <w:rsid w:val="0092478D"/>
    <w:rsid w:val="00924874"/>
    <w:rsid w:val="00924CA0"/>
    <w:rsid w:val="009250B9"/>
    <w:rsid w:val="009261A3"/>
    <w:rsid w:val="00927176"/>
    <w:rsid w:val="009276C1"/>
    <w:rsid w:val="00927AF6"/>
    <w:rsid w:val="009313AD"/>
    <w:rsid w:val="00931A3D"/>
    <w:rsid w:val="0093258E"/>
    <w:rsid w:val="009326B9"/>
    <w:rsid w:val="00932747"/>
    <w:rsid w:val="00932D67"/>
    <w:rsid w:val="00934A33"/>
    <w:rsid w:val="009359D7"/>
    <w:rsid w:val="00937DAA"/>
    <w:rsid w:val="0094190D"/>
    <w:rsid w:val="00942792"/>
    <w:rsid w:val="00942EF5"/>
    <w:rsid w:val="00943385"/>
    <w:rsid w:val="00943563"/>
    <w:rsid w:val="00943FAD"/>
    <w:rsid w:val="00945F43"/>
    <w:rsid w:val="0095079F"/>
    <w:rsid w:val="009508A8"/>
    <w:rsid w:val="009524D4"/>
    <w:rsid w:val="00952E96"/>
    <w:rsid w:val="00953988"/>
    <w:rsid w:val="009539AA"/>
    <w:rsid w:val="00953D83"/>
    <w:rsid w:val="009548FE"/>
    <w:rsid w:val="00954C56"/>
    <w:rsid w:val="009565C2"/>
    <w:rsid w:val="00956A52"/>
    <w:rsid w:val="00956AAA"/>
    <w:rsid w:val="0095748D"/>
    <w:rsid w:val="009576CB"/>
    <w:rsid w:val="00957E26"/>
    <w:rsid w:val="00957E46"/>
    <w:rsid w:val="00960A35"/>
    <w:rsid w:val="00961BC9"/>
    <w:rsid w:val="009658F5"/>
    <w:rsid w:val="00965FA1"/>
    <w:rsid w:val="0096723E"/>
    <w:rsid w:val="009734FB"/>
    <w:rsid w:val="00973E04"/>
    <w:rsid w:val="0097435F"/>
    <w:rsid w:val="0097500D"/>
    <w:rsid w:val="0097543A"/>
    <w:rsid w:val="0097593A"/>
    <w:rsid w:val="00975AA8"/>
    <w:rsid w:val="00975C74"/>
    <w:rsid w:val="00975E05"/>
    <w:rsid w:val="00976411"/>
    <w:rsid w:val="00976B82"/>
    <w:rsid w:val="00977167"/>
    <w:rsid w:val="009804F2"/>
    <w:rsid w:val="00980FD1"/>
    <w:rsid w:val="0098134E"/>
    <w:rsid w:val="00981418"/>
    <w:rsid w:val="009840CE"/>
    <w:rsid w:val="0098617C"/>
    <w:rsid w:val="009875F6"/>
    <w:rsid w:val="009877BA"/>
    <w:rsid w:val="00992984"/>
    <w:rsid w:val="00992EA8"/>
    <w:rsid w:val="0099632C"/>
    <w:rsid w:val="00997BD3"/>
    <w:rsid w:val="009A0EE2"/>
    <w:rsid w:val="009A1473"/>
    <w:rsid w:val="009A1483"/>
    <w:rsid w:val="009A24E2"/>
    <w:rsid w:val="009A2A54"/>
    <w:rsid w:val="009A337E"/>
    <w:rsid w:val="009A3D16"/>
    <w:rsid w:val="009A54E0"/>
    <w:rsid w:val="009A641B"/>
    <w:rsid w:val="009A7C5E"/>
    <w:rsid w:val="009B0532"/>
    <w:rsid w:val="009B1FE4"/>
    <w:rsid w:val="009B4525"/>
    <w:rsid w:val="009B79C7"/>
    <w:rsid w:val="009C1632"/>
    <w:rsid w:val="009C1BEB"/>
    <w:rsid w:val="009C2A98"/>
    <w:rsid w:val="009C3167"/>
    <w:rsid w:val="009C3D59"/>
    <w:rsid w:val="009C4CD2"/>
    <w:rsid w:val="009C5295"/>
    <w:rsid w:val="009C550F"/>
    <w:rsid w:val="009C65B8"/>
    <w:rsid w:val="009C68A7"/>
    <w:rsid w:val="009C6CCF"/>
    <w:rsid w:val="009C72D1"/>
    <w:rsid w:val="009D1B82"/>
    <w:rsid w:val="009D204F"/>
    <w:rsid w:val="009D49CB"/>
    <w:rsid w:val="009D6382"/>
    <w:rsid w:val="009D6CD4"/>
    <w:rsid w:val="009D7F01"/>
    <w:rsid w:val="009E3E45"/>
    <w:rsid w:val="009E473A"/>
    <w:rsid w:val="009E6B36"/>
    <w:rsid w:val="009F1841"/>
    <w:rsid w:val="009F1C45"/>
    <w:rsid w:val="009F448B"/>
    <w:rsid w:val="009F5E54"/>
    <w:rsid w:val="009F6734"/>
    <w:rsid w:val="009F685D"/>
    <w:rsid w:val="009F7B80"/>
    <w:rsid w:val="00A01736"/>
    <w:rsid w:val="00A0322F"/>
    <w:rsid w:val="00A038EF"/>
    <w:rsid w:val="00A03B00"/>
    <w:rsid w:val="00A048DB"/>
    <w:rsid w:val="00A04A73"/>
    <w:rsid w:val="00A0515C"/>
    <w:rsid w:val="00A055C4"/>
    <w:rsid w:val="00A05937"/>
    <w:rsid w:val="00A0652F"/>
    <w:rsid w:val="00A074E3"/>
    <w:rsid w:val="00A1007E"/>
    <w:rsid w:val="00A10574"/>
    <w:rsid w:val="00A109B3"/>
    <w:rsid w:val="00A11993"/>
    <w:rsid w:val="00A11D08"/>
    <w:rsid w:val="00A11FD5"/>
    <w:rsid w:val="00A124D7"/>
    <w:rsid w:val="00A16511"/>
    <w:rsid w:val="00A20506"/>
    <w:rsid w:val="00A26274"/>
    <w:rsid w:val="00A26C14"/>
    <w:rsid w:val="00A26D7A"/>
    <w:rsid w:val="00A26F70"/>
    <w:rsid w:val="00A31ABA"/>
    <w:rsid w:val="00A323E6"/>
    <w:rsid w:val="00A332C9"/>
    <w:rsid w:val="00A33F58"/>
    <w:rsid w:val="00A34D0B"/>
    <w:rsid w:val="00A360BA"/>
    <w:rsid w:val="00A36C39"/>
    <w:rsid w:val="00A40E84"/>
    <w:rsid w:val="00A42F77"/>
    <w:rsid w:val="00A438CA"/>
    <w:rsid w:val="00A43A17"/>
    <w:rsid w:val="00A43F10"/>
    <w:rsid w:val="00A44F8B"/>
    <w:rsid w:val="00A463CF"/>
    <w:rsid w:val="00A465BB"/>
    <w:rsid w:val="00A47E42"/>
    <w:rsid w:val="00A51688"/>
    <w:rsid w:val="00A51C45"/>
    <w:rsid w:val="00A53746"/>
    <w:rsid w:val="00A53F9E"/>
    <w:rsid w:val="00A55A1C"/>
    <w:rsid w:val="00A565EE"/>
    <w:rsid w:val="00A571A5"/>
    <w:rsid w:val="00A57BB8"/>
    <w:rsid w:val="00A61EEC"/>
    <w:rsid w:val="00A61F7F"/>
    <w:rsid w:val="00A6202F"/>
    <w:rsid w:val="00A640B3"/>
    <w:rsid w:val="00A64DFB"/>
    <w:rsid w:val="00A65659"/>
    <w:rsid w:val="00A659EB"/>
    <w:rsid w:val="00A66E66"/>
    <w:rsid w:val="00A67CEB"/>
    <w:rsid w:val="00A7064E"/>
    <w:rsid w:val="00A71481"/>
    <w:rsid w:val="00A730D9"/>
    <w:rsid w:val="00A74593"/>
    <w:rsid w:val="00A74986"/>
    <w:rsid w:val="00A75891"/>
    <w:rsid w:val="00A77444"/>
    <w:rsid w:val="00A77A13"/>
    <w:rsid w:val="00A77F0D"/>
    <w:rsid w:val="00A80545"/>
    <w:rsid w:val="00A80F45"/>
    <w:rsid w:val="00A837F5"/>
    <w:rsid w:val="00A83A57"/>
    <w:rsid w:val="00A83BAE"/>
    <w:rsid w:val="00A840CF"/>
    <w:rsid w:val="00A84BAC"/>
    <w:rsid w:val="00A84D18"/>
    <w:rsid w:val="00A868FC"/>
    <w:rsid w:val="00A86C4E"/>
    <w:rsid w:val="00A901E3"/>
    <w:rsid w:val="00A91A9E"/>
    <w:rsid w:val="00A9393D"/>
    <w:rsid w:val="00A94918"/>
    <w:rsid w:val="00A94E47"/>
    <w:rsid w:val="00A963F9"/>
    <w:rsid w:val="00A96806"/>
    <w:rsid w:val="00AA05B5"/>
    <w:rsid w:val="00AA12EA"/>
    <w:rsid w:val="00AA1996"/>
    <w:rsid w:val="00AA1D8D"/>
    <w:rsid w:val="00AA1E80"/>
    <w:rsid w:val="00AA1F01"/>
    <w:rsid w:val="00AA385C"/>
    <w:rsid w:val="00AA3869"/>
    <w:rsid w:val="00AA4725"/>
    <w:rsid w:val="00AA601E"/>
    <w:rsid w:val="00AA64B4"/>
    <w:rsid w:val="00AB1EF9"/>
    <w:rsid w:val="00AB2AFD"/>
    <w:rsid w:val="00AB3837"/>
    <w:rsid w:val="00AB48F0"/>
    <w:rsid w:val="00AB4EDE"/>
    <w:rsid w:val="00AB7454"/>
    <w:rsid w:val="00AC0DE8"/>
    <w:rsid w:val="00AC11FD"/>
    <w:rsid w:val="00AC443A"/>
    <w:rsid w:val="00AC52FC"/>
    <w:rsid w:val="00AC5A43"/>
    <w:rsid w:val="00AC6603"/>
    <w:rsid w:val="00AD0844"/>
    <w:rsid w:val="00AD676E"/>
    <w:rsid w:val="00ADEDD5"/>
    <w:rsid w:val="00AE0C64"/>
    <w:rsid w:val="00AE1B3C"/>
    <w:rsid w:val="00AE537E"/>
    <w:rsid w:val="00AE5CBD"/>
    <w:rsid w:val="00AE637F"/>
    <w:rsid w:val="00AE7444"/>
    <w:rsid w:val="00AF0FFF"/>
    <w:rsid w:val="00AF1715"/>
    <w:rsid w:val="00AF4FBD"/>
    <w:rsid w:val="00AF5961"/>
    <w:rsid w:val="00AF71F5"/>
    <w:rsid w:val="00B01B91"/>
    <w:rsid w:val="00B02386"/>
    <w:rsid w:val="00B06358"/>
    <w:rsid w:val="00B06701"/>
    <w:rsid w:val="00B068DF"/>
    <w:rsid w:val="00B10851"/>
    <w:rsid w:val="00B10A9A"/>
    <w:rsid w:val="00B11D1E"/>
    <w:rsid w:val="00B1304D"/>
    <w:rsid w:val="00B13FBD"/>
    <w:rsid w:val="00B158CF"/>
    <w:rsid w:val="00B170C0"/>
    <w:rsid w:val="00B20964"/>
    <w:rsid w:val="00B22110"/>
    <w:rsid w:val="00B23B20"/>
    <w:rsid w:val="00B247B2"/>
    <w:rsid w:val="00B2529F"/>
    <w:rsid w:val="00B25D35"/>
    <w:rsid w:val="00B26CEA"/>
    <w:rsid w:val="00B3129E"/>
    <w:rsid w:val="00B3324D"/>
    <w:rsid w:val="00B33B11"/>
    <w:rsid w:val="00B33F4D"/>
    <w:rsid w:val="00B3454B"/>
    <w:rsid w:val="00B35AE9"/>
    <w:rsid w:val="00B40E86"/>
    <w:rsid w:val="00B418B2"/>
    <w:rsid w:val="00B41B73"/>
    <w:rsid w:val="00B42F84"/>
    <w:rsid w:val="00B43E83"/>
    <w:rsid w:val="00B4430A"/>
    <w:rsid w:val="00B46EB7"/>
    <w:rsid w:val="00B4738E"/>
    <w:rsid w:val="00B47644"/>
    <w:rsid w:val="00B47730"/>
    <w:rsid w:val="00B511BD"/>
    <w:rsid w:val="00B51436"/>
    <w:rsid w:val="00B51F05"/>
    <w:rsid w:val="00B530A5"/>
    <w:rsid w:val="00B54701"/>
    <w:rsid w:val="00B5529D"/>
    <w:rsid w:val="00B554E5"/>
    <w:rsid w:val="00B5570B"/>
    <w:rsid w:val="00B55E77"/>
    <w:rsid w:val="00B564A3"/>
    <w:rsid w:val="00B56EC2"/>
    <w:rsid w:val="00B577D0"/>
    <w:rsid w:val="00B57C5A"/>
    <w:rsid w:val="00B63E18"/>
    <w:rsid w:val="00B63EAF"/>
    <w:rsid w:val="00B6508E"/>
    <w:rsid w:val="00B65ADE"/>
    <w:rsid w:val="00B65AE7"/>
    <w:rsid w:val="00B65CCD"/>
    <w:rsid w:val="00B67A7E"/>
    <w:rsid w:val="00B71D2F"/>
    <w:rsid w:val="00B746D6"/>
    <w:rsid w:val="00B74C42"/>
    <w:rsid w:val="00B80B6F"/>
    <w:rsid w:val="00B825F2"/>
    <w:rsid w:val="00B838F6"/>
    <w:rsid w:val="00B8405F"/>
    <w:rsid w:val="00B840D9"/>
    <w:rsid w:val="00B8605B"/>
    <w:rsid w:val="00B863ED"/>
    <w:rsid w:val="00B86771"/>
    <w:rsid w:val="00B907A9"/>
    <w:rsid w:val="00B91299"/>
    <w:rsid w:val="00B93009"/>
    <w:rsid w:val="00B943CF"/>
    <w:rsid w:val="00B952B8"/>
    <w:rsid w:val="00B95C5B"/>
    <w:rsid w:val="00B962B9"/>
    <w:rsid w:val="00BA0E54"/>
    <w:rsid w:val="00BA10BB"/>
    <w:rsid w:val="00BA11B7"/>
    <w:rsid w:val="00BA16A0"/>
    <w:rsid w:val="00BA286C"/>
    <w:rsid w:val="00BA2CCC"/>
    <w:rsid w:val="00BA45A2"/>
    <w:rsid w:val="00BA4B59"/>
    <w:rsid w:val="00BA682B"/>
    <w:rsid w:val="00BA7DC4"/>
    <w:rsid w:val="00BB0C40"/>
    <w:rsid w:val="00BB1963"/>
    <w:rsid w:val="00BB4347"/>
    <w:rsid w:val="00BB4B93"/>
    <w:rsid w:val="00BB573B"/>
    <w:rsid w:val="00BC10DA"/>
    <w:rsid w:val="00BC1A7A"/>
    <w:rsid w:val="00BC2586"/>
    <w:rsid w:val="00BC2591"/>
    <w:rsid w:val="00BC2A91"/>
    <w:rsid w:val="00BC5536"/>
    <w:rsid w:val="00BC7FE9"/>
    <w:rsid w:val="00BD098D"/>
    <w:rsid w:val="00BD0B1C"/>
    <w:rsid w:val="00BD0E35"/>
    <w:rsid w:val="00BD119B"/>
    <w:rsid w:val="00BD157D"/>
    <w:rsid w:val="00BD33E9"/>
    <w:rsid w:val="00BD373D"/>
    <w:rsid w:val="00BD7231"/>
    <w:rsid w:val="00BD7C9A"/>
    <w:rsid w:val="00BE12C1"/>
    <w:rsid w:val="00BE2E28"/>
    <w:rsid w:val="00BE3D00"/>
    <w:rsid w:val="00BE4A41"/>
    <w:rsid w:val="00BE4A80"/>
    <w:rsid w:val="00BE6317"/>
    <w:rsid w:val="00BE6334"/>
    <w:rsid w:val="00BE67C5"/>
    <w:rsid w:val="00BE6C39"/>
    <w:rsid w:val="00BE73E8"/>
    <w:rsid w:val="00BE7E58"/>
    <w:rsid w:val="00BF1805"/>
    <w:rsid w:val="00BF33E7"/>
    <w:rsid w:val="00BF36B4"/>
    <w:rsid w:val="00BF48A1"/>
    <w:rsid w:val="00BF5746"/>
    <w:rsid w:val="00BF68D5"/>
    <w:rsid w:val="00BF72DF"/>
    <w:rsid w:val="00C0258A"/>
    <w:rsid w:val="00C0295B"/>
    <w:rsid w:val="00C02D08"/>
    <w:rsid w:val="00C03385"/>
    <w:rsid w:val="00C03656"/>
    <w:rsid w:val="00C03664"/>
    <w:rsid w:val="00C03A0C"/>
    <w:rsid w:val="00C0434A"/>
    <w:rsid w:val="00C0435A"/>
    <w:rsid w:val="00C04445"/>
    <w:rsid w:val="00C07414"/>
    <w:rsid w:val="00C10B4C"/>
    <w:rsid w:val="00C10FB2"/>
    <w:rsid w:val="00C1436E"/>
    <w:rsid w:val="00C144B3"/>
    <w:rsid w:val="00C151E4"/>
    <w:rsid w:val="00C159E6"/>
    <w:rsid w:val="00C164EA"/>
    <w:rsid w:val="00C17300"/>
    <w:rsid w:val="00C2144E"/>
    <w:rsid w:val="00C238FE"/>
    <w:rsid w:val="00C24175"/>
    <w:rsid w:val="00C242F4"/>
    <w:rsid w:val="00C24FFB"/>
    <w:rsid w:val="00C2552F"/>
    <w:rsid w:val="00C25BD8"/>
    <w:rsid w:val="00C303E8"/>
    <w:rsid w:val="00C32AA0"/>
    <w:rsid w:val="00C32B80"/>
    <w:rsid w:val="00C338ED"/>
    <w:rsid w:val="00C339C1"/>
    <w:rsid w:val="00C35B29"/>
    <w:rsid w:val="00C369F7"/>
    <w:rsid w:val="00C40F62"/>
    <w:rsid w:val="00C41EDB"/>
    <w:rsid w:val="00C42573"/>
    <w:rsid w:val="00C4295A"/>
    <w:rsid w:val="00C442B1"/>
    <w:rsid w:val="00C44A2A"/>
    <w:rsid w:val="00C455CB"/>
    <w:rsid w:val="00C464B9"/>
    <w:rsid w:val="00C4693D"/>
    <w:rsid w:val="00C46A32"/>
    <w:rsid w:val="00C5077F"/>
    <w:rsid w:val="00C52C16"/>
    <w:rsid w:val="00C53D69"/>
    <w:rsid w:val="00C54CE4"/>
    <w:rsid w:val="00C55895"/>
    <w:rsid w:val="00C55A20"/>
    <w:rsid w:val="00C566C8"/>
    <w:rsid w:val="00C6288F"/>
    <w:rsid w:val="00C63555"/>
    <w:rsid w:val="00C63DE7"/>
    <w:rsid w:val="00C63F1A"/>
    <w:rsid w:val="00C64111"/>
    <w:rsid w:val="00C642B6"/>
    <w:rsid w:val="00C657B9"/>
    <w:rsid w:val="00C65FD7"/>
    <w:rsid w:val="00C6648D"/>
    <w:rsid w:val="00C67DA9"/>
    <w:rsid w:val="00C70A43"/>
    <w:rsid w:val="00C71E3E"/>
    <w:rsid w:val="00C73C8B"/>
    <w:rsid w:val="00C754AE"/>
    <w:rsid w:val="00C76DAE"/>
    <w:rsid w:val="00C7759E"/>
    <w:rsid w:val="00C837A4"/>
    <w:rsid w:val="00C838BC"/>
    <w:rsid w:val="00C85208"/>
    <w:rsid w:val="00C86970"/>
    <w:rsid w:val="00C86F5E"/>
    <w:rsid w:val="00C87D55"/>
    <w:rsid w:val="00C906D7"/>
    <w:rsid w:val="00C93E0A"/>
    <w:rsid w:val="00C94FB1"/>
    <w:rsid w:val="00C9519A"/>
    <w:rsid w:val="00C9588A"/>
    <w:rsid w:val="00C96016"/>
    <w:rsid w:val="00C9620D"/>
    <w:rsid w:val="00C96C4B"/>
    <w:rsid w:val="00C972CA"/>
    <w:rsid w:val="00C976AA"/>
    <w:rsid w:val="00C978EE"/>
    <w:rsid w:val="00CA10FC"/>
    <w:rsid w:val="00CA28C7"/>
    <w:rsid w:val="00CA6EA6"/>
    <w:rsid w:val="00CA7974"/>
    <w:rsid w:val="00CB0664"/>
    <w:rsid w:val="00CB0AAC"/>
    <w:rsid w:val="00CB1486"/>
    <w:rsid w:val="00CB2083"/>
    <w:rsid w:val="00CB2FA7"/>
    <w:rsid w:val="00CB3ABE"/>
    <w:rsid w:val="00CB431B"/>
    <w:rsid w:val="00CB4F76"/>
    <w:rsid w:val="00CB6F3A"/>
    <w:rsid w:val="00CC0BF4"/>
    <w:rsid w:val="00CC2AC9"/>
    <w:rsid w:val="00CC2CCE"/>
    <w:rsid w:val="00CC4466"/>
    <w:rsid w:val="00CC5C2B"/>
    <w:rsid w:val="00CD29B9"/>
    <w:rsid w:val="00CD2A6B"/>
    <w:rsid w:val="00CD3059"/>
    <w:rsid w:val="00CD35EE"/>
    <w:rsid w:val="00CD7948"/>
    <w:rsid w:val="00CE03CC"/>
    <w:rsid w:val="00CE087B"/>
    <w:rsid w:val="00CE15F1"/>
    <w:rsid w:val="00CE174E"/>
    <w:rsid w:val="00CE2F98"/>
    <w:rsid w:val="00CE32C7"/>
    <w:rsid w:val="00CE34E8"/>
    <w:rsid w:val="00CE404B"/>
    <w:rsid w:val="00CE526F"/>
    <w:rsid w:val="00CE6525"/>
    <w:rsid w:val="00CE6D50"/>
    <w:rsid w:val="00CF1520"/>
    <w:rsid w:val="00CF2729"/>
    <w:rsid w:val="00CF2EDE"/>
    <w:rsid w:val="00CF35F5"/>
    <w:rsid w:val="00CF3DB5"/>
    <w:rsid w:val="00CF466B"/>
    <w:rsid w:val="00CF4F74"/>
    <w:rsid w:val="00CF7538"/>
    <w:rsid w:val="00CF77D0"/>
    <w:rsid w:val="00CF7A75"/>
    <w:rsid w:val="00D00554"/>
    <w:rsid w:val="00D00D54"/>
    <w:rsid w:val="00D00E7D"/>
    <w:rsid w:val="00D01917"/>
    <w:rsid w:val="00D01A77"/>
    <w:rsid w:val="00D01AA0"/>
    <w:rsid w:val="00D01CE0"/>
    <w:rsid w:val="00D02371"/>
    <w:rsid w:val="00D025BB"/>
    <w:rsid w:val="00D02A4B"/>
    <w:rsid w:val="00D039C1"/>
    <w:rsid w:val="00D041A0"/>
    <w:rsid w:val="00D0554F"/>
    <w:rsid w:val="00D105CF"/>
    <w:rsid w:val="00D11D81"/>
    <w:rsid w:val="00D12F6A"/>
    <w:rsid w:val="00D1388F"/>
    <w:rsid w:val="00D1451B"/>
    <w:rsid w:val="00D1545D"/>
    <w:rsid w:val="00D157C9"/>
    <w:rsid w:val="00D17104"/>
    <w:rsid w:val="00D17A28"/>
    <w:rsid w:val="00D212E0"/>
    <w:rsid w:val="00D21F75"/>
    <w:rsid w:val="00D25DA5"/>
    <w:rsid w:val="00D26799"/>
    <w:rsid w:val="00D26933"/>
    <w:rsid w:val="00D2701E"/>
    <w:rsid w:val="00D27386"/>
    <w:rsid w:val="00D27D6C"/>
    <w:rsid w:val="00D326B4"/>
    <w:rsid w:val="00D3396F"/>
    <w:rsid w:val="00D33D19"/>
    <w:rsid w:val="00D33DAF"/>
    <w:rsid w:val="00D35270"/>
    <w:rsid w:val="00D36096"/>
    <w:rsid w:val="00D36D24"/>
    <w:rsid w:val="00D36DB2"/>
    <w:rsid w:val="00D41363"/>
    <w:rsid w:val="00D425FB"/>
    <w:rsid w:val="00D42E4D"/>
    <w:rsid w:val="00D437A0"/>
    <w:rsid w:val="00D439F3"/>
    <w:rsid w:val="00D4514E"/>
    <w:rsid w:val="00D45DB9"/>
    <w:rsid w:val="00D46868"/>
    <w:rsid w:val="00D46C0D"/>
    <w:rsid w:val="00D5216C"/>
    <w:rsid w:val="00D55B8D"/>
    <w:rsid w:val="00D614A0"/>
    <w:rsid w:val="00D6154E"/>
    <w:rsid w:val="00D61C32"/>
    <w:rsid w:val="00D624F5"/>
    <w:rsid w:val="00D62A0A"/>
    <w:rsid w:val="00D6511D"/>
    <w:rsid w:val="00D66BFC"/>
    <w:rsid w:val="00D675B7"/>
    <w:rsid w:val="00D703CD"/>
    <w:rsid w:val="00D70454"/>
    <w:rsid w:val="00D70DCC"/>
    <w:rsid w:val="00D7138F"/>
    <w:rsid w:val="00D72009"/>
    <w:rsid w:val="00D74DC2"/>
    <w:rsid w:val="00D758CE"/>
    <w:rsid w:val="00D764FD"/>
    <w:rsid w:val="00D77798"/>
    <w:rsid w:val="00D777A1"/>
    <w:rsid w:val="00D80F32"/>
    <w:rsid w:val="00D82517"/>
    <w:rsid w:val="00D82E8E"/>
    <w:rsid w:val="00D83A8E"/>
    <w:rsid w:val="00D8478E"/>
    <w:rsid w:val="00D84ECE"/>
    <w:rsid w:val="00D877A7"/>
    <w:rsid w:val="00D87B7C"/>
    <w:rsid w:val="00D90E32"/>
    <w:rsid w:val="00D9162F"/>
    <w:rsid w:val="00D91880"/>
    <w:rsid w:val="00D928FA"/>
    <w:rsid w:val="00D92A92"/>
    <w:rsid w:val="00D92CDF"/>
    <w:rsid w:val="00D93A84"/>
    <w:rsid w:val="00D93F74"/>
    <w:rsid w:val="00D94793"/>
    <w:rsid w:val="00D9603B"/>
    <w:rsid w:val="00D960F1"/>
    <w:rsid w:val="00DA15F0"/>
    <w:rsid w:val="00DA1D1F"/>
    <w:rsid w:val="00DA20A7"/>
    <w:rsid w:val="00DA2971"/>
    <w:rsid w:val="00DA2B98"/>
    <w:rsid w:val="00DA3222"/>
    <w:rsid w:val="00DA3434"/>
    <w:rsid w:val="00DA3BAC"/>
    <w:rsid w:val="00DA718C"/>
    <w:rsid w:val="00DA7B53"/>
    <w:rsid w:val="00DB0A00"/>
    <w:rsid w:val="00DB11E0"/>
    <w:rsid w:val="00DB1769"/>
    <w:rsid w:val="00DB376C"/>
    <w:rsid w:val="00DB4674"/>
    <w:rsid w:val="00DB6D22"/>
    <w:rsid w:val="00DB7549"/>
    <w:rsid w:val="00DB7BB2"/>
    <w:rsid w:val="00DC08AD"/>
    <w:rsid w:val="00DC1AD1"/>
    <w:rsid w:val="00DC2CCA"/>
    <w:rsid w:val="00DC3A50"/>
    <w:rsid w:val="00DC652B"/>
    <w:rsid w:val="00DC6AB3"/>
    <w:rsid w:val="00DD360A"/>
    <w:rsid w:val="00DD39B6"/>
    <w:rsid w:val="00DD5EC4"/>
    <w:rsid w:val="00DD6215"/>
    <w:rsid w:val="00DD71FD"/>
    <w:rsid w:val="00DE4202"/>
    <w:rsid w:val="00DE46D8"/>
    <w:rsid w:val="00DE65D9"/>
    <w:rsid w:val="00DE69F2"/>
    <w:rsid w:val="00DE6D17"/>
    <w:rsid w:val="00DF0143"/>
    <w:rsid w:val="00DF0621"/>
    <w:rsid w:val="00DF241A"/>
    <w:rsid w:val="00DF2FC1"/>
    <w:rsid w:val="00DF43C1"/>
    <w:rsid w:val="00DF5D53"/>
    <w:rsid w:val="00E0007F"/>
    <w:rsid w:val="00E00EBD"/>
    <w:rsid w:val="00E0186E"/>
    <w:rsid w:val="00E01EF5"/>
    <w:rsid w:val="00E0273F"/>
    <w:rsid w:val="00E0341F"/>
    <w:rsid w:val="00E03D4D"/>
    <w:rsid w:val="00E05A6D"/>
    <w:rsid w:val="00E05AD7"/>
    <w:rsid w:val="00E1089C"/>
    <w:rsid w:val="00E12901"/>
    <w:rsid w:val="00E14D5C"/>
    <w:rsid w:val="00E16D99"/>
    <w:rsid w:val="00E16F7B"/>
    <w:rsid w:val="00E17AB6"/>
    <w:rsid w:val="00E17ABF"/>
    <w:rsid w:val="00E20DF4"/>
    <w:rsid w:val="00E210FF"/>
    <w:rsid w:val="00E2118C"/>
    <w:rsid w:val="00E22BAD"/>
    <w:rsid w:val="00E24515"/>
    <w:rsid w:val="00E26A28"/>
    <w:rsid w:val="00E26C4D"/>
    <w:rsid w:val="00E3035B"/>
    <w:rsid w:val="00E308F7"/>
    <w:rsid w:val="00E31100"/>
    <w:rsid w:val="00E3253E"/>
    <w:rsid w:val="00E333C4"/>
    <w:rsid w:val="00E3374D"/>
    <w:rsid w:val="00E3376B"/>
    <w:rsid w:val="00E342B0"/>
    <w:rsid w:val="00E34681"/>
    <w:rsid w:val="00E35925"/>
    <w:rsid w:val="00E35957"/>
    <w:rsid w:val="00E40EB9"/>
    <w:rsid w:val="00E42BEB"/>
    <w:rsid w:val="00E43A1F"/>
    <w:rsid w:val="00E43C4C"/>
    <w:rsid w:val="00E4438D"/>
    <w:rsid w:val="00E51267"/>
    <w:rsid w:val="00E51928"/>
    <w:rsid w:val="00E51949"/>
    <w:rsid w:val="00E51E77"/>
    <w:rsid w:val="00E51F3D"/>
    <w:rsid w:val="00E524BF"/>
    <w:rsid w:val="00E5370F"/>
    <w:rsid w:val="00E53741"/>
    <w:rsid w:val="00E55EA8"/>
    <w:rsid w:val="00E55FCD"/>
    <w:rsid w:val="00E612D7"/>
    <w:rsid w:val="00E61CF8"/>
    <w:rsid w:val="00E61E76"/>
    <w:rsid w:val="00E62280"/>
    <w:rsid w:val="00E64155"/>
    <w:rsid w:val="00E64476"/>
    <w:rsid w:val="00E67805"/>
    <w:rsid w:val="00E67CCA"/>
    <w:rsid w:val="00E717D4"/>
    <w:rsid w:val="00E74B49"/>
    <w:rsid w:val="00E75EED"/>
    <w:rsid w:val="00E766A4"/>
    <w:rsid w:val="00E76842"/>
    <w:rsid w:val="00E76B92"/>
    <w:rsid w:val="00E8044D"/>
    <w:rsid w:val="00E8138F"/>
    <w:rsid w:val="00E81B39"/>
    <w:rsid w:val="00E83BC1"/>
    <w:rsid w:val="00E83C24"/>
    <w:rsid w:val="00E84695"/>
    <w:rsid w:val="00E8478F"/>
    <w:rsid w:val="00E861E3"/>
    <w:rsid w:val="00E868D3"/>
    <w:rsid w:val="00E86A33"/>
    <w:rsid w:val="00E87108"/>
    <w:rsid w:val="00E90027"/>
    <w:rsid w:val="00E90046"/>
    <w:rsid w:val="00E91697"/>
    <w:rsid w:val="00E91801"/>
    <w:rsid w:val="00E92D49"/>
    <w:rsid w:val="00E94830"/>
    <w:rsid w:val="00E9513F"/>
    <w:rsid w:val="00E955E1"/>
    <w:rsid w:val="00E9739A"/>
    <w:rsid w:val="00E975AF"/>
    <w:rsid w:val="00E97E1E"/>
    <w:rsid w:val="00EA068C"/>
    <w:rsid w:val="00EA0856"/>
    <w:rsid w:val="00EA1C4E"/>
    <w:rsid w:val="00EA1E7C"/>
    <w:rsid w:val="00EA38EC"/>
    <w:rsid w:val="00EA3E45"/>
    <w:rsid w:val="00EA43E8"/>
    <w:rsid w:val="00EA46BC"/>
    <w:rsid w:val="00EA594B"/>
    <w:rsid w:val="00EA6094"/>
    <w:rsid w:val="00EA68E2"/>
    <w:rsid w:val="00EB3BCE"/>
    <w:rsid w:val="00EB3F6C"/>
    <w:rsid w:val="00EB53B8"/>
    <w:rsid w:val="00EB634E"/>
    <w:rsid w:val="00EB66A1"/>
    <w:rsid w:val="00EB7178"/>
    <w:rsid w:val="00EB73F2"/>
    <w:rsid w:val="00EB77B4"/>
    <w:rsid w:val="00EC02AD"/>
    <w:rsid w:val="00EC198C"/>
    <w:rsid w:val="00EC546D"/>
    <w:rsid w:val="00EC74A5"/>
    <w:rsid w:val="00ED099E"/>
    <w:rsid w:val="00ED0E49"/>
    <w:rsid w:val="00ED2A0C"/>
    <w:rsid w:val="00ED4ABF"/>
    <w:rsid w:val="00ED5B81"/>
    <w:rsid w:val="00ED61D3"/>
    <w:rsid w:val="00ED6507"/>
    <w:rsid w:val="00ED6E94"/>
    <w:rsid w:val="00ED6FDC"/>
    <w:rsid w:val="00EE0727"/>
    <w:rsid w:val="00EE0A3E"/>
    <w:rsid w:val="00EE2A7D"/>
    <w:rsid w:val="00EE4370"/>
    <w:rsid w:val="00EE5CE1"/>
    <w:rsid w:val="00EE694D"/>
    <w:rsid w:val="00EF2B75"/>
    <w:rsid w:val="00EF35BC"/>
    <w:rsid w:val="00EF3B3D"/>
    <w:rsid w:val="00EF4018"/>
    <w:rsid w:val="00EF6D73"/>
    <w:rsid w:val="00EF6D9B"/>
    <w:rsid w:val="00EF7690"/>
    <w:rsid w:val="00EF7C54"/>
    <w:rsid w:val="00F00651"/>
    <w:rsid w:val="00F00AA7"/>
    <w:rsid w:val="00F01811"/>
    <w:rsid w:val="00F01B67"/>
    <w:rsid w:val="00F032E4"/>
    <w:rsid w:val="00F03385"/>
    <w:rsid w:val="00F034E4"/>
    <w:rsid w:val="00F03827"/>
    <w:rsid w:val="00F04C71"/>
    <w:rsid w:val="00F057AA"/>
    <w:rsid w:val="00F063FF"/>
    <w:rsid w:val="00F0685A"/>
    <w:rsid w:val="00F13556"/>
    <w:rsid w:val="00F14D7C"/>
    <w:rsid w:val="00F15F61"/>
    <w:rsid w:val="00F171FE"/>
    <w:rsid w:val="00F17BAE"/>
    <w:rsid w:val="00F20C14"/>
    <w:rsid w:val="00F21F0C"/>
    <w:rsid w:val="00F22A0E"/>
    <w:rsid w:val="00F23366"/>
    <w:rsid w:val="00F233B6"/>
    <w:rsid w:val="00F234AA"/>
    <w:rsid w:val="00F260FC"/>
    <w:rsid w:val="00F27E36"/>
    <w:rsid w:val="00F312C6"/>
    <w:rsid w:val="00F31DE5"/>
    <w:rsid w:val="00F323BC"/>
    <w:rsid w:val="00F32F48"/>
    <w:rsid w:val="00F33A2C"/>
    <w:rsid w:val="00F346DA"/>
    <w:rsid w:val="00F34706"/>
    <w:rsid w:val="00F36E6C"/>
    <w:rsid w:val="00F3748D"/>
    <w:rsid w:val="00F40494"/>
    <w:rsid w:val="00F40B64"/>
    <w:rsid w:val="00F41659"/>
    <w:rsid w:val="00F420E9"/>
    <w:rsid w:val="00F42112"/>
    <w:rsid w:val="00F42B8A"/>
    <w:rsid w:val="00F4589A"/>
    <w:rsid w:val="00F463EB"/>
    <w:rsid w:val="00F47D40"/>
    <w:rsid w:val="00F511E8"/>
    <w:rsid w:val="00F520B1"/>
    <w:rsid w:val="00F52630"/>
    <w:rsid w:val="00F52C73"/>
    <w:rsid w:val="00F5349A"/>
    <w:rsid w:val="00F55269"/>
    <w:rsid w:val="00F55F19"/>
    <w:rsid w:val="00F56828"/>
    <w:rsid w:val="00F57EB4"/>
    <w:rsid w:val="00F60E27"/>
    <w:rsid w:val="00F61167"/>
    <w:rsid w:val="00F61BF4"/>
    <w:rsid w:val="00F634D0"/>
    <w:rsid w:val="00F6447A"/>
    <w:rsid w:val="00F653D9"/>
    <w:rsid w:val="00F65694"/>
    <w:rsid w:val="00F658DB"/>
    <w:rsid w:val="00F67995"/>
    <w:rsid w:val="00F70741"/>
    <w:rsid w:val="00F70743"/>
    <w:rsid w:val="00F70F7D"/>
    <w:rsid w:val="00F70FC8"/>
    <w:rsid w:val="00F7116E"/>
    <w:rsid w:val="00F7233F"/>
    <w:rsid w:val="00F727F9"/>
    <w:rsid w:val="00F74068"/>
    <w:rsid w:val="00F74E04"/>
    <w:rsid w:val="00F76038"/>
    <w:rsid w:val="00F77A9C"/>
    <w:rsid w:val="00F77F67"/>
    <w:rsid w:val="00F8445B"/>
    <w:rsid w:val="00F84496"/>
    <w:rsid w:val="00F84DAE"/>
    <w:rsid w:val="00F8544A"/>
    <w:rsid w:val="00F85763"/>
    <w:rsid w:val="00F8731D"/>
    <w:rsid w:val="00F903A4"/>
    <w:rsid w:val="00F90E7F"/>
    <w:rsid w:val="00F93336"/>
    <w:rsid w:val="00F93D3F"/>
    <w:rsid w:val="00F94F64"/>
    <w:rsid w:val="00F95084"/>
    <w:rsid w:val="00F953D1"/>
    <w:rsid w:val="00F955F7"/>
    <w:rsid w:val="00F96C6E"/>
    <w:rsid w:val="00F97EF1"/>
    <w:rsid w:val="00FA5234"/>
    <w:rsid w:val="00FA680C"/>
    <w:rsid w:val="00FB061F"/>
    <w:rsid w:val="00FB0CCD"/>
    <w:rsid w:val="00FB0EA2"/>
    <w:rsid w:val="00FB298F"/>
    <w:rsid w:val="00FB4697"/>
    <w:rsid w:val="00FB47DD"/>
    <w:rsid w:val="00FB5449"/>
    <w:rsid w:val="00FB74E4"/>
    <w:rsid w:val="00FC087A"/>
    <w:rsid w:val="00FC0FE0"/>
    <w:rsid w:val="00FC2003"/>
    <w:rsid w:val="00FC22AD"/>
    <w:rsid w:val="00FC2659"/>
    <w:rsid w:val="00FC26AE"/>
    <w:rsid w:val="00FC5D07"/>
    <w:rsid w:val="00FC6161"/>
    <w:rsid w:val="00FC693F"/>
    <w:rsid w:val="00FC6C08"/>
    <w:rsid w:val="00FC6F6D"/>
    <w:rsid w:val="00FC7406"/>
    <w:rsid w:val="00FC7480"/>
    <w:rsid w:val="00FC762D"/>
    <w:rsid w:val="00FC7E59"/>
    <w:rsid w:val="00FD1AD9"/>
    <w:rsid w:val="00FD2E56"/>
    <w:rsid w:val="00FD3754"/>
    <w:rsid w:val="00FD3B12"/>
    <w:rsid w:val="00FD3E4F"/>
    <w:rsid w:val="00FD45A9"/>
    <w:rsid w:val="00FD5DF3"/>
    <w:rsid w:val="00FD6A76"/>
    <w:rsid w:val="00FE03F4"/>
    <w:rsid w:val="00FE06A2"/>
    <w:rsid w:val="00FE184C"/>
    <w:rsid w:val="00FE1BEC"/>
    <w:rsid w:val="00FE3A77"/>
    <w:rsid w:val="00FE48A3"/>
    <w:rsid w:val="00FE4B63"/>
    <w:rsid w:val="00FE707F"/>
    <w:rsid w:val="00FE7EC4"/>
    <w:rsid w:val="00FF04B6"/>
    <w:rsid w:val="00FF2823"/>
    <w:rsid w:val="00FF3072"/>
    <w:rsid w:val="00FF3646"/>
    <w:rsid w:val="00FF58BE"/>
    <w:rsid w:val="00FF644D"/>
    <w:rsid w:val="00FF7F8B"/>
    <w:rsid w:val="01E4C0F7"/>
    <w:rsid w:val="039A61D9"/>
    <w:rsid w:val="03D2F8F0"/>
    <w:rsid w:val="03DC2EA6"/>
    <w:rsid w:val="0455A682"/>
    <w:rsid w:val="04A07344"/>
    <w:rsid w:val="0551E844"/>
    <w:rsid w:val="05D95AE1"/>
    <w:rsid w:val="0639FDE8"/>
    <w:rsid w:val="06E87DFF"/>
    <w:rsid w:val="07729D61"/>
    <w:rsid w:val="07A9A6AF"/>
    <w:rsid w:val="07B4F9BF"/>
    <w:rsid w:val="08AF7E82"/>
    <w:rsid w:val="092007AB"/>
    <w:rsid w:val="09537948"/>
    <w:rsid w:val="09704C84"/>
    <w:rsid w:val="09962820"/>
    <w:rsid w:val="09C52B85"/>
    <w:rsid w:val="0AAAECF5"/>
    <w:rsid w:val="0B251293"/>
    <w:rsid w:val="0B5F024B"/>
    <w:rsid w:val="0BD6CB01"/>
    <w:rsid w:val="0BE714A5"/>
    <w:rsid w:val="0C0BD87B"/>
    <w:rsid w:val="0C670463"/>
    <w:rsid w:val="0C8A9863"/>
    <w:rsid w:val="0D8E5F9A"/>
    <w:rsid w:val="0E0F70FF"/>
    <w:rsid w:val="0EC6BBA1"/>
    <w:rsid w:val="0EEF6AB1"/>
    <w:rsid w:val="0F417261"/>
    <w:rsid w:val="0FF001F8"/>
    <w:rsid w:val="10345B81"/>
    <w:rsid w:val="10C55E89"/>
    <w:rsid w:val="10E7F377"/>
    <w:rsid w:val="1122407F"/>
    <w:rsid w:val="112C9B1D"/>
    <w:rsid w:val="113BAB3F"/>
    <w:rsid w:val="113EFBB9"/>
    <w:rsid w:val="1188CB0E"/>
    <w:rsid w:val="11A2A4EB"/>
    <w:rsid w:val="11C17248"/>
    <w:rsid w:val="125BF7C6"/>
    <w:rsid w:val="128619E3"/>
    <w:rsid w:val="1291AAD0"/>
    <w:rsid w:val="12B377D5"/>
    <w:rsid w:val="146E7193"/>
    <w:rsid w:val="163017CF"/>
    <w:rsid w:val="1645E636"/>
    <w:rsid w:val="16B8D8A7"/>
    <w:rsid w:val="17347BFE"/>
    <w:rsid w:val="174DA10F"/>
    <w:rsid w:val="17E159AF"/>
    <w:rsid w:val="18686938"/>
    <w:rsid w:val="196E2E41"/>
    <w:rsid w:val="19AD69CB"/>
    <w:rsid w:val="19D9C52E"/>
    <w:rsid w:val="1A9F6755"/>
    <w:rsid w:val="1AF4B9B0"/>
    <w:rsid w:val="1B739F04"/>
    <w:rsid w:val="1BDBD57B"/>
    <w:rsid w:val="1C573645"/>
    <w:rsid w:val="1C824649"/>
    <w:rsid w:val="1CAF99F1"/>
    <w:rsid w:val="1D7ACF9E"/>
    <w:rsid w:val="1D7F1D40"/>
    <w:rsid w:val="1DDB430C"/>
    <w:rsid w:val="1E1938DF"/>
    <w:rsid w:val="1E3E2472"/>
    <w:rsid w:val="1E92BC2E"/>
    <w:rsid w:val="1EA65627"/>
    <w:rsid w:val="1EB64BC1"/>
    <w:rsid w:val="2014B577"/>
    <w:rsid w:val="202FB2A3"/>
    <w:rsid w:val="203231FA"/>
    <w:rsid w:val="20E97CA8"/>
    <w:rsid w:val="21E9CA0F"/>
    <w:rsid w:val="22DC510B"/>
    <w:rsid w:val="2318556F"/>
    <w:rsid w:val="234DFA81"/>
    <w:rsid w:val="23A6B47D"/>
    <w:rsid w:val="23F0F993"/>
    <w:rsid w:val="2444FB6E"/>
    <w:rsid w:val="248676E4"/>
    <w:rsid w:val="24A7EFCD"/>
    <w:rsid w:val="24AF048E"/>
    <w:rsid w:val="25003DC5"/>
    <w:rsid w:val="254BDE22"/>
    <w:rsid w:val="2565E1A1"/>
    <w:rsid w:val="25B08A0E"/>
    <w:rsid w:val="2621B045"/>
    <w:rsid w:val="26974495"/>
    <w:rsid w:val="27CDDCAD"/>
    <w:rsid w:val="28428025"/>
    <w:rsid w:val="28F639E6"/>
    <w:rsid w:val="29ADAE9F"/>
    <w:rsid w:val="2A53B822"/>
    <w:rsid w:val="2AA18CF8"/>
    <w:rsid w:val="2BBA3ECE"/>
    <w:rsid w:val="2BC768CC"/>
    <w:rsid w:val="2C77696F"/>
    <w:rsid w:val="2CEEC45F"/>
    <w:rsid w:val="2D9A2327"/>
    <w:rsid w:val="2DB279C9"/>
    <w:rsid w:val="2E4069BD"/>
    <w:rsid w:val="2E48C72A"/>
    <w:rsid w:val="2E957935"/>
    <w:rsid w:val="2EB7FE57"/>
    <w:rsid w:val="2EEB5F61"/>
    <w:rsid w:val="2EF99E72"/>
    <w:rsid w:val="2F337AC2"/>
    <w:rsid w:val="2FD77030"/>
    <w:rsid w:val="3004454B"/>
    <w:rsid w:val="30B2D361"/>
    <w:rsid w:val="31031C96"/>
    <w:rsid w:val="3122F4A6"/>
    <w:rsid w:val="318E4C86"/>
    <w:rsid w:val="31A142E0"/>
    <w:rsid w:val="31A5B2F3"/>
    <w:rsid w:val="31F372A4"/>
    <w:rsid w:val="3207BD59"/>
    <w:rsid w:val="3259B122"/>
    <w:rsid w:val="3280855B"/>
    <w:rsid w:val="3321CE02"/>
    <w:rsid w:val="33341CF4"/>
    <w:rsid w:val="337F3637"/>
    <w:rsid w:val="33D2F795"/>
    <w:rsid w:val="3431DFF5"/>
    <w:rsid w:val="34B6B01E"/>
    <w:rsid w:val="351447C6"/>
    <w:rsid w:val="3738EBE7"/>
    <w:rsid w:val="384BC70E"/>
    <w:rsid w:val="38922EA2"/>
    <w:rsid w:val="38B96B00"/>
    <w:rsid w:val="38BCECD8"/>
    <w:rsid w:val="38DCBBB7"/>
    <w:rsid w:val="39AB0EC0"/>
    <w:rsid w:val="3A11BA1E"/>
    <w:rsid w:val="3AB9001D"/>
    <w:rsid w:val="3B759920"/>
    <w:rsid w:val="3BCCCF22"/>
    <w:rsid w:val="3BD38A52"/>
    <w:rsid w:val="3C13641C"/>
    <w:rsid w:val="3C3B1C20"/>
    <w:rsid w:val="3C9F285B"/>
    <w:rsid w:val="3CBFBD7A"/>
    <w:rsid w:val="3D04A272"/>
    <w:rsid w:val="3E31D122"/>
    <w:rsid w:val="3E36E0F3"/>
    <w:rsid w:val="3E74FC60"/>
    <w:rsid w:val="3EB06D1B"/>
    <w:rsid w:val="3F627C04"/>
    <w:rsid w:val="3F6ABF89"/>
    <w:rsid w:val="40133DE4"/>
    <w:rsid w:val="40A1C39A"/>
    <w:rsid w:val="40B6F7F5"/>
    <w:rsid w:val="40C13DBC"/>
    <w:rsid w:val="411749A9"/>
    <w:rsid w:val="417FBA8C"/>
    <w:rsid w:val="419A27B6"/>
    <w:rsid w:val="420FE867"/>
    <w:rsid w:val="4216BA80"/>
    <w:rsid w:val="42175C16"/>
    <w:rsid w:val="427CDDF4"/>
    <w:rsid w:val="42855E92"/>
    <w:rsid w:val="429BCFAA"/>
    <w:rsid w:val="42AC102F"/>
    <w:rsid w:val="435EB65A"/>
    <w:rsid w:val="439C60B1"/>
    <w:rsid w:val="444FC914"/>
    <w:rsid w:val="4463F754"/>
    <w:rsid w:val="4477AE09"/>
    <w:rsid w:val="44C79469"/>
    <w:rsid w:val="44EAB4E4"/>
    <w:rsid w:val="453D0AAE"/>
    <w:rsid w:val="461A67B5"/>
    <w:rsid w:val="461A77DA"/>
    <w:rsid w:val="4692276F"/>
    <w:rsid w:val="46C230CB"/>
    <w:rsid w:val="471630D3"/>
    <w:rsid w:val="48224961"/>
    <w:rsid w:val="48BAE992"/>
    <w:rsid w:val="493F6A2D"/>
    <w:rsid w:val="494BC91A"/>
    <w:rsid w:val="4985385B"/>
    <w:rsid w:val="498FAE87"/>
    <w:rsid w:val="4AC80679"/>
    <w:rsid w:val="4B4AC791"/>
    <w:rsid w:val="4B58D4C5"/>
    <w:rsid w:val="4BB31AC8"/>
    <w:rsid w:val="4BECD6EB"/>
    <w:rsid w:val="4C2729CD"/>
    <w:rsid w:val="4DC401F3"/>
    <w:rsid w:val="4DD65898"/>
    <w:rsid w:val="4F6F796B"/>
    <w:rsid w:val="4F742306"/>
    <w:rsid w:val="4FB219F0"/>
    <w:rsid w:val="50485F82"/>
    <w:rsid w:val="51346569"/>
    <w:rsid w:val="51812CB3"/>
    <w:rsid w:val="5242ABDB"/>
    <w:rsid w:val="52B84E3D"/>
    <w:rsid w:val="52D02DD8"/>
    <w:rsid w:val="52F378AA"/>
    <w:rsid w:val="53842856"/>
    <w:rsid w:val="54712D14"/>
    <w:rsid w:val="54726AE7"/>
    <w:rsid w:val="553961D3"/>
    <w:rsid w:val="557FFD3B"/>
    <w:rsid w:val="566D9523"/>
    <w:rsid w:val="56B0867C"/>
    <w:rsid w:val="570D1DEB"/>
    <w:rsid w:val="57BC1251"/>
    <w:rsid w:val="59264EBF"/>
    <w:rsid w:val="59555EC1"/>
    <w:rsid w:val="5AA93B28"/>
    <w:rsid w:val="5AE74FFD"/>
    <w:rsid w:val="5B230F49"/>
    <w:rsid w:val="5B7D15D3"/>
    <w:rsid w:val="5C00AE48"/>
    <w:rsid w:val="5CA4759A"/>
    <w:rsid w:val="5D262B52"/>
    <w:rsid w:val="5D37DE01"/>
    <w:rsid w:val="5D64F245"/>
    <w:rsid w:val="5D74E0A5"/>
    <w:rsid w:val="5D9846BB"/>
    <w:rsid w:val="5E2F97DE"/>
    <w:rsid w:val="5ED45AF5"/>
    <w:rsid w:val="5EE48F2F"/>
    <w:rsid w:val="5EEBC26A"/>
    <w:rsid w:val="5F93079C"/>
    <w:rsid w:val="6035B46A"/>
    <w:rsid w:val="60550B98"/>
    <w:rsid w:val="607676E2"/>
    <w:rsid w:val="60C1D24D"/>
    <w:rsid w:val="60CE0AC8"/>
    <w:rsid w:val="61BA02FF"/>
    <w:rsid w:val="6276DC61"/>
    <w:rsid w:val="62CDB606"/>
    <w:rsid w:val="62EDC387"/>
    <w:rsid w:val="634D0F44"/>
    <w:rsid w:val="6381EB75"/>
    <w:rsid w:val="640C4DB9"/>
    <w:rsid w:val="6443EBC7"/>
    <w:rsid w:val="64816C5C"/>
    <w:rsid w:val="65AA5117"/>
    <w:rsid w:val="6601DDC5"/>
    <w:rsid w:val="66160033"/>
    <w:rsid w:val="663116F3"/>
    <w:rsid w:val="6635680F"/>
    <w:rsid w:val="66A4F69D"/>
    <w:rsid w:val="6768D6A7"/>
    <w:rsid w:val="67B4DBF1"/>
    <w:rsid w:val="6815736D"/>
    <w:rsid w:val="68606923"/>
    <w:rsid w:val="68AA3C76"/>
    <w:rsid w:val="68CDB78F"/>
    <w:rsid w:val="68ED820A"/>
    <w:rsid w:val="69207C5D"/>
    <w:rsid w:val="693B87D2"/>
    <w:rsid w:val="6940B0B7"/>
    <w:rsid w:val="6966BF44"/>
    <w:rsid w:val="6A296C06"/>
    <w:rsid w:val="6A2A37F6"/>
    <w:rsid w:val="6A36DA85"/>
    <w:rsid w:val="6B9777D0"/>
    <w:rsid w:val="6C67F7EB"/>
    <w:rsid w:val="6CA8D092"/>
    <w:rsid w:val="6CEBD894"/>
    <w:rsid w:val="6CF13E5A"/>
    <w:rsid w:val="6CF29E70"/>
    <w:rsid w:val="6D1B877F"/>
    <w:rsid w:val="6D2C6244"/>
    <w:rsid w:val="6D48831E"/>
    <w:rsid w:val="6DB20BA8"/>
    <w:rsid w:val="6DCA35F1"/>
    <w:rsid w:val="6DCE0B41"/>
    <w:rsid w:val="6E63F4D8"/>
    <w:rsid w:val="6EC9BBCB"/>
    <w:rsid w:val="6F1488E2"/>
    <w:rsid w:val="70428B13"/>
    <w:rsid w:val="709754C5"/>
    <w:rsid w:val="714C562D"/>
    <w:rsid w:val="7204CB35"/>
    <w:rsid w:val="726EE9DC"/>
    <w:rsid w:val="727B994A"/>
    <w:rsid w:val="72BCE07E"/>
    <w:rsid w:val="7309605F"/>
    <w:rsid w:val="732A4D08"/>
    <w:rsid w:val="73704732"/>
    <w:rsid w:val="74B5B6E9"/>
    <w:rsid w:val="74DD45FB"/>
    <w:rsid w:val="757D1B75"/>
    <w:rsid w:val="75C83CA5"/>
    <w:rsid w:val="76AFAA7F"/>
    <w:rsid w:val="76B457B3"/>
    <w:rsid w:val="76F5D6A4"/>
    <w:rsid w:val="7799D36D"/>
    <w:rsid w:val="78C1C432"/>
    <w:rsid w:val="78E2CF7A"/>
    <w:rsid w:val="790FAFCB"/>
    <w:rsid w:val="798307E1"/>
    <w:rsid w:val="798BE634"/>
    <w:rsid w:val="7A080630"/>
    <w:rsid w:val="7A5BA388"/>
    <w:rsid w:val="7A9AD43D"/>
    <w:rsid w:val="7AC54750"/>
    <w:rsid w:val="7B6319BE"/>
    <w:rsid w:val="7BBCD3F7"/>
    <w:rsid w:val="7BD495AF"/>
    <w:rsid w:val="7BD985F7"/>
    <w:rsid w:val="7BF9F291"/>
    <w:rsid w:val="7C094635"/>
    <w:rsid w:val="7C125327"/>
    <w:rsid w:val="7C170A41"/>
    <w:rsid w:val="7D049325"/>
    <w:rsid w:val="7D06EB24"/>
    <w:rsid w:val="7D087A9D"/>
    <w:rsid w:val="7D3578BF"/>
    <w:rsid w:val="7E7F68DD"/>
    <w:rsid w:val="7F4236ED"/>
    <w:rsid w:val="7F9A91B9"/>
    <w:rsid w:val="7FCB46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F1A302C-EEBD-4869-9510-9C09832A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F0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240E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c696239-7cdf-4043-bd55-f3ffa6e6988d" xsi:nil="true"/>
    <lcf76f155ced4ddcb4097134ff3c332f xmlns="37675bc6-c3f9-4793-b7ab-ea12642b3b5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FFBCDE888FBA47B322A21EA4A6E487" ma:contentTypeVersion="17" ma:contentTypeDescription="Create a new document." ma:contentTypeScope="" ma:versionID="160bad0437c63f5fe975cca9a647c87e">
  <xsd:schema xmlns:xsd="http://www.w3.org/2001/XMLSchema" xmlns:xs="http://www.w3.org/2001/XMLSchema" xmlns:p="http://schemas.microsoft.com/office/2006/metadata/properties" xmlns:ns2="37675bc6-c3f9-4793-b7ab-ea12642b3b5a" xmlns:ns3="3c696239-7cdf-4043-bd55-f3ffa6e6988d" targetNamespace="http://schemas.microsoft.com/office/2006/metadata/properties" ma:root="true" ma:fieldsID="48d8d84fdc9899a07f36be529b89f995" ns2:_="" ns3:_="">
    <xsd:import namespace="37675bc6-c3f9-4793-b7ab-ea12642b3b5a"/>
    <xsd:import namespace="3c696239-7cdf-4043-bd55-f3ffa6e698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75bc6-c3f9-4793-b7ab-ea12642b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696239-7cdf-4043-bd55-f3ffa6e698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042f6f0-cd66-40e5-aaed-97c3c7bc5d3a}" ma:internalName="TaxCatchAll" ma:showField="CatchAllData" ma:web="3c696239-7cdf-4043-bd55-f3ffa6e698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2D6155-CE22-48ED-9732-E2700561E0FC}">
  <ds:schemaRefs>
    <ds:schemaRef ds:uri="http://schemas.microsoft.com/sharepoint/v3/contenttype/forms"/>
  </ds:schemaRefs>
</ds:datastoreItem>
</file>

<file path=customXml/itemProps3.xml><?xml version="1.0" encoding="utf-8"?>
<ds:datastoreItem xmlns:ds="http://schemas.openxmlformats.org/officeDocument/2006/customXml" ds:itemID="{595761CD-9623-4F7C-83F4-D1D0F878FD9E}">
  <ds:schemaRefs>
    <ds:schemaRef ds:uri="http://schemas.microsoft.com/office/2006/metadata/properties"/>
    <ds:schemaRef ds:uri="http://schemas.microsoft.com/office/infopath/2007/PartnerControls"/>
    <ds:schemaRef ds:uri="3c696239-7cdf-4043-bd55-f3ffa6e6988d"/>
    <ds:schemaRef ds:uri="37675bc6-c3f9-4793-b7ab-ea12642b3b5a"/>
  </ds:schemaRefs>
</ds:datastoreItem>
</file>

<file path=customXml/itemProps4.xml><?xml version="1.0" encoding="utf-8"?>
<ds:datastoreItem xmlns:ds="http://schemas.openxmlformats.org/officeDocument/2006/customXml" ds:itemID="{DB038DFA-77A3-4D5C-9AEC-22F05103F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75bc6-c3f9-4793-b7ab-ea12642b3b5a"/>
    <ds:schemaRef ds:uri="3c696239-7cdf-4043-bd55-f3ffa6e69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2508</Words>
  <Characters>14298</Characters>
  <Application>Microsoft Office Word</Application>
  <DocSecurity>4</DocSecurity>
  <Lines>119</Lines>
  <Paragraphs>33</Paragraphs>
  <ScaleCrop>false</ScaleCrop>
  <Manager/>
  <Company/>
  <LinksUpToDate>false</LinksUpToDate>
  <CharactersWithSpaces>16773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McKay Boody</cp:lastModifiedBy>
  <cp:revision>539</cp:revision>
  <dcterms:created xsi:type="dcterms:W3CDTF">2013-12-24T02:15:00Z</dcterms:created>
  <dcterms:modified xsi:type="dcterms:W3CDTF">2026-04-16T15:11:00Z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0x010100FBFFBCDE888FBA47B322A21EA4A6E487</vt:lpwstr>
  </property>
  <property fmtid="{D5CDD505-2E9C-101B-9397-08002B2CF9AE}" pid="3" name="MediaServiceImageTags">
    <vt:lpwstr/>
  </property>
</Properties>
</file>