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C43791">
      <w:pPr>
        <w:rPr>
          <w:rFonts w:hint="eastAsia"/>
          <w:b/>
          <w:bCs/>
          <w:color w:val="000000" w:themeColor="text1"/>
          <w:sz w:val="40"/>
          <w:szCs w:val="40"/>
          <w14:textFill>
            <w14:solidFill>
              <w14:schemeClr w14:val="tx1"/>
            </w14:solidFill>
          </w14:textFill>
        </w:rPr>
      </w:pPr>
      <w:r>
        <w:rPr>
          <w:rFonts w:hint="eastAsia"/>
          <w:b/>
          <w:bCs/>
          <w:color w:val="000000" w:themeColor="text1"/>
          <w:sz w:val="40"/>
          <w:szCs w:val="40"/>
          <w14:textFill>
            <w14:solidFill>
              <w14:schemeClr w14:val="tx1"/>
            </w14:solidFill>
          </w14:textFill>
        </w:rPr>
        <w:t>基于融合术后多模态影像组学与临床特征的原型网络</w:t>
      </w:r>
      <w:bookmarkStart w:id="250" w:name="_GoBack"/>
      <w:bookmarkEnd w:id="250"/>
      <w:r>
        <w:rPr>
          <w:rFonts w:hint="eastAsia"/>
          <w:b/>
          <w:bCs/>
          <w:color w:val="000000" w:themeColor="text1"/>
          <w:sz w:val="40"/>
          <w:szCs w:val="40"/>
          <w14:textFill>
            <w14:solidFill>
              <w14:schemeClr w14:val="tx1"/>
            </w14:solidFill>
          </w14:textFill>
        </w:rPr>
        <w:t>在急性肾损伤中的小样本预测</w:t>
      </w:r>
    </w:p>
    <w:p w14:paraId="1583F41E">
      <w:pPr>
        <w:rPr>
          <w:rFonts w:hint="eastAsia"/>
          <w:b/>
          <w:bCs/>
          <w:color w:val="000000" w:themeColor="text1"/>
          <w:sz w:val="40"/>
          <w:szCs w:val="40"/>
          <w14:textFill>
            <w14:solidFill>
              <w14:schemeClr w14:val="tx1"/>
            </w14:solidFill>
          </w14:textFill>
        </w:rPr>
      </w:pPr>
    </w:p>
    <w:p w14:paraId="2864AC74">
      <w:pPr>
        <w:rPr>
          <w:rFonts w:hint="eastAsia"/>
          <w:b/>
          <w:bCs/>
          <w:color w:val="000000" w:themeColor="text1"/>
          <w:sz w:val="32"/>
          <w:szCs w:val="32"/>
          <w14:textFill>
            <w14:solidFill>
              <w14:schemeClr w14:val="tx1"/>
            </w14:solidFill>
          </w14:textFill>
        </w:rPr>
      </w:pPr>
      <w:r>
        <w:rPr>
          <w:rFonts w:hint="eastAsia"/>
          <w:b/>
          <w:bCs/>
          <w:color w:val="000000" w:themeColor="text1"/>
          <w:sz w:val="32"/>
          <w:szCs w:val="32"/>
          <w:lang w:val="en-US" w:eastAsia="zh-CN"/>
          <w14:textFill>
            <w14:solidFill>
              <w14:schemeClr w14:val="tx1"/>
            </w14:solidFill>
          </w14:textFill>
        </w:rPr>
        <w:t>摘要</w:t>
      </w:r>
    </w:p>
    <w:p w14:paraId="4BF1E378">
      <w:pPr>
        <w:rPr>
          <w:rFonts w:hint="eastAsia"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术后急性肾损伤（AKI）是一种严重并发症，需及时预测以优化术前决策。本研究基于单中心194例真实临床数据，构建了一种多模态小样本原型网络。将ResNet-50提取的影像特征与MLP编码的11项术前指标加权融合，设计定损失应对数据不平衡。结果</w:t>
      </w:r>
      <w:r>
        <w:rPr>
          <w:rFonts w:hint="eastAsia" w:ascii="宋体" w:hAnsi="宋体" w:eastAsia="宋体" w:cs="宋体"/>
          <w:color w:val="000000" w:themeColor="text1"/>
          <w:sz w:val="24"/>
          <w:szCs w:val="24"/>
          <w:lang w:val="en-US" w:eastAsia="zh-CN"/>
          <w14:textFill>
            <w14:solidFill>
              <w14:schemeClr w14:val="tx1"/>
            </w14:solidFill>
          </w14:textFill>
        </w:rPr>
        <w:t>显示</w:t>
      </w:r>
      <w:r>
        <w:rPr>
          <w:rFonts w:ascii="宋体" w:hAnsi="宋体" w:eastAsia="宋体" w:cs="宋体"/>
          <w:color w:val="000000" w:themeColor="text1"/>
          <w:sz w:val="24"/>
          <w:szCs w:val="24"/>
          <w14:textFill>
            <w14:solidFill>
              <w14:schemeClr w14:val="tx1"/>
            </w14:solidFill>
          </w14:textFill>
        </w:rPr>
        <w:t>单</w:t>
      </w:r>
      <w:r>
        <w:rPr>
          <w:rFonts w:hint="eastAsia" w:ascii="宋体" w:hAnsi="宋体" w:eastAsia="宋体" w:cs="宋体"/>
          <w:color w:val="000000" w:themeColor="text1"/>
          <w:sz w:val="24"/>
          <w:szCs w:val="24"/>
          <w:lang w:val="en-US" w:eastAsia="zh-CN"/>
          <w14:textFill>
            <w14:solidFill>
              <w14:schemeClr w14:val="tx1"/>
            </w14:solidFill>
          </w14:textFill>
        </w:rPr>
        <w:t>一的</w:t>
      </w:r>
      <w:r>
        <w:rPr>
          <w:rFonts w:ascii="宋体" w:hAnsi="宋体" w:eastAsia="宋体" w:cs="宋体"/>
          <w:color w:val="000000" w:themeColor="text1"/>
          <w:sz w:val="24"/>
          <w:szCs w:val="24"/>
          <w14:textFill>
            <w14:solidFill>
              <w14:schemeClr w14:val="tx1"/>
            </w14:solidFill>
          </w14:textFill>
        </w:rPr>
        <w:t>表格模型和影像模型AUC分别为0.578和0.51，融合模型AUC提升至0.816；SHAP可解释性分析阐释了肌酐、乳酸、年龄等关键因素的贡献度。首次将小样本学习与原型网络应用于术后AKI预测，验证了多模态融合在有限样本下提升泛化性能的可行性</w:t>
      </w:r>
      <w:r>
        <w:rPr>
          <w:rFonts w:hint="eastAsia" w:ascii="宋体" w:hAnsi="宋体" w:eastAsia="宋体" w:cs="宋体"/>
          <w:color w:val="000000" w:themeColor="text1"/>
          <w:sz w:val="24"/>
          <w:szCs w:val="24"/>
          <w:lang w:eastAsia="zh-CN"/>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推荐临床纳入11项常规术前检查指标与影像数据进行风险评估，后续研究应扩大样本量，精细化影像特征以进一步提高预测精度与临床可操作性。</w:t>
      </w:r>
    </w:p>
    <w:p w14:paraId="02DED694">
      <w:pPr>
        <w:rPr>
          <w:rFonts w:ascii="宋体" w:hAnsi="宋体" w:eastAsia="宋体" w:cs="宋体"/>
          <w:color w:val="000000" w:themeColor="text1"/>
          <w:sz w:val="24"/>
          <w:szCs w:val="24"/>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关键词：</w:t>
      </w:r>
      <w:r>
        <w:rPr>
          <w:rFonts w:ascii="宋体" w:hAnsi="宋体" w:eastAsia="宋体" w:cs="宋体"/>
          <w:color w:val="000000" w:themeColor="text1"/>
          <w:sz w:val="24"/>
          <w:szCs w:val="24"/>
          <w14:textFill>
            <w14:solidFill>
              <w14:schemeClr w14:val="tx1"/>
            </w14:solidFill>
          </w14:textFill>
        </w:rPr>
        <w:t>急性肾损伤预测</w:t>
      </w:r>
      <w:r>
        <w:rPr>
          <w:rFonts w:hint="eastAsia" w:ascii="宋体" w:hAnsi="宋体" w:eastAsia="宋体" w:cs="宋体"/>
          <w:color w:val="000000" w:themeColor="text1"/>
          <w:sz w:val="24"/>
          <w:szCs w:val="24"/>
          <w:lang w:eastAsia="zh-CN"/>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小样本学习</w:t>
      </w:r>
      <w:r>
        <w:rPr>
          <w:rFonts w:hint="eastAsia" w:ascii="宋体" w:hAnsi="宋体" w:eastAsia="宋体" w:cs="宋体"/>
          <w:color w:val="000000" w:themeColor="text1"/>
          <w:sz w:val="24"/>
          <w:szCs w:val="24"/>
          <w:lang w:eastAsia="zh-CN"/>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原型网络</w:t>
      </w:r>
      <w:r>
        <w:rPr>
          <w:rFonts w:hint="eastAsia" w:ascii="宋体" w:hAnsi="宋体" w:eastAsia="宋体" w:cs="宋体"/>
          <w:color w:val="000000" w:themeColor="text1"/>
          <w:sz w:val="24"/>
          <w:szCs w:val="24"/>
          <w:lang w:eastAsia="zh-CN"/>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多模态数据融合</w:t>
      </w:r>
      <w:r>
        <w:rPr>
          <w:rFonts w:hint="eastAsia" w:ascii="宋体" w:hAnsi="宋体" w:eastAsia="宋体" w:cs="宋体"/>
          <w:color w:val="000000" w:themeColor="text1"/>
          <w:sz w:val="24"/>
          <w:szCs w:val="24"/>
          <w:lang w:eastAsia="zh-CN"/>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可解释性分析</w:t>
      </w:r>
    </w:p>
    <w:p w14:paraId="401BFCE0">
      <w:pPr>
        <w:rPr>
          <w:rFonts w:ascii="宋体" w:hAnsi="宋体" w:eastAsia="宋体" w:cs="宋体"/>
          <w:color w:val="000000" w:themeColor="text1"/>
          <w:sz w:val="24"/>
          <w:szCs w:val="24"/>
          <w14:textFill>
            <w14:solidFill>
              <w14:schemeClr w14:val="tx1"/>
            </w14:solidFill>
          </w14:textFill>
        </w:rPr>
      </w:pPr>
    </w:p>
    <w:p w14:paraId="4E85671D">
      <w:pPr>
        <w:rPr>
          <w:rFonts w:ascii="宋体" w:hAnsi="宋体" w:eastAsia="宋体" w:cs="宋体"/>
          <w:color w:val="000000" w:themeColor="text1"/>
          <w:sz w:val="24"/>
          <w:szCs w:val="24"/>
          <w14:textFill>
            <w14:solidFill>
              <w14:schemeClr w14:val="tx1"/>
            </w14:solidFill>
          </w14:textFill>
        </w:rPr>
      </w:pPr>
    </w:p>
    <w:p w14:paraId="0FE72D37">
      <w:pPr>
        <w:rPr>
          <w:rFonts w:ascii="宋体" w:hAnsi="宋体" w:eastAsia="宋体" w:cs="宋体"/>
          <w:color w:val="000000" w:themeColor="text1"/>
          <w:sz w:val="24"/>
          <w:szCs w:val="24"/>
          <w14:textFill>
            <w14:solidFill>
              <w14:schemeClr w14:val="tx1"/>
            </w14:solidFill>
          </w14:textFill>
        </w:rPr>
      </w:pPr>
    </w:p>
    <w:p w14:paraId="2179724C">
      <w:pPr>
        <w:rPr>
          <w:rFonts w:ascii="宋体" w:hAnsi="宋体" w:eastAsia="宋体" w:cs="宋体"/>
          <w:color w:val="000000" w:themeColor="text1"/>
          <w:sz w:val="24"/>
          <w:szCs w:val="24"/>
          <w14:textFill>
            <w14:solidFill>
              <w14:schemeClr w14:val="tx1"/>
            </w14:solidFill>
          </w14:textFill>
        </w:rPr>
      </w:pPr>
    </w:p>
    <w:p w14:paraId="12AF2716">
      <w:pPr>
        <w:rPr>
          <w:rFonts w:ascii="宋体" w:hAnsi="宋体" w:eastAsia="宋体" w:cs="宋体"/>
          <w:color w:val="000000" w:themeColor="text1"/>
          <w:sz w:val="24"/>
          <w:szCs w:val="24"/>
          <w14:textFill>
            <w14:solidFill>
              <w14:schemeClr w14:val="tx1"/>
            </w14:solidFill>
          </w14:textFill>
        </w:rPr>
      </w:pPr>
    </w:p>
    <w:p w14:paraId="450F3EB0">
      <w:pPr>
        <w:rPr>
          <w:rFonts w:ascii="宋体" w:hAnsi="宋体" w:eastAsia="宋体" w:cs="宋体"/>
          <w:color w:val="000000" w:themeColor="text1"/>
          <w:sz w:val="24"/>
          <w:szCs w:val="24"/>
          <w14:textFill>
            <w14:solidFill>
              <w14:schemeClr w14:val="tx1"/>
            </w14:solidFill>
          </w14:textFill>
        </w:rPr>
      </w:pPr>
    </w:p>
    <w:p w14:paraId="2A043AF6">
      <w:pPr>
        <w:rPr>
          <w:rFonts w:ascii="宋体" w:hAnsi="宋体" w:eastAsia="宋体" w:cs="宋体"/>
          <w:color w:val="000000" w:themeColor="text1"/>
          <w:sz w:val="24"/>
          <w:szCs w:val="24"/>
          <w14:textFill>
            <w14:solidFill>
              <w14:schemeClr w14:val="tx1"/>
            </w14:solidFill>
          </w14:textFill>
        </w:rPr>
      </w:pPr>
    </w:p>
    <w:p w14:paraId="34844819">
      <w:pPr>
        <w:rPr>
          <w:rFonts w:ascii="宋体" w:hAnsi="宋体" w:eastAsia="宋体" w:cs="宋体"/>
          <w:color w:val="000000" w:themeColor="text1"/>
          <w:sz w:val="24"/>
          <w:szCs w:val="24"/>
          <w14:textFill>
            <w14:solidFill>
              <w14:schemeClr w14:val="tx1"/>
            </w14:solidFill>
          </w14:textFill>
        </w:rPr>
      </w:pPr>
    </w:p>
    <w:p w14:paraId="310E316B">
      <w:pPr>
        <w:rPr>
          <w:rFonts w:ascii="宋体" w:hAnsi="宋体" w:eastAsia="宋体" w:cs="宋体"/>
          <w:color w:val="000000" w:themeColor="text1"/>
          <w:sz w:val="24"/>
          <w:szCs w:val="24"/>
          <w14:textFill>
            <w14:solidFill>
              <w14:schemeClr w14:val="tx1"/>
            </w14:solidFill>
          </w14:textFill>
        </w:rPr>
      </w:pPr>
    </w:p>
    <w:p w14:paraId="55E5D4A6">
      <w:pPr>
        <w:rPr>
          <w:rFonts w:ascii="宋体" w:hAnsi="宋体" w:eastAsia="宋体" w:cs="宋体"/>
          <w:color w:val="000000" w:themeColor="text1"/>
          <w:sz w:val="24"/>
          <w:szCs w:val="24"/>
          <w14:textFill>
            <w14:solidFill>
              <w14:schemeClr w14:val="tx1"/>
            </w14:solidFill>
          </w14:textFill>
        </w:rPr>
      </w:pPr>
    </w:p>
    <w:p w14:paraId="6892D1FE">
      <w:pPr>
        <w:rPr>
          <w:rFonts w:ascii="宋体" w:hAnsi="宋体" w:eastAsia="宋体" w:cs="宋体"/>
          <w:color w:val="000000" w:themeColor="text1"/>
          <w:sz w:val="24"/>
          <w:szCs w:val="24"/>
          <w14:textFill>
            <w14:solidFill>
              <w14:schemeClr w14:val="tx1"/>
            </w14:solidFill>
          </w14:textFill>
        </w:rPr>
      </w:pPr>
    </w:p>
    <w:p w14:paraId="3272A972">
      <w:pPr>
        <w:rPr>
          <w:rFonts w:ascii="宋体" w:hAnsi="宋体" w:eastAsia="宋体" w:cs="宋体"/>
          <w:color w:val="000000" w:themeColor="text1"/>
          <w:sz w:val="24"/>
          <w:szCs w:val="24"/>
          <w14:textFill>
            <w14:solidFill>
              <w14:schemeClr w14:val="tx1"/>
            </w14:solidFill>
          </w14:textFill>
        </w:rPr>
      </w:pPr>
    </w:p>
    <w:p w14:paraId="271E47E2">
      <w:pPr>
        <w:rPr>
          <w:rFonts w:ascii="宋体" w:hAnsi="宋体" w:eastAsia="宋体" w:cs="宋体"/>
          <w:color w:val="000000" w:themeColor="text1"/>
          <w:sz w:val="24"/>
          <w:szCs w:val="24"/>
          <w14:textFill>
            <w14:solidFill>
              <w14:schemeClr w14:val="tx1"/>
            </w14:solidFill>
          </w14:textFill>
        </w:rPr>
      </w:pPr>
    </w:p>
    <w:p w14:paraId="6000CD74">
      <w:pPr>
        <w:rPr>
          <w:rFonts w:ascii="宋体" w:hAnsi="宋体" w:eastAsia="宋体" w:cs="宋体"/>
          <w:color w:val="000000" w:themeColor="text1"/>
          <w:sz w:val="24"/>
          <w:szCs w:val="24"/>
          <w14:textFill>
            <w14:solidFill>
              <w14:schemeClr w14:val="tx1"/>
            </w14:solidFill>
          </w14:textFill>
        </w:rPr>
      </w:pPr>
    </w:p>
    <w:p w14:paraId="4B880F4F">
      <w:pPr>
        <w:rPr>
          <w:rFonts w:ascii="宋体" w:hAnsi="宋体" w:eastAsia="宋体" w:cs="宋体"/>
          <w:color w:val="000000" w:themeColor="text1"/>
          <w:sz w:val="24"/>
          <w:szCs w:val="24"/>
          <w14:textFill>
            <w14:solidFill>
              <w14:schemeClr w14:val="tx1"/>
            </w14:solidFill>
          </w14:textFill>
        </w:rPr>
      </w:pPr>
    </w:p>
    <w:p w14:paraId="54527B4A">
      <w:pPr>
        <w:rPr>
          <w:rFonts w:ascii="宋体" w:hAnsi="宋体" w:eastAsia="宋体" w:cs="宋体"/>
          <w:color w:val="000000" w:themeColor="text1"/>
          <w:sz w:val="24"/>
          <w:szCs w:val="24"/>
          <w14:textFill>
            <w14:solidFill>
              <w14:schemeClr w14:val="tx1"/>
            </w14:solidFill>
          </w14:textFill>
        </w:rPr>
      </w:pPr>
    </w:p>
    <w:p w14:paraId="1B9A80A7">
      <w:pPr>
        <w:rPr>
          <w:rFonts w:ascii="宋体" w:hAnsi="宋体" w:eastAsia="宋体" w:cs="宋体"/>
          <w:color w:val="000000" w:themeColor="text1"/>
          <w:sz w:val="24"/>
          <w:szCs w:val="24"/>
          <w14:textFill>
            <w14:solidFill>
              <w14:schemeClr w14:val="tx1"/>
            </w14:solidFill>
          </w14:textFill>
        </w:rPr>
      </w:pPr>
    </w:p>
    <w:p w14:paraId="1A49FC00">
      <w:pPr>
        <w:rPr>
          <w:rFonts w:ascii="宋体" w:hAnsi="宋体" w:eastAsia="宋体" w:cs="宋体"/>
          <w:color w:val="000000" w:themeColor="text1"/>
          <w:sz w:val="24"/>
          <w:szCs w:val="24"/>
          <w14:textFill>
            <w14:solidFill>
              <w14:schemeClr w14:val="tx1"/>
            </w14:solidFill>
          </w14:textFill>
        </w:rPr>
      </w:pPr>
    </w:p>
    <w:p w14:paraId="0494E0B3">
      <w:pPr>
        <w:rPr>
          <w:rFonts w:ascii="宋体" w:hAnsi="宋体" w:eastAsia="宋体" w:cs="宋体"/>
          <w:color w:val="000000" w:themeColor="text1"/>
          <w:sz w:val="24"/>
          <w:szCs w:val="24"/>
          <w14:textFill>
            <w14:solidFill>
              <w14:schemeClr w14:val="tx1"/>
            </w14:solidFill>
          </w14:textFill>
        </w:rPr>
      </w:pPr>
    </w:p>
    <w:p w14:paraId="361FC92B">
      <w:pPr>
        <w:rPr>
          <w:rFonts w:ascii="宋体" w:hAnsi="宋体" w:eastAsia="宋体" w:cs="宋体"/>
          <w:color w:val="000000" w:themeColor="text1"/>
          <w:sz w:val="24"/>
          <w:szCs w:val="24"/>
          <w14:textFill>
            <w14:solidFill>
              <w14:schemeClr w14:val="tx1"/>
            </w14:solidFill>
          </w14:textFill>
        </w:rPr>
      </w:pPr>
    </w:p>
    <w:p w14:paraId="756C6D43">
      <w:pPr>
        <w:rPr>
          <w:rFonts w:ascii="宋体" w:hAnsi="宋体" w:eastAsia="宋体" w:cs="宋体"/>
          <w:color w:val="000000" w:themeColor="text1"/>
          <w:sz w:val="24"/>
          <w:szCs w:val="24"/>
          <w14:textFill>
            <w14:solidFill>
              <w14:schemeClr w14:val="tx1"/>
            </w14:solidFill>
          </w14:textFill>
        </w:rPr>
      </w:pPr>
    </w:p>
    <w:p w14:paraId="7A3338E6">
      <w:pPr>
        <w:rPr>
          <w:rFonts w:ascii="宋体" w:hAnsi="宋体" w:eastAsia="宋体" w:cs="宋体"/>
          <w:color w:val="000000" w:themeColor="text1"/>
          <w:sz w:val="24"/>
          <w:szCs w:val="24"/>
          <w14:textFill>
            <w14:solidFill>
              <w14:schemeClr w14:val="tx1"/>
            </w14:solidFill>
          </w14:textFill>
        </w:rPr>
      </w:pPr>
    </w:p>
    <w:p w14:paraId="7BDEB63C">
      <w:pPr>
        <w:pStyle w:val="7"/>
        <w:tabs>
          <w:tab w:val="right" w:leader="dot" w:pos="8306"/>
        </w:tabs>
        <w:rPr>
          <w:rFonts w:ascii="宋体" w:hAnsi="宋体" w:eastAsia="宋体" w:cs="宋体"/>
          <w:color w:val="000000" w:themeColor="text1"/>
          <w:sz w:val="24"/>
          <w:szCs w:val="24"/>
          <w14:textFill>
            <w14:solidFill>
              <w14:schemeClr w14:val="tx1"/>
            </w14:solidFill>
          </w14:textFill>
        </w:rPr>
        <w:sectPr>
          <w:footerReference r:id="rId3" w:type="default"/>
          <w:pgSz w:w="11906" w:h="16838"/>
          <w:pgMar w:top="1440" w:right="1800" w:bottom="1440" w:left="1800" w:header="851" w:footer="992" w:gutter="0"/>
          <w:pgNumType w:fmt="upperRoman" w:start="1"/>
          <w:cols w:space="425" w:num="1"/>
          <w:docGrid w:type="lines" w:linePitch="312" w:charSpace="0"/>
        </w:sectPr>
      </w:pPr>
    </w:p>
    <w:p w14:paraId="56B8F73D">
      <w:pPr>
        <w:rPr>
          <w:rFonts w:ascii="宋体" w:hAnsi="宋体" w:eastAsia="宋体" w:cs="宋体"/>
          <w:color w:val="000000" w:themeColor="text1"/>
          <w:sz w:val="24"/>
          <w:szCs w:val="24"/>
          <w14:textFill>
            <w14:solidFill>
              <w14:schemeClr w14:val="tx1"/>
            </w14:solidFill>
          </w14:textFill>
        </w:rPr>
      </w:pPr>
    </w:p>
    <w:p w14:paraId="2F8C8D44">
      <w:pPr>
        <w:keepNext w:val="0"/>
        <w:keepLines w:val="0"/>
        <w:pageBreakBefore w:val="0"/>
        <w:widowControl w:val="0"/>
        <w:numPr>
          <w:ilvl w:val="0"/>
          <w:numId w:val="1"/>
        </w:numPr>
        <w:kinsoku/>
        <w:wordWrap/>
        <w:overflowPunct/>
        <w:topLinePunct w:val="0"/>
        <w:autoSpaceDE/>
        <w:autoSpaceDN/>
        <w:bidi w:val="0"/>
        <w:adjustRightInd/>
        <w:snapToGrid/>
        <w:ind w:left="425" w:hanging="425"/>
        <w:textAlignment w:val="auto"/>
        <w:outlineLvl w:val="0"/>
        <w:rPr>
          <w:b/>
          <w:bCs/>
          <w:color w:val="000000" w:themeColor="text1"/>
          <w:sz w:val="36"/>
          <w:szCs w:val="36"/>
          <w14:textFill>
            <w14:solidFill>
              <w14:schemeClr w14:val="tx1"/>
            </w14:solidFill>
          </w14:textFill>
        </w:rPr>
      </w:pPr>
      <w:bookmarkStart w:id="0" w:name="_Toc31960"/>
      <w:bookmarkStart w:id="1" w:name="_Toc25110"/>
      <w:bookmarkStart w:id="2" w:name="_Toc15285"/>
      <w:bookmarkStart w:id="3" w:name="_Toc10594"/>
      <w:bookmarkStart w:id="4" w:name="_Toc16698"/>
      <w:r>
        <w:rPr>
          <w:rFonts w:hint="eastAsia"/>
          <w:b/>
          <w:bCs/>
          <w:color w:val="000000" w:themeColor="text1"/>
          <w:sz w:val="36"/>
          <w:szCs w:val="36"/>
          <w14:textFill>
            <w14:solidFill>
              <w14:schemeClr w14:val="tx1"/>
            </w14:solidFill>
          </w14:textFill>
        </w:rPr>
        <w:t>引言</w:t>
      </w:r>
      <w:bookmarkEnd w:id="0"/>
      <w:bookmarkEnd w:id="1"/>
      <w:bookmarkEnd w:id="2"/>
      <w:bookmarkEnd w:id="3"/>
      <w:bookmarkEnd w:id="4"/>
    </w:p>
    <w:p w14:paraId="4D98967E">
      <w:pPr>
        <w:ind w:firstLine="420"/>
        <w:rPr>
          <w:color w:val="000000" w:themeColor="text1"/>
          <w14:textFill>
            <w14:solidFill>
              <w14:schemeClr w14:val="tx1"/>
            </w14:solidFill>
          </w14:textFill>
        </w:rPr>
      </w:pPr>
      <w:r>
        <w:rPr>
          <w:color w:val="000000" w:themeColor="text1"/>
          <w14:textFill>
            <w14:solidFill>
              <w14:schemeClr w14:val="tx1"/>
            </w14:solidFill>
          </w14:textFill>
        </w:rPr>
        <w:t>急性肾损伤（</w:t>
      </w: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cute kidney injury</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AKI）是一种</w:t>
      </w:r>
      <w:r>
        <w:rPr>
          <w:rFonts w:hint="eastAsia"/>
          <w:color w:val="000000" w:themeColor="text1"/>
          <w14:textFill>
            <w14:solidFill>
              <w14:schemeClr w14:val="tx1"/>
            </w14:solidFill>
          </w14:textFill>
        </w:rPr>
        <w:t>重要的</w:t>
      </w:r>
      <w:r>
        <w:rPr>
          <w:color w:val="000000" w:themeColor="text1"/>
          <w14:textFill>
            <w14:solidFill>
              <w14:schemeClr w14:val="tx1"/>
            </w14:solidFill>
          </w14:textFill>
        </w:rPr>
        <w:t>临床综合征，</w:t>
      </w:r>
      <w:r>
        <w:rPr>
          <w:rFonts w:hint="eastAsia"/>
          <w:color w:val="000000" w:themeColor="text1"/>
          <w14:textFill>
            <w14:solidFill>
              <w14:schemeClr w14:val="tx1"/>
            </w14:solidFill>
          </w14:textFill>
        </w:rPr>
        <w:t>主要</w:t>
      </w:r>
      <w:r>
        <w:rPr>
          <w:color w:val="000000" w:themeColor="text1"/>
          <w14:textFill>
            <w14:solidFill>
              <w14:schemeClr w14:val="tx1"/>
            </w14:solidFill>
          </w14:textFill>
        </w:rPr>
        <w:t>表现为肾功能在短时间内急剧下降，</w:t>
      </w:r>
      <w:r>
        <w:rPr>
          <w:rFonts w:hint="eastAsia"/>
          <w:color w:val="000000" w:themeColor="text1"/>
          <w:lang w:val="en-US" w:eastAsia="zh-CN"/>
          <w14:textFill>
            <w14:solidFill>
              <w14:schemeClr w14:val="tx1"/>
            </w14:solidFill>
          </w14:textFill>
        </w:rPr>
        <w:t>并伴有</w:t>
      </w:r>
      <w:r>
        <w:rPr>
          <w:color w:val="000000" w:themeColor="text1"/>
          <w14:textFill>
            <w14:solidFill>
              <w14:schemeClr w14:val="tx1"/>
            </w14:solidFill>
          </w14:textFill>
        </w:rPr>
        <w:t>体液、电解质及酸碱平衡紊乱</w:t>
      </w:r>
      <w:r>
        <w:rPr>
          <w:rFonts w:hint="eastAsia"/>
          <w:color w:val="000000" w:themeColor="text1"/>
          <w:lang w:eastAsia="zh-CN"/>
          <w14:textFill>
            <w14:solidFill>
              <w14:schemeClr w14:val="tx1"/>
            </w14:solidFill>
          </w14:textFill>
        </w:rPr>
        <w:t>。</w:t>
      </w:r>
      <w:r>
        <w:rPr>
          <w:rFonts w:hint="eastAsia"/>
          <w:b/>
          <w:bCs/>
          <w:color w:val="000000" w:themeColor="text1"/>
          <w14:textFill>
            <w14:solidFill>
              <w14:schemeClr w14:val="tx1"/>
            </w14:solidFill>
          </w14:textFill>
        </w:rPr>
        <w:t>根据全球肾脏病预后组织KDIGO（Kidney Disease: Improving GlobalOutcomes）标准定义：1.在48 h内血清肌酐（SCr）上升身0.3mg/dl（≥26.5μmol/L）；2.肾功能损害发生在7d之内，SCr上升至&gt;基础值的1.5倍；3.尿量&lt;0.5 ml/（kg·h），持续6h</w:t>
      </w:r>
      <w:r>
        <w:rPr>
          <w:rFonts w:hint="eastAsia"/>
          <w:b/>
          <w:bCs/>
          <w:color w:val="000000" w:themeColor="text1"/>
          <w:vertAlign w:val="superscript"/>
          <w14:textFill>
            <w14:solidFill>
              <w14:schemeClr w14:val="tx1"/>
            </w14:solidFill>
          </w14:textFill>
        </w:rPr>
        <w:fldChar w:fldCharType="begin"/>
      </w:r>
      <w:r>
        <w:rPr>
          <w:rFonts w:hint="eastAsia"/>
          <w:b/>
          <w:bCs/>
          <w:color w:val="000000" w:themeColor="text1"/>
          <w:vertAlign w:val="superscript"/>
          <w14:textFill>
            <w14:solidFill>
              <w14:schemeClr w14:val="tx1"/>
            </w14:solidFill>
          </w14:textFill>
        </w:rPr>
        <w:instrText xml:space="preserve"> REF _Ref6532 \r \h </w:instrText>
      </w:r>
      <w:r>
        <w:rPr>
          <w:rFonts w:hint="eastAsia"/>
          <w:b/>
          <w:bCs/>
          <w:color w:val="000000" w:themeColor="text1"/>
          <w:vertAlign w:val="superscript"/>
          <w14:textFill>
            <w14:solidFill>
              <w14:schemeClr w14:val="tx1"/>
            </w14:solidFill>
          </w14:textFill>
        </w:rPr>
        <w:fldChar w:fldCharType="separate"/>
      </w:r>
      <w:r>
        <w:rPr>
          <w:rFonts w:hint="eastAsia"/>
          <w:b/>
          <w:bCs/>
          <w:color w:val="000000" w:themeColor="text1"/>
          <w:vertAlign w:val="superscript"/>
          <w14:textFill>
            <w14:solidFill>
              <w14:schemeClr w14:val="tx1"/>
            </w14:solidFill>
          </w14:textFill>
        </w:rPr>
        <w:t>[1]</w:t>
      </w:r>
      <w:r>
        <w:rPr>
          <w:rFonts w:hint="eastAsia"/>
          <w:b/>
          <w:bCs/>
          <w:color w:val="000000" w:themeColor="text1"/>
          <w:vertAlign w:val="superscript"/>
          <w14:textFill>
            <w14:solidFill>
              <w14:schemeClr w14:val="tx1"/>
            </w14:solidFill>
          </w14:textFill>
        </w:rPr>
        <w:fldChar w:fldCharType="end"/>
      </w:r>
      <w:r>
        <w:rPr>
          <w:rFonts w:hint="eastAsia"/>
          <w:b/>
          <w:bCs/>
          <w:color w:val="000000" w:themeColor="text1"/>
          <w14:textFill>
            <w14:solidFill>
              <w14:schemeClr w14:val="tx1"/>
            </w14:solidFill>
          </w14:textFill>
        </w:rPr>
        <w:t>。</w:t>
      </w:r>
      <w:r>
        <w:rPr>
          <w:rFonts w:hint="eastAsia"/>
          <w:b w:val="0"/>
          <w:bCs w:val="0"/>
          <w:color w:val="000000" w:themeColor="text1"/>
          <w:lang w:val="en-US" w:eastAsia="zh-CN"/>
          <w14:textFill>
            <w14:solidFill>
              <w14:schemeClr w14:val="tx1"/>
            </w14:solidFill>
          </w14:textFill>
        </w:rPr>
        <w:t>临床AKI</w:t>
      </w:r>
      <w:r>
        <w:rPr>
          <w:rFonts w:hint="eastAsia"/>
          <w:b w:val="0"/>
          <w:bCs w:val="0"/>
          <w:color w:val="000000" w:themeColor="text1"/>
          <w14:textFill>
            <w14:solidFill>
              <w14:schemeClr w14:val="tx1"/>
            </w14:solidFill>
          </w14:textFill>
        </w:rPr>
        <w:t>广泛发生于住院患者，尤其是在接受重大外科手术后的个体中，其发生率显著升高，与死亡率、住院时长、长期慢性肾病风险及医疗成本增加密切相关</w:t>
      </w:r>
      <w:r>
        <w:rPr>
          <w:rFonts w:hint="eastAsia"/>
          <w:b w:val="0"/>
          <w:bCs w:val="0"/>
          <w:color w:val="000000" w:themeColor="text1"/>
          <w:vertAlign w:val="superscript"/>
          <w:lang w:eastAsia="zh-CN"/>
          <w14:textFill>
            <w14:solidFill>
              <w14:schemeClr w14:val="tx1"/>
            </w14:solidFill>
          </w14:textFill>
        </w:rPr>
        <w:fldChar w:fldCharType="begin"/>
      </w:r>
      <w:r>
        <w:rPr>
          <w:rFonts w:hint="eastAsia"/>
          <w:b w:val="0"/>
          <w:bCs w:val="0"/>
          <w:color w:val="000000" w:themeColor="text1"/>
          <w:vertAlign w:val="superscript"/>
          <w:lang w:eastAsia="zh-CN"/>
          <w14:textFill>
            <w14:solidFill>
              <w14:schemeClr w14:val="tx1"/>
            </w14:solidFill>
          </w14:textFill>
        </w:rPr>
        <w:instrText xml:space="preserve"> REF _Ref3036 \r \h </w:instrText>
      </w:r>
      <w:r>
        <w:rPr>
          <w:rFonts w:hint="eastAsia"/>
          <w:b w:val="0"/>
          <w:bCs w:val="0"/>
          <w:color w:val="000000" w:themeColor="text1"/>
          <w:vertAlign w:val="superscript"/>
          <w:lang w:eastAsia="zh-CN"/>
          <w14:textFill>
            <w14:solidFill>
              <w14:schemeClr w14:val="tx1"/>
            </w14:solidFill>
          </w14:textFill>
        </w:rPr>
        <w:fldChar w:fldCharType="separate"/>
      </w:r>
      <w:r>
        <w:rPr>
          <w:rFonts w:hint="eastAsia"/>
          <w:b w:val="0"/>
          <w:bCs w:val="0"/>
          <w:color w:val="000000" w:themeColor="text1"/>
          <w:vertAlign w:val="superscript"/>
          <w:lang w:eastAsia="zh-CN"/>
          <w14:textFill>
            <w14:solidFill>
              <w14:schemeClr w14:val="tx1"/>
            </w14:solidFill>
          </w14:textFill>
        </w:rPr>
        <w:t>[2]</w:t>
      </w:r>
      <w:r>
        <w:rPr>
          <w:rFonts w:hint="eastAsia"/>
          <w:b w:val="0"/>
          <w:bCs w:val="0"/>
          <w:color w:val="000000" w:themeColor="text1"/>
          <w:vertAlign w:val="superscript"/>
          <w:lang w:eastAsia="zh-CN"/>
          <w14:textFill>
            <w14:solidFill>
              <w14:schemeClr w14:val="tx1"/>
            </w14:solidFill>
          </w14:textFill>
        </w:rPr>
        <w:fldChar w:fldCharType="end"/>
      </w:r>
      <w:r>
        <w:rPr>
          <w:rFonts w:hint="eastAsia"/>
          <w:b w:val="0"/>
          <w:bCs w:val="0"/>
          <w:color w:val="000000" w:themeColor="text1"/>
          <w:vertAlign w:val="superscript"/>
          <w:lang w:eastAsia="zh-CN"/>
          <w14:textFill>
            <w14:solidFill>
              <w14:schemeClr w14:val="tx1"/>
            </w14:solidFill>
          </w14:textFill>
        </w:rPr>
        <w:fldChar w:fldCharType="begin"/>
      </w:r>
      <w:r>
        <w:rPr>
          <w:rFonts w:hint="eastAsia"/>
          <w:b w:val="0"/>
          <w:bCs w:val="0"/>
          <w:color w:val="000000" w:themeColor="text1"/>
          <w:vertAlign w:val="superscript"/>
          <w:lang w:eastAsia="zh-CN"/>
          <w14:textFill>
            <w14:solidFill>
              <w14:schemeClr w14:val="tx1"/>
            </w14:solidFill>
          </w14:textFill>
        </w:rPr>
        <w:instrText xml:space="preserve"> REF _Ref3039 \r \h </w:instrText>
      </w:r>
      <w:r>
        <w:rPr>
          <w:rFonts w:hint="eastAsia"/>
          <w:b w:val="0"/>
          <w:bCs w:val="0"/>
          <w:color w:val="000000" w:themeColor="text1"/>
          <w:vertAlign w:val="superscript"/>
          <w:lang w:eastAsia="zh-CN"/>
          <w14:textFill>
            <w14:solidFill>
              <w14:schemeClr w14:val="tx1"/>
            </w14:solidFill>
          </w14:textFill>
        </w:rPr>
        <w:fldChar w:fldCharType="separate"/>
      </w:r>
      <w:r>
        <w:rPr>
          <w:rFonts w:hint="eastAsia"/>
          <w:b w:val="0"/>
          <w:bCs w:val="0"/>
          <w:color w:val="000000" w:themeColor="text1"/>
          <w:vertAlign w:val="superscript"/>
          <w:lang w:eastAsia="zh-CN"/>
          <w14:textFill>
            <w14:solidFill>
              <w14:schemeClr w14:val="tx1"/>
            </w14:solidFill>
          </w14:textFill>
        </w:rPr>
        <w:t>[3]</w:t>
      </w:r>
      <w:r>
        <w:rPr>
          <w:rFonts w:hint="eastAsia"/>
          <w:b w:val="0"/>
          <w:bCs w:val="0"/>
          <w:color w:val="000000" w:themeColor="text1"/>
          <w:vertAlign w:val="superscript"/>
          <w:lang w:eastAsia="zh-CN"/>
          <w14:textFill>
            <w14:solidFill>
              <w14:schemeClr w14:val="tx1"/>
            </w14:solidFill>
          </w14:textFill>
        </w:rPr>
        <w:fldChar w:fldCharType="end"/>
      </w:r>
      <w:r>
        <w:rPr>
          <w:rFonts w:hint="eastAsia"/>
          <w:b w:val="0"/>
          <w:bCs w:val="0"/>
          <w:color w:val="000000" w:themeColor="text1"/>
          <w:lang w:eastAsia="zh-CN"/>
          <w14:textFill>
            <w14:solidFill>
              <w14:schemeClr w14:val="tx1"/>
            </w14:solidFill>
          </w14:textFill>
        </w:rPr>
        <w:t>。在部分术后高危群体中AKI的发生率可超过30%，而在重症监护患者中更是高达50%以上</w:t>
      </w:r>
      <w:r>
        <w:rPr>
          <w:rFonts w:hint="eastAsia"/>
          <w:b w:val="0"/>
          <w:bCs w:val="0"/>
          <w:color w:val="000000" w:themeColor="text1"/>
          <w:vertAlign w:val="superscript"/>
          <w:lang w:eastAsia="zh-CN"/>
          <w14:textFill>
            <w14:solidFill>
              <w14:schemeClr w14:val="tx1"/>
            </w14:solidFill>
          </w14:textFill>
        </w:rPr>
        <w:fldChar w:fldCharType="begin"/>
      </w:r>
      <w:r>
        <w:rPr>
          <w:rFonts w:hint="eastAsia"/>
          <w:b w:val="0"/>
          <w:bCs w:val="0"/>
          <w:color w:val="000000" w:themeColor="text1"/>
          <w:vertAlign w:val="superscript"/>
          <w:lang w:eastAsia="zh-CN"/>
          <w14:textFill>
            <w14:solidFill>
              <w14:schemeClr w14:val="tx1"/>
            </w14:solidFill>
          </w14:textFill>
        </w:rPr>
        <w:instrText xml:space="preserve"> REF _Ref3039 \r \h </w:instrText>
      </w:r>
      <w:r>
        <w:rPr>
          <w:rFonts w:hint="eastAsia"/>
          <w:b w:val="0"/>
          <w:bCs w:val="0"/>
          <w:color w:val="000000" w:themeColor="text1"/>
          <w:vertAlign w:val="superscript"/>
          <w:lang w:eastAsia="zh-CN"/>
          <w14:textFill>
            <w14:solidFill>
              <w14:schemeClr w14:val="tx1"/>
            </w14:solidFill>
          </w14:textFill>
        </w:rPr>
        <w:fldChar w:fldCharType="separate"/>
      </w:r>
      <w:r>
        <w:rPr>
          <w:rFonts w:hint="eastAsia"/>
          <w:b w:val="0"/>
          <w:bCs w:val="0"/>
          <w:color w:val="000000" w:themeColor="text1"/>
          <w:vertAlign w:val="superscript"/>
          <w:lang w:eastAsia="zh-CN"/>
          <w14:textFill>
            <w14:solidFill>
              <w14:schemeClr w14:val="tx1"/>
            </w14:solidFill>
          </w14:textFill>
        </w:rPr>
        <w:t>[3]</w:t>
      </w:r>
      <w:r>
        <w:rPr>
          <w:rFonts w:hint="eastAsia"/>
          <w:b w:val="0"/>
          <w:bCs w:val="0"/>
          <w:color w:val="000000" w:themeColor="text1"/>
          <w:vertAlign w:val="superscript"/>
          <w:lang w:eastAsia="zh-CN"/>
          <w14:textFill>
            <w14:solidFill>
              <w14:schemeClr w14:val="tx1"/>
            </w14:solidFill>
          </w14:textFill>
        </w:rPr>
        <w:fldChar w:fldCharType="end"/>
      </w:r>
      <w:r>
        <w:rPr>
          <w:rFonts w:hint="eastAsia"/>
          <w:b w:val="0"/>
          <w:bCs w:val="0"/>
          <w:color w:val="000000" w:themeColor="text1"/>
          <w:lang w:eastAsia="zh-CN"/>
          <w14:textFill>
            <w14:solidFill>
              <w14:schemeClr w14:val="tx1"/>
            </w14:solidFill>
          </w14:textFill>
        </w:rPr>
        <w:t>。</w:t>
      </w:r>
      <w:r>
        <w:rPr>
          <w:color w:val="000000" w:themeColor="text1"/>
          <w14:textFill>
            <w14:solidFill>
              <w14:schemeClr w14:val="tx1"/>
            </w14:solidFill>
          </w14:textFill>
        </w:rPr>
        <w:t>然而，当前临床常用的诊断指标存在显著滞后性，难以捕捉</w:t>
      </w:r>
      <w:r>
        <w:rPr>
          <w:rFonts w:hint="eastAsia"/>
          <w:color w:val="000000" w:themeColor="text1"/>
          <w14:textFill>
            <w14:solidFill>
              <w14:schemeClr w14:val="tx1"/>
            </w14:solidFill>
          </w14:textFill>
        </w:rPr>
        <w:t>到</w:t>
      </w:r>
      <w:r>
        <w:rPr>
          <w:color w:val="000000" w:themeColor="text1"/>
          <w14:textFill>
            <w14:solidFill>
              <w14:schemeClr w14:val="tx1"/>
            </w14:solidFill>
          </w14:textFill>
        </w:rPr>
        <w:t>AKI早期</w:t>
      </w:r>
      <w:r>
        <w:rPr>
          <w:rFonts w:hint="eastAsia" w:ascii="宋体" w:hAnsi="宋体" w:eastAsia="宋体"/>
          <w:color w:val="000000" w:themeColor="text1"/>
          <w14:textFill>
            <w14:solidFill>
              <w14:schemeClr w14:val="tx1"/>
            </w14:solidFill>
          </w14:textFill>
        </w:rPr>
        <w:t>“亚临床阶段”</w:t>
      </w:r>
      <w:r>
        <w:rPr>
          <w:color w:val="000000" w:themeColor="text1"/>
          <w14:textFill>
            <w14:solidFill>
              <w14:schemeClr w14:val="tx1"/>
            </w14:solidFill>
          </w14:textFill>
        </w:rPr>
        <w:t>的可逆性损伤，进而错失最佳干预窗口</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_Ref16942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[4]</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。因此，术后AKI的早期识别与风险预测已成为临床肾脏保护策略的关键节点。</w:t>
      </w:r>
    </w:p>
    <w:p w14:paraId="7ECB9507">
      <w:pPr>
        <w:pStyle w:val="10"/>
        <w:widowControl/>
        <w:spacing w:beforeAutospacing="0" w:afterAutospacing="0"/>
        <w:ind w:firstLine="420"/>
        <w:rPr>
          <w:color w:val="000000" w:themeColor="text1"/>
          <w14:textFill>
            <w14:solidFill>
              <w14:schemeClr w14:val="tx1"/>
            </w14:solidFill>
          </w14:textFill>
        </w:rPr>
      </w:pPr>
      <w:r>
        <w:rPr>
          <w:color w:val="000000" w:themeColor="text1"/>
          <w14:textFill>
            <w14:solidFill>
              <w14:schemeClr w14:val="tx1"/>
            </w14:solidFill>
          </w14:textFill>
        </w:rPr>
        <w:t>随着人工智能的发展，越来越多</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研究尝试将机器学习或深度学习</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方法引入</w:t>
      </w:r>
      <w:r>
        <w:rPr>
          <w:rFonts w:hint="eastAsia"/>
          <w:color w:val="000000" w:themeColor="text1"/>
          <w14:textFill>
            <w14:solidFill>
              <w14:schemeClr w14:val="tx1"/>
            </w14:solidFill>
          </w14:textFill>
        </w:rPr>
        <w:t>术</w:t>
      </w:r>
      <w:r>
        <w:rPr>
          <w:rFonts w:hint="eastAsia"/>
          <w:color w:val="000000" w:themeColor="text1"/>
          <w:lang w:val="en-US" w:eastAsia="zh-CN"/>
          <w14:textFill>
            <w14:solidFill>
              <w14:schemeClr w14:val="tx1"/>
            </w14:solidFill>
          </w14:textFill>
        </w:rPr>
        <w:t>前</w:t>
      </w:r>
      <w:r>
        <w:rPr>
          <w:color w:val="000000" w:themeColor="text1"/>
          <w14:textFill>
            <w14:solidFill>
              <w14:schemeClr w14:val="tx1"/>
            </w14:solidFill>
          </w14:textFill>
        </w:rPr>
        <w:t>AKI预测任务。这些模型</w:t>
      </w:r>
      <w:r>
        <w:rPr>
          <w:rFonts w:hint="eastAsia"/>
          <w:color w:val="000000" w:themeColor="text1"/>
          <w14:textFill>
            <w14:solidFill>
              <w14:schemeClr w14:val="tx1"/>
            </w14:solidFill>
          </w14:textFill>
        </w:rPr>
        <w:t>大</w:t>
      </w:r>
      <w:r>
        <w:rPr>
          <w:color w:val="000000" w:themeColor="text1"/>
          <w14:textFill>
            <w14:solidFill>
              <w14:schemeClr w14:val="tx1"/>
            </w14:solidFill>
          </w14:textFill>
        </w:rPr>
        <w:t>多以结构化</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电子病历数据为输入，使用逻辑回归、随机森林或多层感知机等算法构建风险分类器。然而，这些方法通常过于依赖表格型特征，未能融合患者影像变化、生理波动等非结构化数据，从而在建模精度与泛化能力方面受到明显限制</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_Ref18780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[5]</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。尤其在真实住院人群中，</w:t>
      </w:r>
      <w:r>
        <w:rPr>
          <w:rFonts w:hint="eastAsia"/>
          <w:color w:val="000000" w:themeColor="text1"/>
          <w14:textFill>
            <w14:solidFill>
              <w14:schemeClr w14:val="tx1"/>
            </w14:solidFill>
          </w14:textFill>
        </w:rPr>
        <w:t>术后</w:t>
      </w:r>
      <w:r>
        <w:rPr>
          <w:color w:val="000000" w:themeColor="text1"/>
          <w14:textFill>
            <w14:solidFill>
              <w14:schemeClr w14:val="tx1"/>
            </w14:solidFill>
          </w14:textFill>
        </w:rPr>
        <w:t>AKI作为低发但高危事件，其正负样本严重不平衡，导致传统模型在训练中倾向多数类预测，出现预测偏置与性能失衡问题</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_Ref18826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[6]</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w:t>
      </w:r>
    </w:p>
    <w:p w14:paraId="3F118725">
      <w:pPr>
        <w:pStyle w:val="10"/>
        <w:widowControl/>
        <w:spacing w:beforeAutospacing="0" w:afterAutospacing="0"/>
        <w:ind w:firstLine="420"/>
        <w:rPr>
          <w:color w:val="000000" w:themeColor="text1"/>
          <w14:textFill>
            <w14:solidFill>
              <w14:schemeClr w14:val="tx1"/>
            </w14:solidFill>
          </w14:textFill>
        </w:rPr>
      </w:pPr>
      <w:r>
        <w:rPr>
          <w:color w:val="000000" w:themeColor="text1"/>
          <w14:textFill>
            <w14:solidFill>
              <w14:schemeClr w14:val="tx1"/>
            </w14:solidFill>
          </w14:textFill>
        </w:rPr>
        <w:t>此外，现有模型大多缺乏良好的临床可解释性。在</w:t>
      </w:r>
      <w:r>
        <w:rPr>
          <w:rFonts w:hint="eastAsia"/>
          <w:color w:val="000000" w:themeColor="text1"/>
          <w14:textFill>
            <w14:solidFill>
              <w14:schemeClr w14:val="tx1"/>
            </w14:solidFill>
          </w14:textFill>
        </w:rPr>
        <w:t>真实</w:t>
      </w:r>
      <w:r>
        <w:rPr>
          <w:color w:val="000000" w:themeColor="text1"/>
          <w14:textFill>
            <w14:solidFill>
              <w14:schemeClr w14:val="tx1"/>
            </w14:solidFill>
          </w14:textFill>
        </w:rPr>
        <w:t>医疗场景中，医生在接受并信任算法辅助判断前，往往需要明确模型决策的依据与推理路径。而传统“黑箱式”AI模型通常无法提供足够的决策透明度，这限制了其在实际临床流程中的推广与采纳</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_Ref18898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w:t>
      </w:r>
    </w:p>
    <w:p w14:paraId="3C8AB6A4">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同时，本</w:t>
      </w:r>
      <w:r>
        <w:rPr>
          <w:color w:val="000000" w:themeColor="text1"/>
          <w14:textFill>
            <w14:solidFill>
              <w14:schemeClr w14:val="tx1"/>
            </w14:solidFill>
          </w14:textFill>
        </w:rPr>
        <w:t>研究还普遍存在</w:t>
      </w:r>
      <w:r>
        <w:rPr>
          <w:b/>
          <w:bCs/>
          <w:color w:val="000000" w:themeColor="text1"/>
          <w14:textFill>
            <w14:solidFill>
              <w14:schemeClr w14:val="tx1"/>
            </w14:solidFill>
          </w14:textFill>
        </w:rPr>
        <w:t>数据不平衡</w:t>
      </w:r>
      <w:r>
        <w:rPr>
          <w:rFonts w:hint="eastAsia"/>
          <w:b/>
          <w:bCs/>
          <w:color w:val="000000" w:themeColor="text1"/>
          <w14:textFill>
            <w14:solidFill>
              <w14:schemeClr w14:val="tx1"/>
            </w14:solidFill>
          </w14:textFill>
        </w:rPr>
        <w:t>的</w:t>
      </w:r>
      <w:r>
        <w:rPr>
          <w:b/>
          <w:bCs/>
          <w:color w:val="000000" w:themeColor="text1"/>
          <w14:textFill>
            <w14:solidFill>
              <w14:schemeClr w14:val="tx1"/>
            </w14:solidFill>
          </w14:textFill>
        </w:rPr>
        <w:t>问题</w:t>
      </w:r>
      <w:r>
        <w:rPr>
          <w:color w:val="000000" w:themeColor="text1"/>
          <w14:textFill>
            <w14:solidFill>
              <w14:schemeClr w14:val="tx1"/>
            </w14:solidFill>
          </w14:textFill>
        </w:rPr>
        <w:t>：在术后AKI风险预测场景中，真实AKI病例数量往往</w:t>
      </w:r>
      <w:r>
        <w:rPr>
          <w:rFonts w:hint="eastAsia"/>
          <w:color w:val="000000" w:themeColor="text1"/>
          <w14:textFill>
            <w14:solidFill>
              <w14:schemeClr w14:val="tx1"/>
            </w14:solidFill>
          </w14:textFill>
        </w:rPr>
        <w:t>多于</w:t>
      </w:r>
      <w:r>
        <w:rPr>
          <w:color w:val="000000" w:themeColor="text1"/>
          <w14:textFill>
            <w14:solidFill>
              <w14:schemeClr w14:val="tx1"/>
            </w14:solidFill>
          </w14:textFill>
        </w:rPr>
        <w:t>非AKI患者，导致传统机器学习模型易于偏向多数类，出现过拟合或误分类现象。这一问题严重制约了模型在实际临床环境中的可靠性与稳定性。另一方面，术后AKI的诱因具有多维度、多层级的特征结构，</w:t>
      </w:r>
      <w:r>
        <w:rPr>
          <w:b/>
          <w:bCs/>
          <w:color w:val="000000" w:themeColor="text1"/>
          <w14:textFill>
            <w14:solidFill>
              <w14:schemeClr w14:val="tx1"/>
            </w14:solidFill>
          </w14:textFill>
        </w:rPr>
        <w:t>单一模态的数据</w:t>
      </w:r>
      <w:r>
        <w:rPr>
          <w:color w:val="000000" w:themeColor="text1"/>
          <w14:textFill>
            <w14:solidFill>
              <w14:schemeClr w14:val="tx1"/>
            </w14:solidFill>
          </w14:textFill>
        </w:rPr>
        <w:t>建模难以全面反映患者的病理进展过程。例如，麻醉方式、术中失血、术后感染、电解质紊乱等诱因往往交织影响，因此需要融合术后医学影像与表格型临床信息等多模态数据，才能实现更高效的病因建模与风险识别。</w:t>
      </w:r>
    </w:p>
    <w:p w14:paraId="27EFDD36">
      <w:pPr>
        <w:ind w:firstLine="420"/>
        <w:rPr>
          <w:color w:val="000000" w:themeColor="text1"/>
          <w14:textFill>
            <w14:solidFill>
              <w14:schemeClr w14:val="tx1"/>
            </w14:solidFill>
          </w14:textFill>
        </w:rPr>
      </w:pPr>
      <w:r>
        <w:rPr>
          <w:color w:val="000000" w:themeColor="text1"/>
          <w14:textFill>
            <w14:solidFill>
              <w14:schemeClr w14:val="tx1"/>
            </w14:solidFill>
          </w14:textFill>
        </w:rPr>
        <w:t>在此背景下，</w:t>
      </w:r>
      <w:r>
        <w:rPr>
          <w:b/>
          <w:bCs/>
          <w:color w:val="000000" w:themeColor="text1"/>
          <w14:textFill>
            <w14:solidFill>
              <w14:schemeClr w14:val="tx1"/>
            </w14:solidFill>
          </w14:textFill>
        </w:rPr>
        <w:t>小样本学习（Few-shot Learning）</w:t>
      </w:r>
      <w:r>
        <w:rPr>
          <w:color w:val="000000" w:themeColor="text1"/>
          <w14:textFill>
            <w14:solidFill>
              <w14:schemeClr w14:val="tx1"/>
            </w14:solidFill>
          </w14:textFill>
        </w:rPr>
        <w:t>方法逐渐引起我们的关注。该方法通过在少量标注样本上构建泛化能力较强的分类器，为解决医学数据稀缺、标注成本高昂等问题提供了新路径。特别是原型网络（Prototypical Networks）等度量学习框架在疾病识别中的表现尤为突出，能够在有限支持集的基础上推断出新样本的类别分布，适用于AKI这类低发病但高危的临床预测任务。</w:t>
      </w:r>
    </w:p>
    <w:p w14:paraId="1D81B6CC">
      <w:pPr>
        <w:ind w:firstLine="420"/>
        <w:rPr>
          <w:color w:val="000000" w:themeColor="text1"/>
          <w14:textFill>
            <w14:solidFill>
              <w14:schemeClr w14:val="tx1"/>
            </w14:solidFill>
          </w14:textFill>
        </w:rPr>
      </w:pPr>
      <w:r>
        <w:rPr>
          <w:color w:val="000000" w:themeColor="text1"/>
          <w14:textFill>
            <w14:solidFill>
              <w14:schemeClr w14:val="tx1"/>
            </w14:solidFill>
          </w14:textFill>
        </w:rPr>
        <w:t>本研究基于</w:t>
      </w:r>
      <w:r>
        <w:rPr>
          <w:rFonts w:hint="eastAsia"/>
          <w:b/>
          <w:bCs/>
          <w:color w:val="000000" w:themeColor="text1"/>
          <w:lang w:val="en-US" w:eastAsia="zh-CN"/>
          <w14:textFill>
            <w14:solidFill>
              <w14:schemeClr w14:val="tx1"/>
            </w14:solidFill>
          </w14:textFill>
        </w:rPr>
        <w:t>单中心</w:t>
      </w:r>
      <w:r>
        <w:rPr>
          <w:rFonts w:hint="eastAsia"/>
          <w:b/>
          <w:bCs/>
          <w:color w:val="000000" w:themeColor="text1"/>
          <w14:textFill>
            <w14:solidFill>
              <w14:schemeClr w14:val="tx1"/>
            </w14:solidFill>
          </w14:textFill>
        </w:rPr>
        <w:t>（四川省第二人民医院）</w:t>
      </w:r>
      <w:r>
        <w:rPr>
          <w:rFonts w:hint="eastAsia"/>
          <w:b w:val="0"/>
          <w:bCs w:val="0"/>
          <w:color w:val="000000" w:themeColor="text1"/>
          <w:lang w:val="en-US" w:eastAsia="zh-CN"/>
          <w14:textFill>
            <w14:solidFill>
              <w14:schemeClr w14:val="tx1"/>
            </w14:solidFill>
          </w14:textFill>
        </w:rPr>
        <w:t>的</w:t>
      </w:r>
      <w:r>
        <w:rPr>
          <w:b w:val="0"/>
          <w:bCs w:val="0"/>
          <w:color w:val="000000" w:themeColor="text1"/>
          <w14:textFill>
            <w14:solidFill>
              <w14:schemeClr w14:val="tx1"/>
            </w14:solidFill>
          </w14:textFill>
        </w:rPr>
        <w:t>真实</w:t>
      </w:r>
      <w:r>
        <w:rPr>
          <w:color w:val="000000" w:themeColor="text1"/>
          <w14:textFill>
            <w14:solidFill>
              <w14:schemeClr w14:val="tx1"/>
            </w14:solidFill>
          </w14:textFill>
        </w:rPr>
        <w:t>临床数据，针对术后AKI预测</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问题，构建了一个融合术</w:t>
      </w:r>
      <w:r>
        <w:rPr>
          <w:rFonts w:hint="eastAsia"/>
          <w:color w:val="000000" w:themeColor="text1"/>
          <w:lang w:val="en-US" w:eastAsia="zh-CN"/>
          <w14:textFill>
            <w14:solidFill>
              <w14:schemeClr w14:val="tx1"/>
            </w14:solidFill>
          </w14:textFill>
        </w:rPr>
        <w:t>前</w:t>
      </w:r>
      <w:r>
        <w:rPr>
          <w:color w:val="000000" w:themeColor="text1"/>
          <w14:textFill>
            <w14:solidFill>
              <w14:schemeClr w14:val="tx1"/>
            </w14:solidFill>
          </w14:textFill>
        </w:rPr>
        <w:t>医学影像与结构化表格数据的</w:t>
      </w:r>
      <w:r>
        <w:rPr>
          <w:b/>
          <w:bCs/>
          <w:color w:val="000000" w:themeColor="text1"/>
          <w14:textFill>
            <w14:solidFill>
              <w14:schemeClr w14:val="tx1"/>
            </w14:solidFill>
          </w14:textFill>
        </w:rPr>
        <w:t>多模态小样本原型网络框架</w:t>
      </w:r>
      <w:r>
        <w:rPr>
          <w:color w:val="000000" w:themeColor="text1"/>
          <w14:textFill>
            <w14:solidFill>
              <w14:schemeClr w14:val="tx1"/>
            </w14:solidFill>
          </w14:textFill>
        </w:rPr>
        <w:t>。在此框架中，影像数据通过预训练的ResNet-50模型进行特征提取，结构化表格数据通过独立的多层感知机（MLP）进行编码，并加权融合。为了提高影像特征的有效性，我们引入YOLO标注区域裁剪机制以提高影像表征的有效性。</w:t>
      </w:r>
      <w:r>
        <w:rPr>
          <w:rFonts w:hint="eastAsia"/>
          <w:color w:val="000000" w:themeColor="text1"/>
          <w14:textFill>
            <w14:solidFill>
              <w14:schemeClr w14:val="tx1"/>
            </w14:solidFill>
          </w14:textFill>
        </w:rPr>
        <w:t>同时，</w:t>
      </w:r>
      <w:r>
        <w:rPr>
          <w:color w:val="000000" w:themeColor="text1"/>
          <w14:textFill>
            <w14:solidFill>
              <w14:schemeClr w14:val="tx1"/>
            </w14:solidFill>
          </w14:textFill>
        </w:rPr>
        <w:t>为了应对数据不平衡问题，设计了相应的损失函数，提升了模型在少数类样本上的识别能力。本研究不仅提升了模型在术后AKI风险识别中的准确性，也为后续高维医学多模态建模与少样本疾病预测提供了可行路径与理论依据。</w:t>
      </w:r>
    </w:p>
    <w:p w14:paraId="64504D9D">
      <w:pPr>
        <w:spacing w:line="400" w:lineRule="exact"/>
        <w:ind w:firstLine="480" w:firstLineChars="200"/>
        <w:jc w:val="left"/>
        <w:rPr>
          <w:color w:val="000000" w:themeColor="text1"/>
          <w14:textFill>
            <w14:solidFill>
              <w14:schemeClr w14:val="tx1"/>
            </w14:solidFill>
          </w14:textFill>
        </w:rPr>
      </w:pPr>
      <w:r>
        <w:rPr>
          <w:color w:val="000000" w:themeColor="text1"/>
          <w14:textFill>
            <w14:solidFill>
              <w14:schemeClr w14:val="tx1"/>
            </w14:solidFill>
          </w14:textFill>
        </w:rPr>
        <w:t>综上所述，本研究在术后急性肾损伤（AKI）预测建模方面取得了以下几个具有代表性的创新性进展：</w:t>
      </w:r>
    </w:p>
    <w:p w14:paraId="2CE7A8A2">
      <w:pPr>
        <w:numPr>
          <w:ilvl w:val="0"/>
          <w:numId w:val="2"/>
        </w:numPr>
        <w:spacing w:line="400" w:lineRule="exact"/>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严格</w:t>
      </w:r>
      <w:r>
        <w:rPr>
          <w:color w:val="000000" w:themeColor="text1"/>
          <w14:textFill>
            <w14:solidFill>
              <w14:schemeClr w14:val="tx1"/>
            </w14:solidFill>
          </w14:textFill>
        </w:rPr>
        <w:t>采</w:t>
      </w:r>
      <w:r>
        <w:rPr>
          <w:rFonts w:hint="eastAsia"/>
          <w:color w:val="000000" w:themeColor="text1"/>
          <w14:textFill>
            <w14:solidFill>
              <w14:schemeClr w14:val="tx1"/>
            </w14:solidFill>
          </w14:textFill>
        </w:rPr>
        <w:t>用</w:t>
      </w:r>
      <w:r>
        <w:rPr>
          <w:color w:val="000000" w:themeColor="text1"/>
          <w14:textFill>
            <w14:solidFill>
              <w14:schemeClr w14:val="tx1"/>
            </w14:solidFill>
          </w14:textFill>
        </w:rPr>
        <w:t>KDIGO对AKI的定义，同时</w:t>
      </w:r>
      <w:r>
        <w:rPr>
          <w:rFonts w:hint="eastAsia"/>
          <w:color w:val="000000" w:themeColor="text1"/>
          <w14:textFill>
            <w14:solidFill>
              <w14:schemeClr w14:val="tx1"/>
            </w14:solidFill>
          </w14:textFill>
        </w:rPr>
        <w:t>结合临床指标与影像数据</w:t>
      </w:r>
      <w:r>
        <w:rPr>
          <w:color w:val="000000" w:themeColor="text1"/>
          <w14:textFill>
            <w14:solidFill>
              <w14:schemeClr w14:val="tx1"/>
            </w14:solidFill>
          </w14:textFill>
        </w:rPr>
        <w:t>，弥补了现有AKI预测研究中诊断维度不足的关键空白。</w:t>
      </w:r>
    </w:p>
    <w:p w14:paraId="19C241CC">
      <w:pPr>
        <w:numPr>
          <w:ilvl w:val="0"/>
          <w:numId w:val="2"/>
        </w:numPr>
        <w:spacing w:line="400" w:lineRule="exact"/>
        <w:jc w:val="left"/>
        <w:rPr>
          <w:color w:val="000000" w:themeColor="text1"/>
          <w14:textFill>
            <w14:solidFill>
              <w14:schemeClr w14:val="tx1"/>
            </w14:solidFill>
          </w14:textFill>
        </w:rPr>
      </w:pPr>
      <w:r>
        <w:rPr>
          <w:color w:val="000000" w:themeColor="text1"/>
          <w14:textFill>
            <w14:solidFill>
              <w14:schemeClr w14:val="tx1"/>
            </w14:solidFill>
          </w14:textFill>
        </w:rPr>
        <w:t>聚焦</w:t>
      </w:r>
      <w:r>
        <w:rPr>
          <w:b/>
          <w:bCs/>
          <w:color w:val="000000" w:themeColor="text1"/>
          <w14:textFill>
            <w14:solidFill>
              <w14:schemeClr w14:val="tx1"/>
            </w14:solidFill>
          </w14:textFill>
        </w:rPr>
        <w:t>肾脏占位腹腔镜手术（肾切除/部分切除）后</w:t>
      </w:r>
      <w:r>
        <w:rPr>
          <w:color w:val="000000" w:themeColor="text1"/>
          <w14:textFill>
            <w14:solidFill>
              <w14:schemeClr w14:val="tx1"/>
            </w14:solidFill>
          </w14:textFill>
        </w:rPr>
        <w:t>AKI这一重要并发症。现有证据显示其发生率可达9-25%</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_Ref18960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[8]</w:t>
      </w:r>
      <w:r>
        <w:rPr>
          <w:color w:val="000000" w:themeColor="text1"/>
          <w:vertAlign w:val="superscript"/>
          <w14:textFill>
            <w14:solidFill>
              <w14:schemeClr w14:val="tx1"/>
            </w14:solidFill>
          </w14:textFill>
        </w:rPr>
        <w:fldChar w:fldCharType="end"/>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_Ref18966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[9]</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，且与术后透析风险增加5.2倍（95%CI 3.1-8.7）显著相关</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_Ref6532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。本研究据此开发了术式特异性的预测体系。</w:t>
      </w:r>
    </w:p>
    <w:p w14:paraId="45FFC15D">
      <w:pPr>
        <w:numPr>
          <w:ilvl w:val="0"/>
          <w:numId w:val="2"/>
        </w:numPr>
        <w:spacing w:line="400" w:lineRule="exact"/>
        <w:jc w:val="left"/>
        <w:rPr>
          <w:color w:val="000000" w:themeColor="text1"/>
          <w14:textFill>
            <w14:solidFill>
              <w14:schemeClr w14:val="tx1"/>
            </w14:solidFill>
          </w14:textFill>
        </w:rPr>
      </w:pPr>
      <w:r>
        <w:rPr>
          <w:color w:val="000000" w:themeColor="text1"/>
          <w14:textFill>
            <w14:solidFill>
              <w14:schemeClr w14:val="tx1"/>
            </w14:solidFill>
          </w14:textFill>
        </w:rPr>
        <w:t>构建融合多模态临床信息的小样本原型网络框架，整合术前静态特征、早期生理指标</w:t>
      </w:r>
      <w:r>
        <w:rPr>
          <w:rFonts w:hint="eastAsia"/>
          <w:color w:val="000000" w:themeColor="text1"/>
          <w14:textFill>
            <w14:solidFill>
              <w14:schemeClr w14:val="tx1"/>
            </w14:solidFill>
          </w14:textFill>
        </w:rPr>
        <w:t>以及影像数据</w:t>
      </w:r>
      <w:r>
        <w:rPr>
          <w:color w:val="000000" w:themeColor="text1"/>
          <w14:textFill>
            <w14:solidFill>
              <w14:schemeClr w14:val="tx1"/>
            </w14:solidFill>
          </w14:textFill>
        </w:rPr>
        <w:t>，在小样本环境下显著提升模型的早期预警能力。</w:t>
      </w:r>
    </w:p>
    <w:p w14:paraId="42E8D1E5">
      <w:pPr>
        <w:numPr>
          <w:ilvl w:val="0"/>
          <w:numId w:val="2"/>
        </w:numPr>
        <w:spacing w:line="400" w:lineRule="exact"/>
        <w:jc w:val="left"/>
        <w:rPr>
          <w:color w:val="000000" w:themeColor="text1"/>
          <w14:textFill>
            <w14:solidFill>
              <w14:schemeClr w14:val="tx1"/>
            </w14:solidFill>
          </w14:textFill>
        </w:rPr>
      </w:pPr>
      <w:r>
        <w:rPr>
          <w:color w:val="000000" w:themeColor="text1"/>
          <w14:textFill>
            <w14:solidFill>
              <w14:schemeClr w14:val="tx1"/>
            </w14:solidFill>
          </w14:textFill>
        </w:rPr>
        <w:t>基于</w:t>
      </w:r>
      <w:r>
        <w:rPr>
          <w:rFonts w:hint="eastAsia"/>
          <w:color w:val="000000" w:themeColor="text1"/>
          <w14:textFill>
            <w14:solidFill>
              <w14:schemeClr w14:val="tx1"/>
            </w14:solidFill>
          </w14:textFill>
        </w:rPr>
        <w:t>一家</w:t>
      </w:r>
      <w:r>
        <w:rPr>
          <w:rFonts w:hint="eastAsia"/>
          <w:b/>
          <w:bCs/>
          <w:color w:val="000000" w:themeColor="text1"/>
          <w:lang w:val="en-US" w:eastAsia="zh-CN"/>
          <w14:textFill>
            <w14:solidFill>
              <w14:schemeClr w14:val="tx1"/>
            </w14:solidFill>
          </w14:textFill>
        </w:rPr>
        <w:t>单中心</w:t>
      </w:r>
      <w:r>
        <w:rPr>
          <w:rFonts w:hint="eastAsia"/>
          <w:b/>
          <w:bCs/>
          <w:color w:val="000000" w:themeColor="text1"/>
          <w14:textFill>
            <w14:solidFill>
              <w14:schemeClr w14:val="tx1"/>
            </w14:solidFill>
          </w14:textFill>
        </w:rPr>
        <w:t>（四川省第二人民医院）</w:t>
      </w:r>
      <w:r>
        <w:rPr>
          <w:color w:val="000000" w:themeColor="text1"/>
          <w14:textFill>
            <w14:solidFill>
              <w14:schemeClr w14:val="tx1"/>
            </w14:solidFill>
          </w14:textFill>
        </w:rPr>
        <w:t>的真实</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小样本数据进行建模与验证，充分考虑该区域在流行病学、环境与医疗服务体系方面的独特性，填补了当前通用AKI预测模型在区域适应性方面的不足。</w:t>
      </w:r>
    </w:p>
    <w:p w14:paraId="342A5204">
      <w:pPr>
        <w:numPr>
          <w:ilvl w:val="0"/>
          <w:numId w:val="2"/>
        </w:numPr>
        <w:spacing w:line="400" w:lineRule="exact"/>
        <w:jc w:val="left"/>
        <w:rPr>
          <w:color w:val="000000" w:themeColor="text1"/>
          <w14:textFill>
            <w14:solidFill>
              <w14:schemeClr w14:val="tx1"/>
            </w14:solidFill>
          </w14:textFill>
        </w:rPr>
      </w:pPr>
      <w:r>
        <w:rPr>
          <w:color w:val="000000" w:themeColor="text1"/>
          <w14:textFill>
            <w14:solidFill>
              <w14:schemeClr w14:val="tx1"/>
            </w14:solidFill>
          </w14:textFill>
        </w:rPr>
        <w:t>引入SHAP值可解释性分析，增强模型的临床可视化与应用可接受性，辅助医生理解模型风险评估结果及其影响因素，提升智能预测系统的实际应用价值。</w:t>
      </w:r>
    </w:p>
    <w:p w14:paraId="5B7780CE">
      <w:pPr>
        <w:spacing w:line="400" w:lineRule="exact"/>
        <w:ind w:firstLine="420"/>
        <w:jc w:val="left"/>
        <w:rPr>
          <w:color w:val="000000" w:themeColor="text1"/>
          <w14:textFill>
            <w14:solidFill>
              <w14:schemeClr w14:val="tx1"/>
            </w14:solidFill>
          </w14:textFill>
        </w:rPr>
      </w:pPr>
      <w:r>
        <w:rPr>
          <w:color w:val="000000" w:themeColor="text1"/>
          <w14:textFill>
            <w14:solidFill>
              <w14:schemeClr w14:val="tx1"/>
            </w14:solidFill>
          </w14:textFill>
        </w:rPr>
        <w:t>综上，本研究提出了一个实用、可解释、具有地域适应性的术后AKI预测框架，为资源受限地区的术后AKI早期识别与个体化干预提供了可行的技术支撑与理论基础。</w:t>
      </w:r>
    </w:p>
    <w:p w14:paraId="11AC7483">
      <w:pPr>
        <w:spacing w:line="400" w:lineRule="exact"/>
        <w:jc w:val="left"/>
        <w:rPr>
          <w:color w:val="000000" w:themeColor="text1"/>
          <w14:textFill>
            <w14:solidFill>
              <w14:schemeClr w14:val="tx1"/>
            </w14:solidFill>
          </w14:textFill>
        </w:rPr>
      </w:pPr>
    </w:p>
    <w:p w14:paraId="3614139B">
      <w:pPr>
        <w:keepNext w:val="0"/>
        <w:keepLines w:val="0"/>
        <w:pageBreakBefore w:val="0"/>
        <w:widowControl w:val="0"/>
        <w:numPr>
          <w:ilvl w:val="0"/>
          <w:numId w:val="1"/>
        </w:numPr>
        <w:kinsoku/>
        <w:wordWrap/>
        <w:overflowPunct/>
        <w:topLinePunct w:val="0"/>
        <w:autoSpaceDE/>
        <w:autoSpaceDN/>
        <w:bidi w:val="0"/>
        <w:adjustRightInd/>
        <w:snapToGrid/>
        <w:ind w:left="425" w:hanging="425"/>
        <w:textAlignment w:val="auto"/>
        <w:outlineLvl w:val="0"/>
        <w:rPr>
          <w:b/>
          <w:bCs/>
          <w:color w:val="000000" w:themeColor="text1"/>
          <w:sz w:val="36"/>
          <w:szCs w:val="36"/>
          <w14:textFill>
            <w14:solidFill>
              <w14:schemeClr w14:val="tx1"/>
            </w14:solidFill>
          </w14:textFill>
        </w:rPr>
      </w:pPr>
      <w:bookmarkStart w:id="5" w:name="_Toc13757"/>
      <w:bookmarkStart w:id="6" w:name="_Toc29285"/>
      <w:bookmarkStart w:id="7" w:name="_Toc10327"/>
      <w:bookmarkStart w:id="8" w:name="_Toc835"/>
      <w:bookmarkStart w:id="9" w:name="_Toc31319"/>
      <w:r>
        <w:rPr>
          <w:rFonts w:hint="eastAsia"/>
          <w:b/>
          <w:bCs/>
          <w:color w:val="000000" w:themeColor="text1"/>
          <w:sz w:val="36"/>
          <w:szCs w:val="36"/>
          <w14:textFill>
            <w14:solidFill>
              <w14:schemeClr w14:val="tx1"/>
            </w14:solidFill>
          </w14:textFill>
        </w:rPr>
        <w:t>理论基础与研究进展</w:t>
      </w:r>
      <w:bookmarkEnd w:id="5"/>
      <w:bookmarkEnd w:id="6"/>
      <w:bookmarkEnd w:id="7"/>
      <w:bookmarkEnd w:id="8"/>
      <w:bookmarkEnd w:id="9"/>
    </w:p>
    <w:p w14:paraId="22C91880">
      <w:pPr>
        <w:keepNext w:val="0"/>
        <w:keepLines w:val="0"/>
        <w:pageBreakBefore w:val="0"/>
        <w:widowControl w:val="0"/>
        <w:numPr>
          <w:ilvl w:val="1"/>
          <w:numId w:val="1"/>
        </w:numPr>
        <w:kinsoku/>
        <w:wordWrap/>
        <w:overflowPunct/>
        <w:topLinePunct w:val="0"/>
        <w:autoSpaceDE/>
        <w:autoSpaceDN/>
        <w:bidi w:val="0"/>
        <w:adjustRightInd/>
        <w:snapToGrid/>
        <w:ind w:left="567" w:hanging="567"/>
        <w:textAlignment w:val="auto"/>
        <w:outlineLvl w:val="1"/>
        <w:rPr>
          <w:b/>
          <w:bCs/>
          <w:color w:val="000000" w:themeColor="text1"/>
          <w:sz w:val="30"/>
          <w:szCs w:val="30"/>
          <w14:textFill>
            <w14:solidFill>
              <w14:schemeClr w14:val="tx1"/>
            </w14:solidFill>
          </w14:textFill>
        </w:rPr>
      </w:pPr>
      <w:bookmarkStart w:id="10" w:name="_Toc10653"/>
      <w:bookmarkStart w:id="11" w:name="_Toc6396"/>
      <w:bookmarkStart w:id="12" w:name="_Toc8632"/>
      <w:bookmarkStart w:id="13" w:name="_Toc12236"/>
      <w:bookmarkStart w:id="14" w:name="_Toc3372"/>
      <w:r>
        <w:rPr>
          <w:rFonts w:hint="eastAsia"/>
          <w:b/>
          <w:bCs/>
          <w:color w:val="000000" w:themeColor="text1"/>
          <w:sz w:val="30"/>
          <w:szCs w:val="30"/>
          <w14:textFill>
            <w14:solidFill>
              <w14:schemeClr w14:val="tx1"/>
            </w14:solidFill>
          </w14:textFill>
        </w:rPr>
        <w:t>术后AKI预测研究进展</w:t>
      </w:r>
      <w:bookmarkEnd w:id="10"/>
      <w:bookmarkEnd w:id="11"/>
      <w:bookmarkEnd w:id="12"/>
      <w:bookmarkEnd w:id="13"/>
      <w:bookmarkEnd w:id="14"/>
    </w:p>
    <w:p w14:paraId="56C84CFD">
      <w:pPr>
        <w:ind w:firstLine="420"/>
        <w:rPr>
          <w:color w:val="000000" w:themeColor="text1"/>
          <w14:textFill>
            <w14:solidFill>
              <w14:schemeClr w14:val="tx1"/>
            </w14:solidFill>
          </w14:textFill>
        </w:rPr>
      </w:pPr>
      <w:r>
        <w:rPr>
          <w:color w:val="000000" w:themeColor="text1"/>
          <w14:textFill>
            <w14:solidFill>
              <w14:schemeClr w14:val="tx1"/>
            </w14:solidFill>
          </w14:textFill>
        </w:rPr>
        <w:t>术后急性肾损伤（AKI）作为围术期</w:t>
      </w:r>
      <w:r>
        <w:rPr>
          <w:rFonts w:hint="eastAsia"/>
          <w:color w:val="000000" w:themeColor="text1"/>
          <w14:textFill>
            <w14:solidFill>
              <w14:schemeClr w14:val="tx1"/>
            </w14:solidFill>
          </w14:textFill>
        </w:rPr>
        <w:t>（perioperative period）</w:t>
      </w:r>
      <w:r>
        <w:rPr>
          <w:color w:val="000000" w:themeColor="text1"/>
          <w14:textFill>
            <w14:solidFill>
              <w14:schemeClr w14:val="tx1"/>
            </w14:solidFill>
          </w14:textFill>
        </w:rPr>
        <w:t>常见并发症之一，其预测与早期识别一直是临床肾脏保护管理的研究重点。目前，AKI预测模型大致可分为基于结构化临床特征与影像组学特征两类</w:t>
      </w:r>
      <w:r>
        <w:rPr>
          <w:rFonts w:hint="default"/>
          <w:color w:val="000000" w:themeColor="text1"/>
          <w:vertAlign w:val="superscript"/>
          <w:lang w:val="en-US"/>
          <w14:textFill>
            <w14:solidFill>
              <w14:schemeClr w14:val="tx1"/>
            </w14:solidFill>
          </w14:textFill>
        </w:rPr>
        <w:fldChar w:fldCharType="begin"/>
      </w:r>
      <w:r>
        <w:rPr>
          <w:rFonts w:hint="default"/>
          <w:color w:val="000000" w:themeColor="text1"/>
          <w:vertAlign w:val="superscript"/>
          <w:lang w:val="en-US"/>
          <w14:textFill>
            <w14:solidFill>
              <w14:schemeClr w14:val="tx1"/>
            </w14:solidFill>
          </w14:textFill>
        </w:rPr>
        <w:instrText xml:space="preserve"> REF _Ref6445 \r \h </w:instrText>
      </w:r>
      <w:r>
        <w:rPr>
          <w:rFonts w:hint="default"/>
          <w:color w:val="000000" w:themeColor="text1"/>
          <w:vertAlign w:val="superscript"/>
          <w:lang w:val="en-US"/>
          <w14:textFill>
            <w14:solidFill>
              <w14:schemeClr w14:val="tx1"/>
            </w14:solidFill>
          </w14:textFill>
        </w:rPr>
        <w:fldChar w:fldCharType="separate"/>
      </w:r>
      <w:r>
        <w:rPr>
          <w:rFonts w:hint="default"/>
          <w:color w:val="000000" w:themeColor="text1"/>
          <w:vertAlign w:val="superscript"/>
          <w:lang w:val="en-US"/>
          <w14:textFill>
            <w14:solidFill>
              <w14:schemeClr w14:val="tx1"/>
            </w14:solidFill>
          </w14:textFill>
        </w:rPr>
        <w:t>[10]</w:t>
      </w:r>
      <w:r>
        <w:rPr>
          <w:rFonts w:hint="default"/>
          <w:color w:val="000000" w:themeColor="text1"/>
          <w:vertAlign w:val="superscript"/>
          <w:lang w:val="en-US"/>
          <w14:textFill>
            <w14:solidFill>
              <w14:schemeClr w14:val="tx1"/>
            </w14:solidFill>
          </w14:textFill>
        </w:rPr>
        <w:fldChar w:fldCharType="end"/>
      </w:r>
      <w:r>
        <w:rPr>
          <w:color w:val="000000" w:themeColor="text1"/>
          <w14:textFill>
            <w14:solidFill>
              <w14:schemeClr w14:val="tx1"/>
            </w14:solidFill>
          </w14:textFill>
        </w:rPr>
        <w:t>。</w:t>
      </w:r>
    </w:p>
    <w:p w14:paraId="35EA9781">
      <w:pPr>
        <w:ind w:firstLine="420"/>
        <w:rPr>
          <w:color w:val="000000" w:themeColor="text1"/>
          <w14:textFill>
            <w14:solidFill>
              <w14:schemeClr w14:val="tx1"/>
            </w14:solidFill>
          </w14:textFill>
        </w:rPr>
      </w:pPr>
      <w:r>
        <w:rPr>
          <w:color w:val="000000" w:themeColor="text1"/>
          <w14:textFill>
            <w14:solidFill>
              <w14:schemeClr w14:val="tx1"/>
            </w14:solidFill>
          </w14:textFill>
        </w:rPr>
        <w:t>基于临床特征的预测方法多利用术前基本信息、术中生理指标和围术期实验室数据构建逻辑回归、随机森林等传统机器学习模型。Liu等人利用术前年龄、血压、肌酐水平等构建逻辑回归模型，预测肝移植术后 AKI，模型在验证集上达到 AUC 值 0.78，表现出一定的临床可行性</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_Ref7718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[11]</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；而Rank等人则基于随机森林模型整合术中尿量、术后乳酸等变量，对心脏手术后 AKI 进行预测，取得了 AUC 0.88、召回率 0.82 的效果</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_Ref7773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[12]</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。这些方法具有易实现、可解释性强的优点，但难以处理数据间复杂的非线性关系，预测精度有限，特别是在变量间存在交互作用或高阶特征难以手动构造的情况下。</w:t>
      </w:r>
    </w:p>
    <w:p w14:paraId="547E27F6">
      <w:pPr>
        <w:ind w:firstLine="420"/>
        <w:rPr>
          <w:color w:val="000000" w:themeColor="text1"/>
          <w14:textFill>
            <w14:solidFill>
              <w14:schemeClr w14:val="tx1"/>
            </w14:solidFill>
          </w14:textFill>
        </w:rPr>
      </w:pPr>
      <w:r>
        <w:rPr>
          <w:color w:val="000000" w:themeColor="text1"/>
          <w14:textFill>
            <w14:solidFill>
              <w14:schemeClr w14:val="tx1"/>
            </w14:solidFill>
          </w14:textFill>
        </w:rPr>
        <w:t>影像组学方法则侧重从医学图像（如术后CT、超声等）中提取深层次定量特征，并通过多维向量表征患者潜在的肾损风险。这类方法可辅助临床识别影像上“非可见”的早期病理变化，拓展了对亚临床阶段AKI风险的量化能力</w:t>
      </w:r>
      <w:r>
        <w:rPr>
          <w:rFonts w:hint="default"/>
          <w:color w:val="000000" w:themeColor="text1"/>
          <w:vertAlign w:val="superscript"/>
          <w:lang w:val="en-US"/>
          <w14:textFill>
            <w14:solidFill>
              <w14:schemeClr w14:val="tx1"/>
            </w14:solidFill>
          </w14:textFill>
        </w:rPr>
        <w:fldChar w:fldCharType="begin"/>
      </w:r>
      <w:r>
        <w:rPr>
          <w:rFonts w:hint="default"/>
          <w:color w:val="000000" w:themeColor="text1"/>
          <w:vertAlign w:val="superscript"/>
          <w:lang w:val="en-US"/>
          <w14:textFill>
            <w14:solidFill>
              <w14:schemeClr w14:val="tx1"/>
            </w14:solidFill>
          </w14:textFill>
        </w:rPr>
        <w:instrText xml:space="preserve"> REF _Ref6916 \r \h </w:instrText>
      </w:r>
      <w:r>
        <w:rPr>
          <w:rFonts w:hint="default"/>
          <w:color w:val="000000" w:themeColor="text1"/>
          <w:vertAlign w:val="superscript"/>
          <w:lang w:val="en-US"/>
          <w14:textFill>
            <w14:solidFill>
              <w14:schemeClr w14:val="tx1"/>
            </w14:solidFill>
          </w14:textFill>
        </w:rPr>
        <w:fldChar w:fldCharType="separate"/>
      </w:r>
      <w:r>
        <w:rPr>
          <w:rFonts w:hint="default"/>
          <w:color w:val="000000" w:themeColor="text1"/>
          <w:vertAlign w:val="superscript"/>
          <w:lang w:val="en-US"/>
          <w14:textFill>
            <w14:solidFill>
              <w14:schemeClr w14:val="tx1"/>
            </w14:solidFill>
          </w14:textFill>
        </w:rPr>
        <w:t>[13]</w:t>
      </w:r>
      <w:r>
        <w:rPr>
          <w:rFonts w:hint="default"/>
          <w:color w:val="000000" w:themeColor="text1"/>
          <w:vertAlign w:val="superscript"/>
          <w:lang w:val="en-US"/>
          <w14:textFill>
            <w14:solidFill>
              <w14:schemeClr w14:val="tx1"/>
            </w14:solidFill>
          </w14:textFill>
        </w:rPr>
        <w:fldChar w:fldCharType="end"/>
      </w:r>
      <w:r>
        <w:rPr>
          <w:color w:val="000000" w:themeColor="text1"/>
          <w14:textFill>
            <w14:solidFill>
              <w14:schemeClr w14:val="tx1"/>
            </w14:solidFill>
          </w14:textFill>
        </w:rPr>
        <w:t>。Zhou等人基于术后腹部CT图像提取肾脏纹理特征，构建放射组学模型预测心脏手术后AKI，模型在外部验证中达到AUC 0.81，显示出较好的图像辅助判别能力</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_Ref7835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[14]</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。但这类方法高度依赖影像质量、分割精度和标注一致性，且在多中心条件下缺乏统一标准，导致其在大规模推广应用中仍存在一定技术门槛。</w:t>
      </w:r>
    </w:p>
    <w:p w14:paraId="127D1107">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目前</w:t>
      </w:r>
      <w:r>
        <w:rPr>
          <w:color w:val="000000" w:themeColor="text1"/>
          <w14:textFill>
            <w14:solidFill>
              <w14:schemeClr w14:val="tx1"/>
            </w14:solidFill>
          </w14:textFill>
        </w:rPr>
        <w:t>，术后AKI预测方法在实际建模过程中仍面临诸多挑战，主要包括样本规模有限、类别分布不均以及多模态特征融合能力薄弱等问题。</w:t>
      </w:r>
      <w:r>
        <w:rPr>
          <w:b/>
          <w:bCs/>
          <w:color w:val="000000" w:themeColor="text1"/>
          <w14:textFill>
            <w14:solidFill>
              <w14:schemeClr w14:val="tx1"/>
            </w14:solidFill>
          </w14:textFill>
        </w:rPr>
        <w:t>尽管许多研究中阳性样本与阴性样本的数量存在显著不平衡，但更关键的问题在于整体样本总量不足。这种数据稀缺性导致模型训练时容易受到小样本效应的影响，进而引发参数估计不稳定和泛化能力下降。</w:t>
      </w:r>
      <w:r>
        <w:rPr>
          <w:color w:val="000000" w:themeColor="text1"/>
          <w14:textFill>
            <w14:solidFill>
              <w14:schemeClr w14:val="tx1"/>
            </w14:solidFill>
          </w14:textFill>
        </w:rPr>
        <w:t>尤其在小样本背景下，即便类间比例未极度失衡，模型仍可能对少数类（如非AKI）学习不足，影响其在实际临床应用中的可靠性与敏感性</w:t>
      </w:r>
      <w:r>
        <w:rPr>
          <w:rFonts w:hint="eastAsia"/>
          <w:color w:val="000000" w:themeColor="text1"/>
          <w14:textFill>
            <w14:solidFill>
              <w14:schemeClr w14:val="tx1"/>
            </w14:solidFill>
          </w14:textFill>
        </w:rPr>
        <w:t>。为解决上述小样本、类别不均与多模态融合不足的问题，本文提出一种融合术后影像组学与临床特征的原型网络方法，结合小样本学习策略，有效提升术后AKI的早期识别能力与模型鲁棒性。</w:t>
      </w:r>
    </w:p>
    <w:p w14:paraId="3E7E3CB8">
      <w:pPr>
        <w:keepNext w:val="0"/>
        <w:keepLines w:val="0"/>
        <w:pageBreakBefore w:val="0"/>
        <w:widowControl w:val="0"/>
        <w:numPr>
          <w:ilvl w:val="1"/>
          <w:numId w:val="1"/>
        </w:numPr>
        <w:kinsoku/>
        <w:wordWrap/>
        <w:overflowPunct/>
        <w:topLinePunct w:val="0"/>
        <w:autoSpaceDE/>
        <w:autoSpaceDN/>
        <w:bidi w:val="0"/>
        <w:adjustRightInd/>
        <w:snapToGrid/>
        <w:ind w:left="567" w:hanging="567"/>
        <w:textAlignment w:val="auto"/>
        <w:outlineLvl w:val="1"/>
        <w:rPr>
          <w:b/>
          <w:bCs/>
          <w:color w:val="000000" w:themeColor="text1"/>
          <w:sz w:val="30"/>
          <w:szCs w:val="30"/>
          <w14:textFill>
            <w14:solidFill>
              <w14:schemeClr w14:val="tx1"/>
            </w14:solidFill>
          </w14:textFill>
        </w:rPr>
      </w:pPr>
      <w:bookmarkStart w:id="15" w:name="_Toc9138"/>
      <w:bookmarkStart w:id="16" w:name="_Toc24916"/>
      <w:bookmarkStart w:id="17" w:name="_Toc31902"/>
      <w:bookmarkStart w:id="18" w:name="_Toc11067"/>
      <w:bookmarkStart w:id="19" w:name="_Toc7509"/>
      <w:r>
        <w:rPr>
          <w:b/>
          <w:bCs/>
          <w:color w:val="000000" w:themeColor="text1"/>
          <w:sz w:val="30"/>
          <w:szCs w:val="30"/>
          <w14:textFill>
            <w14:solidFill>
              <w14:schemeClr w14:val="tx1"/>
            </w14:solidFill>
          </w14:textFill>
        </w:rPr>
        <w:t>多模态影像组学特征融合</w:t>
      </w:r>
      <w:bookmarkEnd w:id="15"/>
      <w:bookmarkEnd w:id="16"/>
      <w:bookmarkEnd w:id="17"/>
      <w:bookmarkEnd w:id="18"/>
      <w:bookmarkEnd w:id="19"/>
    </w:p>
    <w:p w14:paraId="51F51A5D">
      <w:pPr>
        <w:ind w:firstLine="420"/>
        <w:rPr>
          <w:color w:val="000000" w:themeColor="text1"/>
          <w14:textFill>
            <w14:solidFill>
              <w14:schemeClr w14:val="tx1"/>
            </w14:solidFill>
          </w14:textFill>
        </w:rPr>
      </w:pPr>
      <w:r>
        <w:rPr>
          <w:color w:val="000000" w:themeColor="text1"/>
          <w14:textFill>
            <w14:solidFill>
              <w14:schemeClr w14:val="tx1"/>
            </w14:solidFill>
          </w14:textFill>
        </w:rPr>
        <w:t>多模态特征融合技术近年来在医学风险预测领域中得到了广泛应用，尤其是在肾脏病变、术后并发症等任务中展现出较高的临床价值。影像组学（Radiomics）作为一种从医学影像（如CT、MRI、超声）中提取高维、定量特征的技术，能够识别传统视觉评估无法察觉的早期病理变化，进而辅助疾病的风险分层与预测判断</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_Ref7930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[15]</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。在术后AKI</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预测中，肾脏的结构改变、灌注状态及间质特征等信息常常以微小纹理或密度变化的形式存在于术后影像中，影像组学可为此类无症状阶段的识别提供潜在依据。</w:t>
      </w:r>
    </w:p>
    <w:p w14:paraId="2EDAB450">
      <w:pPr>
        <w:ind w:firstLine="420"/>
        <w:rPr>
          <w:color w:val="000000" w:themeColor="text1"/>
          <w14:textFill>
            <w14:solidFill>
              <w14:schemeClr w14:val="tx1"/>
            </w14:solidFill>
          </w14:textFill>
        </w:rPr>
      </w:pPr>
      <w:r>
        <w:rPr>
          <w:color w:val="000000" w:themeColor="text1"/>
          <w14:textFill>
            <w14:solidFill>
              <w14:schemeClr w14:val="tx1"/>
            </w14:solidFill>
          </w14:textFill>
        </w:rPr>
        <w:t>随着影像组学方法的发展，越来越多研究尝试将其与结构化临床特征（如血肌酐、乳酸、尿量变化等）进行联合建模，以期构建更全面的风险预测框架。</w:t>
      </w:r>
      <w:r>
        <w:rPr>
          <w:rFonts w:hint="eastAsia"/>
          <w:color w:val="000000" w:themeColor="text1"/>
          <w14:textFill>
            <w14:solidFill>
              <w14:schemeClr w14:val="tx1"/>
            </w14:solidFill>
          </w14:textFill>
        </w:rPr>
        <w:t>部分</w:t>
      </w:r>
      <w:r>
        <w:rPr>
          <w:color w:val="000000" w:themeColor="text1"/>
          <w14:textFill>
            <w14:solidFill>
              <w14:schemeClr w14:val="tx1"/>
            </w14:solidFill>
          </w14:textFill>
        </w:rPr>
        <w:t>研究亦探索了基于图像-表格双分支神经网络的融合结构，通过注意力机制、自适应加权等方式提升模型对跨模态异构信息的整合能力</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_Ref7976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[16]</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w:t>
      </w:r>
    </w:p>
    <w:p w14:paraId="757654D5">
      <w:pPr>
        <w:ind w:firstLine="420"/>
        <w:rPr>
          <w:color w:val="000000" w:themeColor="text1"/>
          <w14:textFill>
            <w14:solidFill>
              <w14:schemeClr w14:val="tx1"/>
            </w14:solidFill>
          </w14:textFill>
        </w:rPr>
      </w:pPr>
      <w:r>
        <w:rPr>
          <w:color w:val="000000" w:themeColor="text1"/>
          <w14:textFill>
            <w14:solidFill>
              <w14:schemeClr w14:val="tx1"/>
            </w14:solidFill>
          </w14:textFill>
        </w:rPr>
        <w:t>尽管当前研究已初步验证多模态融合策略在术后AKI等复杂预测任务中的潜力，但实际应用中仍面临多个挑战：首先，不同模态间存在维度差异、表达机制不一致等问题，融合过程中易导致语义不对齐（semantic misalignment）与信息冗余；其次，医学影像的获取标准不统一，易引入图像质量差异与分割误差，影响特征稳定性；最后，多模态模型往往结构复杂，对训练数据量与标注精度要求较高，限制了其在小样本场景中的推广。针对上述问题，后续研究需进一步探索高效、可泛化的轻量化融合策略，以提升模型稳定性与跨场景适应能力。</w:t>
      </w:r>
    </w:p>
    <w:p w14:paraId="1F4DBA9E">
      <w:pPr>
        <w:keepNext w:val="0"/>
        <w:keepLines w:val="0"/>
        <w:pageBreakBefore w:val="0"/>
        <w:widowControl w:val="0"/>
        <w:numPr>
          <w:ilvl w:val="1"/>
          <w:numId w:val="1"/>
        </w:numPr>
        <w:kinsoku/>
        <w:wordWrap/>
        <w:overflowPunct/>
        <w:topLinePunct w:val="0"/>
        <w:autoSpaceDE/>
        <w:autoSpaceDN/>
        <w:bidi w:val="0"/>
        <w:adjustRightInd/>
        <w:snapToGrid/>
        <w:ind w:left="567" w:hanging="567"/>
        <w:textAlignment w:val="auto"/>
        <w:outlineLvl w:val="1"/>
        <w:rPr>
          <w:b/>
          <w:bCs/>
          <w:color w:val="000000" w:themeColor="text1"/>
          <w:sz w:val="30"/>
          <w:szCs w:val="30"/>
          <w14:textFill>
            <w14:solidFill>
              <w14:schemeClr w14:val="tx1"/>
            </w14:solidFill>
          </w14:textFill>
        </w:rPr>
      </w:pPr>
      <w:bookmarkStart w:id="20" w:name="_Toc20144"/>
      <w:bookmarkStart w:id="21" w:name="_Toc22102"/>
      <w:bookmarkStart w:id="22" w:name="_Toc5771"/>
      <w:bookmarkStart w:id="23" w:name="_Toc16306"/>
      <w:bookmarkStart w:id="24" w:name="_Toc10629"/>
      <w:r>
        <w:rPr>
          <w:b/>
          <w:bCs/>
          <w:color w:val="000000" w:themeColor="text1"/>
          <w:sz w:val="30"/>
          <w:szCs w:val="30"/>
          <w14:textFill>
            <w14:solidFill>
              <w14:schemeClr w14:val="tx1"/>
            </w14:solidFill>
          </w14:textFill>
        </w:rPr>
        <w:t>小样本学习（Few-shot Learning）方法</w:t>
      </w:r>
      <w:bookmarkEnd w:id="20"/>
      <w:bookmarkEnd w:id="21"/>
      <w:bookmarkEnd w:id="22"/>
      <w:bookmarkEnd w:id="23"/>
      <w:bookmarkEnd w:id="24"/>
    </w:p>
    <w:p w14:paraId="23B9B86D">
      <w:pPr>
        <w:ind w:firstLine="420"/>
        <w:rPr>
          <w:color w:val="000000" w:themeColor="text1"/>
          <w14:textFill>
            <w14:solidFill>
              <w14:schemeClr w14:val="tx1"/>
            </w14:solidFill>
          </w14:textFill>
        </w:rPr>
      </w:pPr>
      <w:r>
        <w:rPr>
          <w:color w:val="000000" w:themeColor="text1"/>
          <w14:textFill>
            <w14:solidFill>
              <w14:schemeClr w14:val="tx1"/>
            </w14:solidFill>
          </w14:textFill>
        </w:rPr>
        <w:t>小样本学习（Few-shot Learning, FSL）近年来被广泛应用于医疗图像分析领域，旨在解决在标注样本极少条件下的有效建模问题，尤其适用于医学影像数据获取困难、人工标注成本高昂的场景。其核心思想是在仅有少量支持样本的条件下，通过构建度量空间或优化元学习策略，实现对新类别样本的快速泛化与准确判别</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_Ref8074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[17]</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w:t>
      </w:r>
    </w:p>
    <w:p w14:paraId="5105D1A3">
      <w:pPr>
        <w:ind w:firstLine="420"/>
        <w:rPr>
          <w:color w:val="000000" w:themeColor="text1"/>
          <w14:textFill>
            <w14:solidFill>
              <w14:schemeClr w14:val="tx1"/>
            </w14:solidFill>
          </w14:textFill>
        </w:rPr>
      </w:pPr>
      <w:r>
        <w:rPr>
          <w:color w:val="000000" w:themeColor="text1"/>
          <w14:textFill>
            <w14:solidFill>
              <w14:schemeClr w14:val="tx1"/>
            </w14:solidFill>
          </w14:textFill>
        </w:rPr>
        <w:t>其中，原型网络（Prototypical Networks）作为FSL中典型的度量学习方法，通过计算每一类别支持样本的特征均值作为类中心（原型），再以欧几里得距离衡量查询样本与各类原型的相似度实现分类。这种结构简单、训练稳定，且在样本稀缺条件下展现出较强的泛化能力，已在多个医学任务中取得显著进展，如乳腺癌筛查</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_Ref8155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[18]</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、脑肿瘤分型</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_Ref8181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[19]</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、眼底病变识别</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_Ref8230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[20]</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等。</w:t>
      </w:r>
    </w:p>
    <w:p w14:paraId="3C6AD1D9">
      <w:pPr>
        <w:ind w:firstLine="420"/>
        <w:rPr>
          <w:color w:val="000000" w:themeColor="text1"/>
          <w14:textFill>
            <w14:solidFill>
              <w14:schemeClr w14:val="tx1"/>
            </w14:solidFill>
          </w14:textFill>
        </w:rPr>
      </w:pPr>
      <w:r>
        <w:rPr>
          <w:color w:val="000000" w:themeColor="text1"/>
          <w14:textFill>
            <w14:solidFill>
              <w14:schemeClr w14:val="tx1"/>
            </w14:solidFill>
          </w14:textFill>
        </w:rPr>
        <w:t>此外，Matching Networks</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_Ref8309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[21]</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通过考虑支持集中样本与查询样本的整体匹配关系，提升了对小样本结构差异的刻画能力；Relation Networks</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_Ref8351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[22]</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则通过学习非线性相似度函数，增强了模型对细粒度病变的识别表现。近年来，也有研究将FSL与多模态融合机制相结合，如将图像特征与结构化临床数据联合嵌入共享特征空间，通过多模态协同建模提升预测性能</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_Ref8420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[23]</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。这类融合策略逐步拓展了FSL在术后风险预测、辅助诊断等临床任务中的适用范围。</w:t>
      </w:r>
    </w:p>
    <w:p w14:paraId="14A037DA">
      <w:pPr>
        <w:ind w:firstLine="420"/>
        <w:rPr>
          <w:color w:val="000000" w:themeColor="text1"/>
          <w14:textFill>
            <w14:solidFill>
              <w14:schemeClr w14:val="tx1"/>
            </w14:solidFill>
          </w14:textFill>
        </w:rPr>
      </w:pPr>
    </w:p>
    <w:p w14:paraId="107F5CFF">
      <w:pPr>
        <w:keepNext w:val="0"/>
        <w:keepLines w:val="0"/>
        <w:pageBreakBefore w:val="0"/>
        <w:widowControl w:val="0"/>
        <w:numPr>
          <w:ilvl w:val="0"/>
          <w:numId w:val="1"/>
        </w:numPr>
        <w:kinsoku/>
        <w:wordWrap/>
        <w:overflowPunct/>
        <w:topLinePunct w:val="0"/>
        <w:autoSpaceDE/>
        <w:autoSpaceDN/>
        <w:bidi w:val="0"/>
        <w:adjustRightInd/>
        <w:snapToGrid/>
        <w:ind w:left="425" w:hanging="425"/>
        <w:textAlignment w:val="auto"/>
        <w:outlineLvl w:val="0"/>
        <w:rPr>
          <w:b/>
          <w:bCs/>
          <w:color w:val="000000" w:themeColor="text1"/>
          <w:sz w:val="36"/>
          <w:szCs w:val="36"/>
          <w14:textFill>
            <w14:solidFill>
              <w14:schemeClr w14:val="tx1"/>
            </w14:solidFill>
          </w14:textFill>
        </w:rPr>
      </w:pPr>
      <w:bookmarkStart w:id="25" w:name="_Toc13352"/>
      <w:bookmarkStart w:id="26" w:name="_Toc31679"/>
      <w:bookmarkStart w:id="27" w:name="_Toc17053"/>
      <w:r>
        <w:rPr>
          <w:rFonts w:hint="eastAsia"/>
          <w:b/>
          <w:bCs/>
          <w:color w:val="000000" w:themeColor="text1"/>
          <w:sz w:val="36"/>
          <w:szCs w:val="36"/>
          <w14:textFill>
            <w14:solidFill>
              <w14:schemeClr w14:val="tx1"/>
            </w14:solidFill>
          </w14:textFill>
        </w:rPr>
        <w:t>方法论</w:t>
      </w:r>
      <w:bookmarkEnd w:id="25"/>
      <w:bookmarkEnd w:id="26"/>
      <w:bookmarkEnd w:id="27"/>
    </w:p>
    <w:p w14:paraId="6F109B5E">
      <w:pPr>
        <w:keepNext w:val="0"/>
        <w:keepLines w:val="0"/>
        <w:pageBreakBefore w:val="0"/>
        <w:widowControl w:val="0"/>
        <w:numPr>
          <w:ilvl w:val="1"/>
          <w:numId w:val="1"/>
        </w:numPr>
        <w:kinsoku/>
        <w:wordWrap/>
        <w:overflowPunct/>
        <w:topLinePunct w:val="0"/>
        <w:autoSpaceDE/>
        <w:autoSpaceDN/>
        <w:bidi w:val="0"/>
        <w:adjustRightInd/>
        <w:snapToGrid/>
        <w:ind w:left="567" w:hanging="567"/>
        <w:textAlignment w:val="auto"/>
        <w:outlineLvl w:val="1"/>
        <w:rPr>
          <w:b/>
          <w:bCs/>
          <w:color w:val="000000" w:themeColor="text1"/>
          <w:sz w:val="30"/>
          <w:szCs w:val="30"/>
          <w14:textFill>
            <w14:solidFill>
              <w14:schemeClr w14:val="tx1"/>
            </w14:solidFill>
          </w14:textFill>
        </w:rPr>
      </w:pPr>
      <w:bookmarkStart w:id="28" w:name="_Toc26656"/>
      <w:bookmarkStart w:id="29" w:name="_Toc27230"/>
      <w:bookmarkStart w:id="30" w:name="_Toc27780"/>
      <w:bookmarkStart w:id="31" w:name="_Toc16742"/>
      <w:bookmarkStart w:id="32" w:name="_Toc21304"/>
      <w:r>
        <w:rPr>
          <w:b/>
          <w:bCs/>
          <w:color w:val="000000" w:themeColor="text1"/>
          <w:sz w:val="30"/>
          <w:szCs w:val="30"/>
          <w14:textFill>
            <w14:solidFill>
              <w14:schemeClr w14:val="tx1"/>
            </w14:solidFill>
          </w14:textFill>
        </w:rPr>
        <w:t>研究对象与</w:t>
      </w:r>
      <w:r>
        <w:rPr>
          <w:rFonts w:hint="eastAsia"/>
          <w:b/>
          <w:bCs/>
          <w:color w:val="000000" w:themeColor="text1"/>
          <w:sz w:val="30"/>
          <w:szCs w:val="30"/>
          <w14:textFill>
            <w14:solidFill>
              <w14:schemeClr w14:val="tx1"/>
            </w14:solidFill>
          </w14:textFill>
        </w:rPr>
        <w:t>数据收集</w:t>
      </w:r>
      <w:bookmarkEnd w:id="28"/>
      <w:bookmarkEnd w:id="29"/>
      <w:bookmarkEnd w:id="30"/>
      <w:bookmarkEnd w:id="31"/>
      <w:bookmarkEnd w:id="32"/>
      <w:r>
        <w:rPr>
          <w:rFonts w:hint="eastAsia"/>
          <w:b/>
          <w:bCs/>
          <w:color w:val="000000" w:themeColor="text1"/>
          <w:sz w:val="30"/>
          <w:szCs w:val="30"/>
          <w14:textFill>
            <w14:solidFill>
              <w14:schemeClr w14:val="tx1"/>
            </w14:solidFill>
          </w14:textFill>
        </w:rPr>
        <w:t xml:space="preserve">  </w:t>
      </w:r>
    </w:p>
    <w:p w14:paraId="37C9D80A">
      <w:pPr>
        <w:keepNext w:val="0"/>
        <w:keepLines w:val="0"/>
        <w:pageBreakBefore w:val="0"/>
        <w:widowControl w:val="0"/>
        <w:numPr>
          <w:ilvl w:val="2"/>
          <w:numId w:val="1"/>
        </w:numPr>
        <w:kinsoku/>
        <w:wordWrap/>
        <w:overflowPunct/>
        <w:topLinePunct w:val="0"/>
        <w:autoSpaceDE/>
        <w:autoSpaceDN/>
        <w:bidi w:val="0"/>
        <w:adjustRightInd/>
        <w:snapToGrid/>
        <w:ind w:left="709" w:hanging="709"/>
        <w:textAlignment w:val="auto"/>
        <w:outlineLvl w:val="2"/>
        <w:rPr>
          <w:b/>
          <w:bCs/>
          <w:color w:val="000000" w:themeColor="text1"/>
          <w:sz w:val="30"/>
          <w:szCs w:val="30"/>
          <w14:textFill>
            <w14:solidFill>
              <w14:schemeClr w14:val="tx1"/>
            </w14:solidFill>
          </w14:textFill>
        </w:rPr>
      </w:pPr>
      <w:bookmarkStart w:id="33" w:name="_Toc29890"/>
      <w:bookmarkStart w:id="34" w:name="_Toc25476"/>
      <w:bookmarkStart w:id="35" w:name="_Toc16044"/>
      <w:bookmarkStart w:id="36" w:name="_Toc21494"/>
      <w:bookmarkStart w:id="37" w:name="_Toc15102"/>
      <w:r>
        <w:rPr>
          <w:rFonts w:hint="eastAsia"/>
          <w:b/>
          <w:bCs/>
          <w:color w:val="000000" w:themeColor="text1"/>
          <w:sz w:val="30"/>
          <w:szCs w:val="30"/>
          <w14:textFill>
            <w14:solidFill>
              <w14:schemeClr w14:val="tx1"/>
            </w14:solidFill>
          </w14:textFill>
        </w:rPr>
        <w:t>研究对象及纳入/排除标准</w:t>
      </w:r>
      <w:bookmarkEnd w:id="33"/>
      <w:bookmarkEnd w:id="34"/>
      <w:bookmarkEnd w:id="35"/>
      <w:bookmarkEnd w:id="36"/>
      <w:bookmarkEnd w:id="37"/>
    </w:p>
    <w:p w14:paraId="38087FC4">
      <w:pPr>
        <w:ind w:firstLine="420"/>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根据全球肾脏病预后组织</w:t>
      </w:r>
      <w:r>
        <w:rPr>
          <w:rFonts w:hint="default" w:ascii="Times New Roman" w:hAnsi="Times New Roman" w:eastAsia="宋体" w:cs="Times New Roman"/>
          <w:color w:val="000000" w:themeColor="text1"/>
          <w14:textFill>
            <w14:solidFill>
              <w14:schemeClr w14:val="tx1"/>
            </w14:solidFill>
          </w14:textFill>
        </w:rPr>
        <w:t>KDIGO（Kidney Disease: Improving Global Outcomes）</w:t>
      </w:r>
      <w:r>
        <w:rPr>
          <w:rFonts w:ascii="宋体" w:hAnsi="宋体" w:eastAsia="宋体"/>
          <w:color w:val="000000" w:themeColor="text1"/>
          <w14:textFill>
            <w14:solidFill>
              <w14:schemeClr w14:val="tx1"/>
            </w14:solidFill>
          </w14:textFill>
        </w:rPr>
        <w:t>标准，术后急性肾损伤（AKI）的诊断标准为：</w:t>
      </w:r>
      <w:r>
        <w:rPr>
          <w:rFonts w:hint="eastAsia" w:ascii="宋体" w:hAnsi="宋体" w:eastAsia="宋体"/>
          <w:color w:val="000000" w:themeColor="text1"/>
          <w14:textFill>
            <w14:solidFill>
              <w14:schemeClr w14:val="tx1"/>
            </w14:solidFill>
          </w14:textFill>
        </w:rPr>
        <w:t>（1）</w:t>
      </w:r>
      <w:r>
        <w:rPr>
          <w:rFonts w:ascii="宋体" w:hAnsi="宋体" w:eastAsia="宋体"/>
          <w:color w:val="000000" w:themeColor="text1"/>
          <w14:textFill>
            <w14:solidFill>
              <w14:schemeClr w14:val="tx1"/>
            </w14:solidFill>
          </w14:textFill>
        </w:rPr>
        <w:t>在48小时内血清肌酐</w:t>
      </w:r>
      <w:r>
        <w:rPr>
          <w:rFonts w:eastAsia="宋体" w:cs="Times New Roman"/>
          <w:color w:val="000000" w:themeColor="text1"/>
          <w14:textFill>
            <w14:solidFill>
              <w14:schemeClr w14:val="tx1"/>
            </w14:solidFill>
          </w14:textFill>
        </w:rPr>
        <w:t>（SCr）</w:t>
      </w:r>
      <w:r>
        <w:rPr>
          <w:rFonts w:ascii="宋体" w:hAnsi="宋体" w:eastAsia="宋体"/>
          <w:color w:val="000000" w:themeColor="text1"/>
          <w14:textFill>
            <w14:solidFill>
              <w14:schemeClr w14:val="tx1"/>
            </w14:solidFill>
          </w14:textFill>
        </w:rPr>
        <w:t>上升≥0.3 mg/dl（≥26.5 μmol/L）；</w:t>
      </w:r>
      <w:r>
        <w:rPr>
          <w:rFonts w:hint="eastAsia" w:ascii="宋体" w:hAnsi="宋体" w:eastAsia="宋体"/>
          <w:color w:val="000000" w:themeColor="text1"/>
          <w14:textFill>
            <w14:solidFill>
              <w14:schemeClr w14:val="tx1"/>
            </w14:solidFill>
          </w14:textFill>
        </w:rPr>
        <w:t>（2）</w:t>
      </w:r>
      <w:r>
        <w:rPr>
          <w:rFonts w:ascii="宋体" w:hAnsi="宋体" w:eastAsia="宋体"/>
          <w:color w:val="000000" w:themeColor="text1"/>
          <w14:textFill>
            <w14:solidFill>
              <w14:schemeClr w14:val="tx1"/>
            </w14:solidFill>
          </w14:textFill>
        </w:rPr>
        <w:t>在7天内血清肌酐上升至基础值的1.5倍以上；</w:t>
      </w:r>
      <w:r>
        <w:rPr>
          <w:rFonts w:hint="eastAsia" w:ascii="宋体" w:hAnsi="宋体" w:eastAsia="宋体"/>
          <w:color w:val="000000" w:themeColor="text1"/>
          <w14:textFill>
            <w14:solidFill>
              <w14:schemeClr w14:val="tx1"/>
            </w14:solidFill>
          </w14:textFill>
        </w:rPr>
        <w:t>（3）</w:t>
      </w:r>
      <w:r>
        <w:rPr>
          <w:rFonts w:ascii="宋体" w:hAnsi="宋体" w:eastAsia="宋体"/>
          <w:color w:val="000000" w:themeColor="text1"/>
          <w14:textFill>
            <w14:solidFill>
              <w14:schemeClr w14:val="tx1"/>
            </w14:solidFill>
          </w14:textFill>
        </w:rPr>
        <w:t>尿量&lt;0.5 ml/（kg·h），持续6小时以上。本研究采用术前6个月的最低血清肌酐值作为基线肌酐值，以此为基础评估术后AKI的发生。</w:t>
      </w:r>
    </w:p>
    <w:p w14:paraId="188D6645">
      <w:pPr>
        <w:ind w:firstLine="420"/>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本研究回顾性分析了在</w:t>
      </w:r>
      <w:r>
        <w:rPr>
          <w:rFonts w:hint="eastAsia"/>
          <w:b/>
          <w:bCs/>
          <w:color w:val="000000" w:themeColor="text1"/>
          <w14:textFill>
            <w14:solidFill>
              <w14:schemeClr w14:val="tx1"/>
            </w14:solidFill>
          </w14:textFill>
        </w:rPr>
        <w:t>四川省第二人民医院</w:t>
      </w:r>
      <w:r>
        <w:rPr>
          <w:rFonts w:ascii="宋体" w:hAnsi="宋体" w:eastAsia="宋体"/>
          <w:color w:val="000000" w:themeColor="text1"/>
          <w14:textFill>
            <w14:solidFill>
              <w14:schemeClr w14:val="tx1"/>
            </w14:solidFill>
          </w14:textFill>
        </w:rPr>
        <w:t>接受腹腔镜肾脏手术治疗的肾脏占位性病变患者。通过严格的纳入和排除标准筛选研究对象，以确保研究人群的同质性并减少混杂因素的影响。</w:t>
      </w:r>
    </w:p>
    <w:p w14:paraId="36F285F3">
      <w:pPr>
        <w:rPr>
          <w:rFonts w:hint="eastAsia" w:ascii="宋体" w:hAnsi="宋体" w:eastAsia="宋体"/>
          <w:b/>
          <w:bCs/>
          <w:color w:val="000000" w:themeColor="text1"/>
          <w14:textFill>
            <w14:solidFill>
              <w14:schemeClr w14:val="tx1"/>
            </w14:solidFill>
          </w14:textFill>
        </w:rPr>
      </w:pPr>
      <w:r>
        <w:rPr>
          <w:rFonts w:ascii="宋体" w:hAnsi="宋体" w:eastAsia="宋体"/>
          <w:b/>
          <w:bCs/>
          <w:color w:val="000000" w:themeColor="text1"/>
          <w14:textFill>
            <w14:solidFill>
              <w14:schemeClr w14:val="tx1"/>
            </w14:solidFill>
          </w14:textFill>
        </w:rPr>
        <w:t>纳入标准：</w:t>
      </w:r>
    </w:p>
    <w:p w14:paraId="0372B429">
      <w:pPr>
        <w:numPr>
          <w:ilvl w:val="0"/>
          <w:numId w:val="3"/>
        </w:numPr>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经影像学检查（超声、泌尿系CT或静脉尿路造影[IVU]）确诊为肾脏占位性病变的患者；</w:t>
      </w:r>
    </w:p>
    <w:p w14:paraId="26CD74B9">
      <w:pPr>
        <w:numPr>
          <w:ilvl w:val="0"/>
          <w:numId w:val="3"/>
        </w:numPr>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在</w:t>
      </w:r>
      <w:r>
        <w:rPr>
          <w:rFonts w:ascii="宋体" w:hAnsi="宋体" w:eastAsia="宋体"/>
          <w:b/>
          <w:bCs/>
          <w:color w:val="000000" w:themeColor="text1"/>
          <w14:textFill>
            <w14:solidFill>
              <w14:schemeClr w14:val="tx1"/>
            </w14:solidFill>
          </w14:textFill>
        </w:rPr>
        <w:t>本院</w:t>
      </w:r>
      <w:r>
        <w:rPr>
          <w:rFonts w:ascii="宋体" w:hAnsi="宋体" w:eastAsia="宋体"/>
          <w:color w:val="000000" w:themeColor="text1"/>
          <w14:textFill>
            <w14:solidFill>
              <w14:schemeClr w14:val="tx1"/>
            </w14:solidFill>
          </w14:textFill>
        </w:rPr>
        <w:t>接受腹腔镜下肾部分切除术或根治性肾切除术，且所有手术均由同一位高年资主任医师完成；</w:t>
      </w:r>
    </w:p>
    <w:p w14:paraId="06A4466B">
      <w:pPr>
        <w:numPr>
          <w:ilvl w:val="0"/>
          <w:numId w:val="3"/>
        </w:numPr>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年龄＞18岁的成年患者；</w:t>
      </w:r>
    </w:p>
    <w:p w14:paraId="0480847A">
      <w:pPr>
        <w:numPr>
          <w:ilvl w:val="0"/>
          <w:numId w:val="3"/>
        </w:numPr>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术前及术后7天内至少各进行1次血肌酐检测；</w:t>
      </w:r>
    </w:p>
    <w:p w14:paraId="140E0341">
      <w:pPr>
        <w:numPr>
          <w:ilvl w:val="0"/>
          <w:numId w:val="3"/>
        </w:numPr>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具备完整的基线临床资料。</w:t>
      </w:r>
    </w:p>
    <w:p w14:paraId="4B8A2608">
      <w:pPr>
        <w:rPr>
          <w:rFonts w:hint="eastAsia" w:ascii="宋体" w:hAnsi="宋体" w:eastAsia="宋体"/>
          <w:b/>
          <w:bCs/>
          <w:color w:val="000000" w:themeColor="text1"/>
          <w14:textFill>
            <w14:solidFill>
              <w14:schemeClr w14:val="tx1"/>
            </w14:solidFill>
          </w14:textFill>
        </w:rPr>
      </w:pPr>
      <w:r>
        <w:rPr>
          <w:rFonts w:ascii="宋体" w:hAnsi="宋体" w:eastAsia="宋体"/>
          <w:b/>
          <w:bCs/>
          <w:color w:val="000000" w:themeColor="text1"/>
          <w14:textFill>
            <w14:solidFill>
              <w14:schemeClr w14:val="tx1"/>
            </w14:solidFill>
          </w14:textFill>
        </w:rPr>
        <w:t>排除标准：</w:t>
      </w:r>
    </w:p>
    <w:p w14:paraId="4F43F949">
      <w:pPr>
        <w:numPr>
          <w:ilvl w:val="0"/>
          <w:numId w:val="4"/>
        </w:numPr>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终末期肾病患者；</w:t>
      </w:r>
    </w:p>
    <w:p w14:paraId="48D3B021">
      <w:pPr>
        <w:numPr>
          <w:ilvl w:val="0"/>
          <w:numId w:val="4"/>
        </w:numPr>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联合其他手术的患者；</w:t>
      </w:r>
    </w:p>
    <w:p w14:paraId="3F8D9946">
      <w:pPr>
        <w:numPr>
          <w:ilvl w:val="0"/>
          <w:numId w:val="4"/>
        </w:numPr>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肾移植手术史的患者；</w:t>
      </w:r>
    </w:p>
    <w:p w14:paraId="50B8ABEE">
      <w:pPr>
        <w:numPr>
          <w:ilvl w:val="0"/>
          <w:numId w:val="4"/>
        </w:numPr>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患有其它重大脏器疾病，肿瘤或化疗的患者；</w:t>
      </w:r>
    </w:p>
    <w:p w14:paraId="1581C38E">
      <w:pPr>
        <w:numPr>
          <w:ilvl w:val="0"/>
          <w:numId w:val="4"/>
        </w:numPr>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重要资料不齐的患者。</w:t>
      </w:r>
    </w:p>
    <w:p w14:paraId="41306A12">
      <w:pPr>
        <w:ind w:firstLine="420"/>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通过上述标准筛选研究对象，</w:t>
      </w:r>
      <w:r>
        <w:rPr>
          <w:rFonts w:hint="eastAsia" w:ascii="宋体" w:hAnsi="宋体" w:eastAsia="宋体"/>
          <w:color w:val="000000" w:themeColor="text1"/>
          <w14:textFill>
            <w14:solidFill>
              <w14:schemeClr w14:val="tx1"/>
            </w14:solidFill>
          </w14:textFill>
        </w:rPr>
        <w:t>本研究可以</w:t>
      </w:r>
      <w:r>
        <w:rPr>
          <w:rFonts w:ascii="宋体" w:hAnsi="宋体" w:eastAsia="宋体"/>
          <w:color w:val="000000" w:themeColor="text1"/>
          <w14:textFill>
            <w14:solidFill>
              <w14:schemeClr w14:val="tx1"/>
            </w14:solidFill>
          </w14:textFill>
        </w:rPr>
        <w:t>更好地评估术后急性肾损伤的发生情况，同时控制主要混杂因素的影响。</w:t>
      </w:r>
      <w:r>
        <w:rPr>
          <w:rFonts w:hint="eastAsia" w:ascii="宋体" w:hAnsi="宋体" w:eastAsia="宋体"/>
          <w:b/>
          <w:bCs/>
          <w:color w:val="000000" w:themeColor="text1"/>
          <w14:textFill>
            <w14:solidFill>
              <w14:schemeClr w14:val="tx1"/>
            </w14:solidFill>
          </w14:textFill>
        </w:rPr>
        <w:t>图1</w:t>
      </w:r>
      <w:r>
        <w:rPr>
          <w:rFonts w:hint="eastAsia" w:ascii="宋体" w:hAnsi="宋体" w:eastAsia="宋体"/>
          <w:color w:val="000000" w:themeColor="text1"/>
          <w14:textFill>
            <w14:solidFill>
              <w14:schemeClr w14:val="tx1"/>
            </w14:solidFill>
          </w14:textFill>
        </w:rPr>
        <w:t>呈现了基于预设纳入标准的研究对象筛选过程。</w:t>
      </w:r>
    </w:p>
    <w:p w14:paraId="4E95F3CD">
      <w:pPr>
        <w:jc w:val="center"/>
        <w:rPr>
          <w:rFonts w:hint="eastAsia" w:ascii="宋体" w:hAnsi="宋体" w:eastAsia="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890770" cy="2551430"/>
            <wp:effectExtent l="9525" t="9525" r="14605" b="1714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6"/>
                    <a:stretch>
                      <a:fillRect/>
                    </a:stretch>
                  </pic:blipFill>
                  <pic:spPr>
                    <a:xfrm>
                      <a:off x="0" y="0"/>
                      <a:ext cx="4890770" cy="2551430"/>
                    </a:xfrm>
                    <a:prstGeom prst="rect">
                      <a:avLst/>
                    </a:prstGeom>
                    <a:noFill/>
                    <a:ln>
                      <a:solidFill>
                        <a:schemeClr val="accent1"/>
                      </a:solidFill>
                    </a:ln>
                  </pic:spPr>
                </pic:pic>
              </a:graphicData>
            </a:graphic>
          </wp:inline>
        </w:drawing>
      </w:r>
    </w:p>
    <w:p w14:paraId="7A7D173A">
      <w:pPr>
        <w:rPr>
          <w:rFonts w:hint="eastAsia" w:ascii="黑体" w:hAnsi="黑体" w:eastAsia="黑体" w:cs="黑体"/>
          <w:color w:val="000000" w:themeColor="text1"/>
          <w:sz w:val="21"/>
          <w:szCs w:val="21"/>
          <w:lang w:val="en-US" w:eastAsia="zh-CN"/>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图1：展示了研究对象的筛选和分组过程</w:t>
      </w:r>
      <w:r>
        <w:rPr>
          <w:rFonts w:hint="eastAsia" w:ascii="黑体" w:hAnsi="黑体" w:eastAsia="黑体" w:cs="黑体"/>
          <w:color w:val="000000" w:themeColor="text1"/>
          <w:sz w:val="21"/>
          <w:szCs w:val="21"/>
          <w:lang w:val="en-US" w:eastAsia="zh-CN"/>
          <w14:textFill>
            <w14:solidFill>
              <w14:schemeClr w14:val="tx1"/>
            </w14:solidFill>
          </w14:textFill>
        </w:rPr>
        <w:t>,研究人员根据特定的纳入标准对参与者进行筛选。经筛选后，最终确定的研究队列的194名研究对象</w:t>
      </w:r>
    </w:p>
    <w:p w14:paraId="618363C9">
      <w:pPr>
        <w:keepNext w:val="0"/>
        <w:keepLines w:val="0"/>
        <w:pageBreakBefore w:val="0"/>
        <w:widowControl w:val="0"/>
        <w:numPr>
          <w:ilvl w:val="2"/>
          <w:numId w:val="1"/>
        </w:numPr>
        <w:kinsoku/>
        <w:wordWrap/>
        <w:overflowPunct/>
        <w:topLinePunct w:val="0"/>
        <w:autoSpaceDE/>
        <w:autoSpaceDN/>
        <w:bidi w:val="0"/>
        <w:adjustRightInd/>
        <w:snapToGrid/>
        <w:ind w:left="709" w:hanging="709"/>
        <w:textAlignment w:val="auto"/>
        <w:outlineLvl w:val="2"/>
        <w:rPr>
          <w:b/>
          <w:bCs/>
          <w:color w:val="000000" w:themeColor="text1"/>
          <w:sz w:val="30"/>
          <w:szCs w:val="30"/>
          <w14:textFill>
            <w14:solidFill>
              <w14:schemeClr w14:val="tx1"/>
            </w14:solidFill>
          </w14:textFill>
        </w:rPr>
      </w:pPr>
      <w:bookmarkStart w:id="38" w:name="_Toc11231"/>
      <w:bookmarkStart w:id="39" w:name="_Toc7724"/>
      <w:bookmarkStart w:id="40" w:name="_Toc22849"/>
      <w:bookmarkStart w:id="41" w:name="_Toc17880"/>
      <w:bookmarkStart w:id="42" w:name="_Toc24388"/>
      <w:r>
        <w:rPr>
          <w:rFonts w:hint="eastAsia"/>
          <w:b/>
          <w:bCs/>
          <w:color w:val="000000" w:themeColor="text1"/>
          <w:sz w:val="30"/>
          <w:szCs w:val="30"/>
          <w14:textFill>
            <w14:solidFill>
              <w14:schemeClr w14:val="tx1"/>
            </w14:solidFill>
          </w14:textFill>
        </w:rPr>
        <w:t>多模态数据采集</w:t>
      </w:r>
      <w:bookmarkEnd w:id="38"/>
      <w:bookmarkEnd w:id="39"/>
      <w:bookmarkEnd w:id="40"/>
      <w:bookmarkEnd w:id="41"/>
      <w:bookmarkEnd w:id="42"/>
    </w:p>
    <w:p w14:paraId="2E4B99A4">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目前</w:t>
      </w:r>
      <w:r>
        <w:rPr>
          <w:rFonts w:ascii="宋体" w:hAnsi="宋体" w:eastAsia="宋体"/>
          <w:color w:val="000000" w:themeColor="text1"/>
          <w14:textFill>
            <w14:solidFill>
              <w14:schemeClr w14:val="tx1"/>
            </w14:solidFill>
          </w14:textFill>
        </w:rPr>
        <w:t>已有大量基于术前临床特征的机器学习</w:t>
      </w:r>
      <w:r>
        <w:rPr>
          <w:rFonts w:hint="eastAsia" w:ascii="宋体" w:hAnsi="宋体" w:eastAsia="宋体"/>
          <w:color w:val="000000" w:themeColor="text1"/>
          <w14:textFill>
            <w14:solidFill>
              <w14:schemeClr w14:val="tx1"/>
            </w14:solidFill>
          </w14:textFill>
        </w:rPr>
        <w:t>与深度学习</w:t>
      </w:r>
      <w:r>
        <w:rPr>
          <w:rFonts w:ascii="宋体" w:hAnsi="宋体" w:eastAsia="宋体"/>
          <w:color w:val="000000" w:themeColor="text1"/>
          <w14:textFill>
            <w14:solidFill>
              <w14:schemeClr w14:val="tx1"/>
            </w14:solidFill>
          </w14:textFill>
        </w:rPr>
        <w:t>模型用于预测术后急性肾损伤（AKI），但这些</w:t>
      </w:r>
      <w:r>
        <w:rPr>
          <w:rStyle w:val="14"/>
          <w:rFonts w:ascii="宋体" w:hAnsi="宋体" w:eastAsia="宋体"/>
          <w:color w:val="000000" w:themeColor="text1"/>
          <w14:textFill>
            <w14:solidFill>
              <w14:schemeClr w14:val="tx1"/>
            </w14:solidFill>
          </w14:textFill>
        </w:rPr>
        <w:t>单模态</w:t>
      </w:r>
      <w:r>
        <w:rPr>
          <w:rStyle w:val="14"/>
          <w:rFonts w:hint="eastAsia" w:ascii="宋体" w:hAnsi="宋体" w:eastAsia="宋体"/>
          <w:b w:val="0"/>
          <w:bCs/>
          <w:color w:val="000000" w:themeColor="text1"/>
          <w14:textFill>
            <w14:solidFill>
              <w14:schemeClr w14:val="tx1"/>
            </w14:solidFill>
          </w14:textFill>
        </w:rPr>
        <w:t>的</w:t>
      </w:r>
      <w:r>
        <w:rPr>
          <w:rFonts w:ascii="宋体" w:hAnsi="宋体" w:eastAsia="宋体"/>
          <w:color w:val="000000" w:themeColor="text1"/>
          <w14:textFill>
            <w14:solidFill>
              <w14:schemeClr w14:val="tx1"/>
            </w14:solidFill>
          </w14:textFill>
        </w:rPr>
        <w:t>方法仍存在</w:t>
      </w:r>
      <w:r>
        <w:rPr>
          <w:rFonts w:hint="eastAsia" w:ascii="宋体" w:hAnsi="宋体" w:eastAsia="宋体"/>
          <w:color w:val="000000" w:themeColor="text1"/>
          <w14:textFill>
            <w14:solidFill>
              <w14:schemeClr w14:val="tx1"/>
            </w14:solidFill>
          </w14:textFill>
        </w:rPr>
        <w:t>着</w:t>
      </w:r>
      <w:r>
        <w:rPr>
          <w:rFonts w:ascii="宋体" w:hAnsi="宋体" w:eastAsia="宋体"/>
          <w:color w:val="000000" w:themeColor="text1"/>
          <w14:textFill>
            <w14:solidFill>
              <w14:schemeClr w14:val="tx1"/>
            </w14:solidFill>
          </w14:textFill>
        </w:rPr>
        <w:t>局限</w:t>
      </w:r>
      <w:r>
        <w:rPr>
          <w:rFonts w:hint="eastAsia" w:ascii="宋体" w:hAnsi="宋体" w:eastAsia="宋体"/>
          <w:color w:val="000000" w:themeColor="text1"/>
          <w14:textFill>
            <w14:solidFill>
              <w14:schemeClr w14:val="tx1"/>
            </w14:solidFill>
          </w14:textFill>
        </w:rPr>
        <w:t>性</w:t>
      </w:r>
      <w:r>
        <w:rPr>
          <w:rFonts w:ascii="宋体" w:hAnsi="宋体" w:eastAsia="宋体"/>
          <w:color w:val="000000" w:themeColor="text1"/>
          <w14:textFill>
            <w14:solidFill>
              <w14:schemeClr w14:val="tx1"/>
            </w14:solidFill>
          </w14:textFill>
        </w:rPr>
        <w:t>。首先，绝大多数</w:t>
      </w:r>
      <w:r>
        <w:rPr>
          <w:rFonts w:hint="eastAsia" w:ascii="宋体" w:hAnsi="宋体" w:eastAsia="宋体"/>
          <w:color w:val="000000" w:themeColor="text1"/>
          <w14:textFill>
            <w14:solidFill>
              <w14:schemeClr w14:val="tx1"/>
            </w14:solidFill>
          </w14:textFill>
        </w:rPr>
        <w:t>的</w:t>
      </w:r>
      <w:r>
        <w:rPr>
          <w:rFonts w:ascii="宋体" w:hAnsi="宋体" w:eastAsia="宋体"/>
          <w:color w:val="000000" w:themeColor="text1"/>
          <w14:textFill>
            <w14:solidFill>
              <w14:schemeClr w14:val="tx1"/>
            </w14:solidFill>
          </w14:textFill>
        </w:rPr>
        <w:t>研究仅依赖血液生化指标、生命体征及既往病史等临床变量来构建风险评分或学习模型，</w:t>
      </w:r>
      <w:r>
        <w:rPr>
          <w:rFonts w:ascii="宋体" w:hAnsi="宋体" w:eastAsia="宋体"/>
          <w:color w:val="000000" w:themeColor="text1"/>
          <w14:textFill>
            <w14:solidFill>
              <w14:schemeClr w14:val="tx1"/>
            </w14:solidFill>
          </w14:textFill>
        </w:rPr>
        <w:t>Yoon等人基于38项术前临床变量构建的CMC-AKIX模型，虽在回顾性队列中获得了最高AUC=0.83的预测性能，但其应用范围多局限于特定类型手术，</w:t>
      </w:r>
      <w:r>
        <w:rPr>
          <w:rFonts w:hint="eastAsia" w:ascii="宋体" w:hAnsi="宋体" w:eastAsia="宋体"/>
          <w:color w:val="000000" w:themeColor="text1"/>
          <w14:textFill>
            <w14:solidFill>
              <w14:schemeClr w14:val="tx1"/>
            </w14:solidFill>
          </w14:textFill>
        </w:rPr>
        <w:t>而</w:t>
      </w:r>
      <w:r>
        <w:rPr>
          <w:rFonts w:ascii="宋体" w:hAnsi="宋体" w:eastAsia="宋体"/>
          <w:color w:val="000000" w:themeColor="text1"/>
          <w14:textFill>
            <w14:solidFill>
              <w14:schemeClr w14:val="tx1"/>
            </w14:solidFill>
          </w14:textFill>
        </w:rPr>
        <w:t>且需</w:t>
      </w:r>
      <w:r>
        <w:rPr>
          <w:rFonts w:hint="eastAsia" w:ascii="宋体" w:hAnsi="宋体" w:eastAsia="宋体"/>
          <w:color w:val="000000" w:themeColor="text1"/>
          <w14:textFill>
            <w14:solidFill>
              <w14:schemeClr w14:val="tx1"/>
            </w14:solidFill>
          </w14:textFill>
        </w:rPr>
        <w:t>要</w:t>
      </w:r>
      <w:r>
        <w:rPr>
          <w:rFonts w:ascii="宋体" w:hAnsi="宋体" w:eastAsia="宋体"/>
          <w:color w:val="000000" w:themeColor="text1"/>
          <w14:textFill>
            <w14:solidFill>
              <w14:schemeClr w14:val="tx1"/>
            </w14:solidFill>
          </w14:textFill>
        </w:rPr>
        <w:t>更大规模队列的外部验证才</w:t>
      </w:r>
      <w:r>
        <w:rPr>
          <w:rFonts w:hint="eastAsia" w:ascii="宋体" w:hAnsi="宋体" w:eastAsia="宋体"/>
          <w:color w:val="000000" w:themeColor="text1"/>
          <w14:textFill>
            <w14:solidFill>
              <w14:schemeClr w14:val="tx1"/>
            </w14:solidFill>
          </w14:textFill>
        </w:rPr>
        <w:t>能够</w:t>
      </w:r>
      <w:r>
        <w:rPr>
          <w:rFonts w:ascii="宋体" w:hAnsi="宋体" w:eastAsia="宋体"/>
          <w:color w:val="000000" w:themeColor="text1"/>
          <w14:textFill>
            <w14:solidFill>
              <w14:schemeClr w14:val="tx1"/>
            </w14:solidFill>
          </w14:textFill>
        </w:rPr>
        <w:t>推广至更广泛的临床场景</w:t>
      </w:r>
      <w:r>
        <w:rPr>
          <w:rFonts w:ascii="宋体" w:hAnsi="宋体" w:eastAsia="宋体"/>
          <w:color w:val="000000" w:themeColor="text1"/>
          <w:vertAlign w:val="superscript"/>
          <w14:textFill>
            <w14:solidFill>
              <w14:schemeClr w14:val="tx1"/>
            </w14:solidFill>
          </w14:textFill>
        </w:rPr>
        <w:fldChar w:fldCharType="begin"/>
      </w:r>
      <w:r>
        <w:rPr>
          <w:rFonts w:ascii="宋体" w:hAnsi="宋体" w:eastAsia="宋体"/>
          <w:color w:val="000000" w:themeColor="text1"/>
          <w:vertAlign w:val="superscript"/>
          <w14:textFill>
            <w14:solidFill>
              <w14:schemeClr w14:val="tx1"/>
            </w14:solidFill>
          </w14:textFill>
        </w:rPr>
        <w:instrText xml:space="preserve"> REF _Ref8994 \r \h </w:instrText>
      </w:r>
      <w:r>
        <w:rPr>
          <w:rFonts w:ascii="宋体" w:hAnsi="宋体" w:eastAsia="宋体"/>
          <w:color w:val="000000" w:themeColor="text1"/>
          <w:vertAlign w:val="superscript"/>
          <w14:textFill>
            <w14:solidFill>
              <w14:schemeClr w14:val="tx1"/>
            </w14:solidFill>
          </w14:textFill>
        </w:rPr>
        <w:fldChar w:fldCharType="separate"/>
      </w:r>
      <w:r>
        <w:rPr>
          <w:rFonts w:ascii="宋体" w:hAnsi="宋体" w:eastAsia="宋体"/>
          <w:color w:val="000000" w:themeColor="text1"/>
          <w:vertAlign w:val="superscript"/>
          <w14:textFill>
            <w14:solidFill>
              <w14:schemeClr w14:val="tx1"/>
            </w14:solidFill>
          </w14:textFill>
        </w:rPr>
        <w:t>[24]</w:t>
      </w:r>
      <w:r>
        <w:rPr>
          <w:rFonts w:ascii="宋体" w:hAnsi="宋体" w:eastAsia="宋体"/>
          <w:color w:val="000000" w:themeColor="text1"/>
          <w:vertAlign w:val="superscript"/>
          <w14:textFill>
            <w14:solidFill>
              <w14:schemeClr w14:val="tx1"/>
            </w14:solidFill>
          </w14:textFill>
        </w:rPr>
        <w:fldChar w:fldCharType="end"/>
      </w:r>
      <w:r>
        <w:rPr>
          <w:rFonts w:ascii="宋体" w:hAnsi="宋体" w:eastAsia="宋体"/>
          <w:color w:val="000000" w:themeColor="text1"/>
          <w14:textFill>
            <w14:solidFill>
              <w14:schemeClr w14:val="tx1"/>
            </w14:solidFill>
          </w14:textFill>
        </w:rPr>
        <w:t>。</w:t>
      </w:r>
      <w:r>
        <w:rPr>
          <w:rFonts w:hint="eastAsia" w:ascii="宋体" w:hAnsi="宋体" w:eastAsia="宋体"/>
          <w:color w:val="000000" w:themeColor="text1"/>
          <w14:textFill>
            <w14:solidFill>
              <w14:schemeClr w14:val="tx1"/>
            </w14:solidFill>
          </w14:textFill>
        </w:rPr>
        <w:t>此外</w:t>
      </w:r>
      <w:r>
        <w:rPr>
          <w:rFonts w:ascii="宋体" w:hAnsi="宋体" w:eastAsia="宋体"/>
          <w:color w:val="000000" w:themeColor="text1"/>
          <w14:textFill>
            <w14:solidFill>
              <w14:schemeClr w14:val="tx1"/>
            </w14:solidFill>
          </w14:textFill>
        </w:rPr>
        <w:t>，</w:t>
      </w:r>
      <w:r>
        <w:rPr>
          <w:rFonts w:hint="eastAsia" w:ascii="宋体" w:hAnsi="宋体" w:eastAsia="宋体"/>
          <w:color w:val="000000" w:themeColor="text1"/>
          <w14:textFill>
            <w14:solidFill>
              <w14:schemeClr w14:val="tx1"/>
            </w14:solidFill>
          </w14:textFill>
        </w:rPr>
        <w:t>一项</w:t>
      </w:r>
      <w:r>
        <w:rPr>
          <w:rFonts w:ascii="宋体" w:hAnsi="宋体" w:eastAsia="宋体"/>
          <w:color w:val="000000" w:themeColor="text1"/>
          <w14:textFill>
            <w14:solidFill>
              <w14:schemeClr w14:val="tx1"/>
            </w14:solidFill>
          </w14:textFill>
        </w:rPr>
        <w:t>涵盖150篇AKI预测模型的系统评价指出，现有</w:t>
      </w:r>
      <w:r>
        <w:rPr>
          <w:rFonts w:hint="eastAsia" w:ascii="宋体" w:hAnsi="宋体" w:eastAsia="宋体"/>
          <w:color w:val="000000" w:themeColor="text1"/>
          <w14:textFill>
            <w14:solidFill>
              <w14:schemeClr w14:val="tx1"/>
            </w14:solidFill>
          </w14:textFill>
        </w:rPr>
        <w:t>的</w:t>
      </w:r>
      <w:r>
        <w:rPr>
          <w:rFonts w:ascii="宋体" w:hAnsi="宋体" w:eastAsia="宋体"/>
          <w:color w:val="000000" w:themeColor="text1"/>
          <w14:textFill>
            <w14:solidFill>
              <w14:schemeClr w14:val="tx1"/>
            </w14:solidFill>
          </w14:textFill>
        </w:rPr>
        <w:t>模型在研究设计、队列构成、AKI定义及预测变量上差异巨大，导致高风险偏倚及异质性，使得模型的临床实用性受限</w:t>
      </w:r>
      <w:r>
        <w:rPr>
          <w:rFonts w:ascii="宋体" w:hAnsi="宋体" w:eastAsia="宋体"/>
          <w:color w:val="000000" w:themeColor="text1"/>
          <w:vertAlign w:val="superscript"/>
          <w14:textFill>
            <w14:solidFill>
              <w14:schemeClr w14:val="tx1"/>
            </w14:solidFill>
          </w14:textFill>
        </w:rPr>
        <w:fldChar w:fldCharType="begin"/>
      </w:r>
      <w:r>
        <w:rPr>
          <w:rFonts w:ascii="宋体" w:hAnsi="宋体" w:eastAsia="宋体"/>
          <w:color w:val="000000" w:themeColor="text1"/>
          <w:vertAlign w:val="superscript"/>
          <w14:textFill>
            <w14:solidFill>
              <w14:schemeClr w14:val="tx1"/>
            </w14:solidFill>
          </w14:textFill>
        </w:rPr>
        <w:instrText xml:space="preserve"> REF _Ref9047 \r \h </w:instrText>
      </w:r>
      <w:r>
        <w:rPr>
          <w:rFonts w:ascii="宋体" w:hAnsi="宋体" w:eastAsia="宋体"/>
          <w:color w:val="000000" w:themeColor="text1"/>
          <w:vertAlign w:val="superscript"/>
          <w14:textFill>
            <w14:solidFill>
              <w14:schemeClr w14:val="tx1"/>
            </w14:solidFill>
          </w14:textFill>
        </w:rPr>
        <w:fldChar w:fldCharType="separate"/>
      </w:r>
      <w:r>
        <w:rPr>
          <w:rFonts w:ascii="宋体" w:hAnsi="宋体" w:eastAsia="宋体"/>
          <w:color w:val="000000" w:themeColor="text1"/>
          <w:vertAlign w:val="superscript"/>
          <w14:textFill>
            <w14:solidFill>
              <w14:schemeClr w14:val="tx1"/>
            </w14:solidFill>
          </w14:textFill>
        </w:rPr>
        <w:t>[25]</w:t>
      </w:r>
      <w:r>
        <w:rPr>
          <w:rFonts w:ascii="宋体" w:hAnsi="宋体" w:eastAsia="宋体"/>
          <w:color w:val="000000" w:themeColor="text1"/>
          <w:vertAlign w:val="superscript"/>
          <w14:textFill>
            <w14:solidFill>
              <w14:schemeClr w14:val="tx1"/>
            </w14:solidFill>
          </w14:textFill>
        </w:rPr>
        <w:fldChar w:fldCharType="end"/>
      </w:r>
      <w:r>
        <w:rPr>
          <w:rFonts w:ascii="宋体" w:hAnsi="宋体" w:eastAsia="宋体"/>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更重要的是，单纯的临床数据</w:t>
      </w:r>
      <w:r>
        <w:rPr>
          <w:rFonts w:hint="eastAsia" w:ascii="宋体" w:hAnsi="宋体" w:eastAsia="宋体"/>
          <w:color w:val="000000" w:themeColor="text1"/>
          <w14:textFill>
            <w14:solidFill>
              <w14:schemeClr w14:val="tx1"/>
            </w14:solidFill>
          </w14:textFill>
        </w:rPr>
        <w:t>可能</w:t>
      </w:r>
      <w:r>
        <w:rPr>
          <w:rFonts w:ascii="宋体" w:hAnsi="宋体" w:eastAsia="宋体"/>
          <w:color w:val="000000" w:themeColor="text1"/>
          <w14:textFill>
            <w14:solidFill>
              <w14:schemeClr w14:val="tx1"/>
            </w14:solidFill>
          </w14:textFill>
        </w:rPr>
        <w:t>无法捕捉术前影像中潜在的微观解剖学或功能学</w:t>
      </w:r>
      <w:r>
        <w:rPr>
          <w:rFonts w:hint="eastAsia" w:ascii="宋体" w:hAnsi="宋体" w:eastAsia="宋体"/>
          <w:color w:val="000000" w:themeColor="text1"/>
          <w14:textFill>
            <w14:solidFill>
              <w14:schemeClr w14:val="tx1"/>
            </w14:solidFill>
          </w14:textFill>
        </w:rPr>
        <w:t>的</w:t>
      </w:r>
      <w:r>
        <w:rPr>
          <w:rFonts w:ascii="宋体" w:hAnsi="宋体" w:eastAsia="宋体"/>
          <w:color w:val="000000" w:themeColor="text1"/>
          <w14:textFill>
            <w14:solidFill>
              <w14:schemeClr w14:val="tx1"/>
            </w14:solidFill>
          </w14:textFill>
        </w:rPr>
        <w:t>改变，而这些信息往往在血清肌酐等生化指标出现异常前即已呈现可识别的征象。</w:t>
      </w:r>
    </w:p>
    <w:p w14:paraId="010E6100">
      <w:pPr>
        <w:ind w:firstLine="42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为克服上述不足，本研究采用多模态学习方法，将</w:t>
      </w:r>
      <w:r>
        <w:rPr>
          <w:rFonts w:ascii="宋体" w:hAnsi="宋体" w:eastAsia="宋体"/>
          <w:b/>
          <w:bCs/>
          <w:color w:val="000000" w:themeColor="text1"/>
          <w14:textFill>
            <w14:solidFill>
              <w14:schemeClr w14:val="tx1"/>
            </w14:solidFill>
          </w14:textFill>
        </w:rPr>
        <w:t>术前医学影像</w:t>
      </w:r>
      <w:r>
        <w:rPr>
          <w:rFonts w:ascii="宋体" w:hAnsi="宋体" w:eastAsia="宋体"/>
          <w:color w:val="000000" w:themeColor="text1"/>
          <w14:textFill>
            <w14:solidFill>
              <w14:schemeClr w14:val="tx1"/>
            </w14:solidFill>
          </w14:textFill>
        </w:rPr>
        <w:t>与</w:t>
      </w:r>
      <w:r>
        <w:rPr>
          <w:rStyle w:val="14"/>
          <w:rFonts w:ascii="宋体" w:hAnsi="宋体" w:eastAsia="宋体"/>
          <w:color w:val="000000" w:themeColor="text1"/>
          <w14:textFill>
            <w14:solidFill>
              <w14:schemeClr w14:val="tx1"/>
            </w14:solidFill>
          </w14:textFill>
        </w:rPr>
        <w:t>术前</w:t>
      </w:r>
      <w:r>
        <w:rPr>
          <w:rFonts w:ascii="宋体" w:hAnsi="宋体" w:eastAsia="宋体"/>
          <w:b/>
          <w:bCs/>
          <w:color w:val="000000" w:themeColor="text1"/>
          <w14:textFill>
            <w14:solidFill>
              <w14:schemeClr w14:val="tx1"/>
            </w14:solidFill>
          </w14:textFill>
        </w:rPr>
        <w:t>临床指标</w:t>
      </w:r>
      <w:r>
        <w:rPr>
          <w:rFonts w:ascii="宋体" w:hAnsi="宋体" w:eastAsia="宋体"/>
          <w:color w:val="000000" w:themeColor="text1"/>
          <w14:textFill>
            <w14:solidFill>
              <w14:schemeClr w14:val="tx1"/>
            </w14:solidFill>
          </w14:textFill>
        </w:rPr>
        <w:t>两类互补性数据源进行融合。</w:t>
      </w:r>
      <w:r>
        <w:rPr>
          <w:rFonts w:ascii="宋体" w:hAnsi="宋体" w:eastAsia="宋体"/>
          <w:color w:val="000000" w:themeColor="text1"/>
          <w14:textFill>
            <w14:solidFill>
              <w14:schemeClr w14:val="tx1"/>
            </w14:solidFill>
          </w14:textFill>
        </w:rPr>
        <w:t>多模态学习（</w:t>
      </w:r>
      <w:r>
        <w:rPr>
          <w:rFonts w:hint="default" w:ascii="Times New Roman" w:hAnsi="Times New Roman" w:eastAsia="宋体" w:cs="Times New Roman"/>
          <w:color w:val="000000" w:themeColor="text1"/>
          <w14:textFill>
            <w14:solidFill>
              <w14:schemeClr w14:val="tx1"/>
            </w14:solidFill>
          </w14:textFill>
        </w:rPr>
        <w:t>Multimodal Learning）</w:t>
      </w:r>
      <w:r>
        <w:rPr>
          <w:rFonts w:ascii="宋体" w:hAnsi="宋体" w:eastAsia="宋体"/>
          <w:color w:val="000000" w:themeColor="text1"/>
          <w14:textFill>
            <w14:solidFill>
              <w14:schemeClr w14:val="tx1"/>
            </w14:solidFill>
          </w14:textFill>
        </w:rPr>
        <w:t>是指通过整合来自不同传感器或数据源（如图像、文本、表格数据等）的异构信息，利用各模态间的互补性提升模型性能的机器学习范式</w:t>
      </w:r>
      <w:r>
        <w:rPr>
          <w:rFonts w:hint="default" w:ascii="宋体" w:hAnsi="宋体" w:eastAsia="宋体"/>
          <w:color w:val="000000" w:themeColor="text1"/>
          <w:vertAlign w:val="superscript"/>
          <w:lang w:val="en-US"/>
          <w14:textFill>
            <w14:solidFill>
              <w14:schemeClr w14:val="tx1"/>
            </w14:solidFill>
          </w14:textFill>
        </w:rPr>
        <w:fldChar w:fldCharType="begin"/>
      </w:r>
      <w:r>
        <w:rPr>
          <w:rFonts w:hint="default" w:ascii="宋体" w:hAnsi="宋体" w:eastAsia="宋体"/>
          <w:color w:val="000000" w:themeColor="text1"/>
          <w:vertAlign w:val="superscript"/>
          <w:lang w:val="en-US"/>
          <w14:textFill>
            <w14:solidFill>
              <w14:schemeClr w14:val="tx1"/>
            </w14:solidFill>
          </w14:textFill>
        </w:rPr>
        <w:instrText xml:space="preserve"> REF _Ref12598 \r \h </w:instrText>
      </w:r>
      <w:r>
        <w:rPr>
          <w:rFonts w:hint="default" w:ascii="宋体" w:hAnsi="宋体" w:eastAsia="宋体"/>
          <w:color w:val="000000" w:themeColor="text1"/>
          <w:vertAlign w:val="superscript"/>
          <w:lang w:val="en-US"/>
          <w14:textFill>
            <w14:solidFill>
              <w14:schemeClr w14:val="tx1"/>
            </w14:solidFill>
          </w14:textFill>
        </w:rPr>
        <w:fldChar w:fldCharType="separate"/>
      </w:r>
      <w:r>
        <w:rPr>
          <w:rFonts w:hint="default" w:ascii="宋体" w:hAnsi="宋体" w:eastAsia="宋体"/>
          <w:color w:val="000000" w:themeColor="text1"/>
          <w:vertAlign w:val="superscript"/>
          <w:lang w:val="en-US"/>
          <w14:textFill>
            <w14:solidFill>
              <w14:schemeClr w14:val="tx1"/>
            </w14:solidFill>
          </w14:textFill>
        </w:rPr>
        <w:t>[26]</w:t>
      </w:r>
      <w:r>
        <w:rPr>
          <w:rFonts w:hint="default" w:ascii="宋体" w:hAnsi="宋体" w:eastAsia="宋体"/>
          <w:color w:val="000000" w:themeColor="text1"/>
          <w:vertAlign w:val="superscript"/>
          <w:lang w:val="en-US"/>
          <w14:textFill>
            <w14:solidFill>
              <w14:schemeClr w14:val="tx1"/>
            </w14:solidFill>
          </w14:textFill>
        </w:rPr>
        <w:fldChar w:fldCharType="end"/>
      </w:r>
      <w:r>
        <w:rPr>
          <w:rFonts w:ascii="宋体" w:hAnsi="宋体" w:eastAsia="宋体"/>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在常规纳入术前临床变量</w:t>
      </w:r>
      <w:r>
        <w:rPr>
          <w:rFonts w:hint="eastAsia" w:ascii="宋体" w:hAnsi="宋体" w:eastAsia="宋体"/>
          <w:color w:val="000000" w:themeColor="text1"/>
          <w:lang w:val="en-US" w:eastAsia="zh-CN"/>
          <w14:textFill>
            <w14:solidFill>
              <w14:schemeClr w14:val="tx1"/>
            </w14:solidFill>
          </w14:textFill>
        </w:rPr>
        <w:t>的</w:t>
      </w:r>
      <w:r>
        <w:rPr>
          <w:rFonts w:ascii="宋体" w:hAnsi="宋体" w:eastAsia="宋体"/>
          <w:color w:val="000000" w:themeColor="text1"/>
          <w14:textFill>
            <w14:solidFill>
              <w14:schemeClr w14:val="tx1"/>
            </w14:solidFill>
          </w14:textFill>
        </w:rPr>
        <w:t>基础上，本研究特别引入</w:t>
      </w:r>
      <w:r>
        <w:rPr>
          <w:rFonts w:hint="eastAsia" w:ascii="宋体" w:hAnsi="宋体" w:eastAsia="宋体"/>
          <w:color w:val="000000" w:themeColor="text1"/>
          <w:lang w:val="en-US" w:eastAsia="zh-CN"/>
          <w14:textFill>
            <w14:solidFill>
              <w14:schemeClr w14:val="tx1"/>
            </w14:solidFill>
          </w14:textFill>
        </w:rPr>
        <w:t>了</w:t>
      </w:r>
      <w:r>
        <w:rPr>
          <w:rFonts w:ascii="宋体" w:hAnsi="宋体" w:eastAsia="宋体"/>
          <w:color w:val="000000" w:themeColor="text1"/>
          <w14:textFill>
            <w14:solidFill>
              <w14:schemeClr w14:val="tx1"/>
            </w14:solidFill>
          </w14:textFill>
        </w:rPr>
        <w:t>基于影像学判读的</w:t>
      </w:r>
      <w:r>
        <w:rPr>
          <w:rFonts w:ascii="宋体" w:hAnsi="宋体" w:eastAsia="宋体"/>
          <w:b/>
          <w:bCs/>
          <w:color w:val="000000" w:themeColor="text1"/>
          <w14:textFill>
            <w14:solidFill>
              <w14:schemeClr w14:val="tx1"/>
            </w14:solidFill>
          </w14:textFill>
        </w:rPr>
        <w:t>“是否独肾”解剖学参数</w:t>
      </w:r>
      <w:r>
        <w:rPr>
          <w:rFonts w:ascii="宋体" w:hAnsi="宋体" w:eastAsia="宋体"/>
          <w:color w:val="000000" w:themeColor="text1"/>
          <w14:textFill>
            <w14:solidFill>
              <w14:schemeClr w14:val="tx1"/>
            </w14:solidFill>
          </w14:textFill>
        </w:rPr>
        <w:t>，并将其量化后与其他临床指标一同输入模型。</w:t>
      </w:r>
    </w:p>
    <w:p w14:paraId="53F2B474">
      <w:pPr>
        <w:ind w:firstLine="42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eastAsia="zh-CN"/>
          <w14:textFill>
            <w14:solidFill>
              <w14:schemeClr w14:val="tx1"/>
            </w14:solidFill>
          </w14:textFill>
        </w:rPr>
        <w:t>“是否独肾”</w:t>
      </w:r>
      <w:r>
        <w:rPr>
          <w:rFonts w:hint="eastAsia" w:ascii="宋体" w:hAnsi="宋体" w:eastAsia="宋体" w:cs="宋体"/>
          <w:color w:val="000000" w:themeColor="text1"/>
          <w:sz w:val="24"/>
          <w:szCs w:val="24"/>
          <w:lang w:eastAsia="zh-CN"/>
          <w14:textFill>
            <w14:solidFill>
              <w14:schemeClr w14:val="tx1"/>
            </w14:solidFill>
          </w14:textFill>
        </w:rPr>
        <w:t>作为一项影像学衍生特征具有重要的临床价值。一项回顾性研究表明，先天性或手术获得性孤立肾患者在接受经皮造影等潜在肾损伤操作时，发生AKI的风险明显增加</w:t>
      </w:r>
      <w:r>
        <w:rPr>
          <w:rFonts w:hint="eastAsia" w:ascii="宋体" w:hAnsi="宋体" w:eastAsia="宋体" w:cs="宋体"/>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lang w:eastAsia="zh-CN"/>
          <w14:textFill>
            <w14:solidFill>
              <w14:schemeClr w14:val="tx1"/>
            </w14:solidFill>
          </w14:textFill>
        </w:rPr>
        <w:t>Mayo</w:t>
      </w:r>
      <w:r>
        <w:rPr>
          <w:rFonts w:hint="eastAsia" w:ascii="宋体" w:hAnsi="宋体" w:eastAsia="宋体" w:cs="宋体"/>
          <w:color w:val="000000" w:themeColor="text1"/>
          <w:sz w:val="24"/>
          <w:szCs w:val="24"/>
          <w:lang w:eastAsia="zh-CN"/>
          <w14:textFill>
            <w14:solidFill>
              <w14:schemeClr w14:val="tx1"/>
            </w14:solidFill>
          </w14:textFill>
        </w:rPr>
        <w:t>等人在对3,456例接受造影检查的患者中发现，孤立肾组发生AKI的比值比（OR）为1.9</w:t>
      </w:r>
      <w:r>
        <w:rPr>
          <w:rFonts w:hint="default" w:ascii="Times New Roman" w:hAnsi="Times New Roman" w:eastAsia="宋体" w:cs="Times New Roman"/>
          <w:color w:val="000000" w:themeColor="text1"/>
          <w:sz w:val="24"/>
          <w:szCs w:val="24"/>
          <w:lang w:eastAsia="zh-CN"/>
          <w14:textFill>
            <w14:solidFill>
              <w14:schemeClr w14:val="tx1"/>
            </w14:solidFill>
          </w14:textFill>
        </w:rPr>
        <w:t>（95% CI 1.3–2.8）</w:t>
      </w:r>
      <w:r>
        <w:rPr>
          <w:rFonts w:hint="eastAsia" w:ascii="宋体" w:hAnsi="宋体" w:eastAsia="宋体" w:cs="宋体"/>
          <w:color w:val="000000" w:themeColor="text1"/>
          <w:sz w:val="24"/>
          <w:szCs w:val="24"/>
          <w:lang w:eastAsia="zh-CN"/>
          <w14:textFill>
            <w14:solidFill>
              <w14:schemeClr w14:val="tx1"/>
            </w14:solidFill>
          </w14:textFill>
        </w:rPr>
        <w:t>，较双肾组显著升高</w: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begin"/>
      </w:r>
      <w:r>
        <w:rPr>
          <w:rFonts w:hint="eastAsia" w:ascii="宋体" w:hAnsi="宋体" w:eastAsia="宋体" w:cs="宋体"/>
          <w:color w:val="000000" w:themeColor="text1"/>
          <w:sz w:val="24"/>
          <w:szCs w:val="24"/>
          <w:vertAlign w:val="superscript"/>
          <w:lang w:eastAsia="zh-CN"/>
          <w14:textFill>
            <w14:solidFill>
              <w14:schemeClr w14:val="tx1"/>
            </w14:solidFill>
          </w14:textFill>
        </w:rPr>
        <w:instrText xml:space="preserve"> REF _Ref19113 \r \h </w:instrTex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separate"/>
      </w:r>
      <w:r>
        <w:rPr>
          <w:rFonts w:hint="eastAsia" w:ascii="宋体" w:hAnsi="宋体" w:eastAsia="宋体" w:cs="宋体"/>
          <w:color w:val="000000" w:themeColor="text1"/>
          <w:sz w:val="24"/>
          <w:szCs w:val="24"/>
          <w:vertAlign w:val="superscript"/>
          <w:lang w:eastAsia="zh-CN"/>
          <w14:textFill>
            <w14:solidFill>
              <w14:schemeClr w14:val="tx1"/>
            </w14:solidFill>
          </w14:textFill>
        </w:rPr>
        <w:t>[27]</w: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end"/>
      </w:r>
      <w:r>
        <w:rPr>
          <w:rFonts w:hint="eastAsia" w:ascii="宋体" w:hAnsi="宋体" w:eastAsia="宋体" w:cs="宋体"/>
          <w:color w:val="000000" w:themeColor="text1"/>
          <w:sz w:val="24"/>
          <w:szCs w:val="24"/>
          <w:lang w:eastAsia="zh-CN"/>
          <w14:textFill>
            <w14:solidFill>
              <w14:schemeClr w14:val="tx1"/>
            </w14:solidFill>
          </w14:textFill>
        </w:rPr>
        <w:t>。此外，Wang等对786例肾肿瘤患者术后肾功能变化的队列研究显示，术前已有单侧肾切除史的患者术后AKI发生率达24.7%，显著高于同期双肾患者的12.5%（</w:t>
      </w:r>
      <w:r>
        <w:rPr>
          <w:rFonts w:hint="eastAsia" w:ascii="宋体" w:hAnsi="宋体" w:eastAsia="宋体" w:cs="宋体"/>
          <w:b/>
          <w:bCs/>
          <w:color w:val="000000" w:themeColor="text1"/>
          <w:sz w:val="24"/>
          <w:szCs w:val="24"/>
          <w:lang w:eastAsia="zh-CN"/>
          <w14:textFill>
            <w14:solidFill>
              <w14:schemeClr w14:val="tx1"/>
            </w14:solidFill>
          </w14:textFill>
        </w:rPr>
        <w:t>P</w:t>
      </w:r>
      <m:oMath>
        <m:r>
          <m:rPr>
            <m:sty m:val="b"/>
          </m:rPr>
          <w:rPr>
            <w:rFonts w:hint="default" w:ascii="Cambria Math" w:hAnsi="宋体" w:eastAsia="宋体" w:cs="宋体"/>
            <w:color w:val="000000" w:themeColor="text1"/>
            <w:sz w:val="24"/>
            <w:szCs w:val="24"/>
            <w:lang w:val="en-US" w:eastAsia="zh-CN"/>
            <w14:textFill>
              <w14:solidFill>
                <w14:schemeClr w14:val="tx1"/>
              </w14:solidFill>
            </w14:textFill>
          </w:rPr>
          <m:t xml:space="preserve"> </m:t>
        </m:r>
        <m:r>
          <m:rPr>
            <m:sty m:val="b"/>
          </m:rPr>
          <w:rPr>
            <w:rFonts w:ascii="Cambria Math" w:hAnsi="Cambria Math" w:cs="宋体"/>
            <w:color w:val="000000" w:themeColor="text1"/>
            <w:sz w:val="24"/>
            <w:szCs w:val="24"/>
            <w14:textFill>
              <w14:solidFill>
                <w14:schemeClr w14:val="tx1"/>
              </w14:solidFill>
            </w14:textFill>
          </w:rPr>
          <m:t>&lt;</m:t>
        </m:r>
      </m:oMath>
      <w:r>
        <w:rPr>
          <w:rFonts w:hint="eastAsia" w:hAnsi="Cambria Math" w:cs="宋体"/>
          <w:b/>
          <w:bCs/>
          <w:i w:val="0"/>
          <w:color w:val="000000" w:themeColor="text1"/>
          <w:sz w:val="24"/>
          <w:szCs w:val="24"/>
          <w:lang w:val="en-US" w:eastAsia="zh-CN"/>
          <w14:textFill>
            <w14:solidFill>
              <w14:schemeClr w14:val="tx1"/>
            </w14:solidFill>
          </w14:textFill>
        </w:rPr>
        <w:t xml:space="preserve"> </w:t>
      </w:r>
      <w:r>
        <w:rPr>
          <w:rFonts w:hint="eastAsia" w:ascii="宋体" w:hAnsi="宋体" w:eastAsia="宋体" w:cs="宋体"/>
          <w:b/>
          <w:bCs/>
          <w:color w:val="000000" w:themeColor="text1"/>
          <w:sz w:val="24"/>
          <w:szCs w:val="24"/>
          <w:lang w:eastAsia="zh-CN"/>
          <w14:textFill>
            <w14:solidFill>
              <w14:schemeClr w14:val="tx1"/>
            </w14:solidFill>
          </w14:textFill>
        </w:rPr>
        <w:t>0.01</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begin"/>
      </w:r>
      <w:r>
        <w:rPr>
          <w:rFonts w:hint="eastAsia" w:ascii="宋体" w:hAnsi="宋体" w:eastAsia="宋体" w:cs="宋体"/>
          <w:color w:val="000000" w:themeColor="text1"/>
          <w:sz w:val="24"/>
          <w:szCs w:val="24"/>
          <w:vertAlign w:val="superscript"/>
          <w:lang w:eastAsia="zh-CN"/>
          <w14:textFill>
            <w14:solidFill>
              <w14:schemeClr w14:val="tx1"/>
            </w14:solidFill>
          </w14:textFill>
        </w:rPr>
        <w:instrText xml:space="preserve"> REF _Ref19162 \r \h </w:instrTex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separate"/>
      </w:r>
      <w:r>
        <w:rPr>
          <w:rFonts w:hint="eastAsia" w:ascii="宋体" w:hAnsi="宋体" w:eastAsia="宋体" w:cs="宋体"/>
          <w:color w:val="000000" w:themeColor="text1"/>
          <w:sz w:val="24"/>
          <w:szCs w:val="24"/>
          <w:vertAlign w:val="superscript"/>
          <w:lang w:eastAsia="zh-CN"/>
          <w14:textFill>
            <w14:solidFill>
              <w14:schemeClr w14:val="tx1"/>
            </w14:solidFill>
          </w14:textFill>
        </w:rPr>
        <w:t>[28]</w: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end"/>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eastAsia="zh-CN"/>
          <w14:textFill>
            <w14:solidFill>
              <w14:schemeClr w14:val="tx1"/>
            </w14:solidFill>
          </w14:textFill>
        </w:rPr>
        <w:t>这些</w:t>
      </w:r>
      <w:r>
        <w:rPr>
          <w:rFonts w:hint="eastAsia" w:ascii="宋体" w:hAnsi="宋体" w:eastAsia="宋体" w:cs="宋体"/>
          <w:color w:val="000000" w:themeColor="text1"/>
          <w:sz w:val="24"/>
          <w:szCs w:val="24"/>
          <w:lang w:val="en-US" w:eastAsia="zh-CN"/>
          <w14:textFill>
            <w14:solidFill>
              <w14:schemeClr w14:val="tx1"/>
            </w14:solidFill>
          </w14:textFill>
        </w:rPr>
        <w:t>研究</w:t>
      </w:r>
      <w:r>
        <w:rPr>
          <w:rFonts w:hint="eastAsia" w:ascii="宋体" w:hAnsi="宋体" w:eastAsia="宋体" w:cs="宋体"/>
          <w:color w:val="000000" w:themeColor="text1"/>
          <w:sz w:val="24"/>
          <w:szCs w:val="24"/>
          <w:lang w:eastAsia="zh-CN"/>
          <w14:textFill>
            <w14:solidFill>
              <w14:schemeClr w14:val="tx1"/>
            </w14:solidFill>
          </w14:textFill>
        </w:rPr>
        <w:t>表明，“是否独肾”</w:t>
      </w:r>
      <w:r>
        <w:rPr>
          <w:rFonts w:hint="eastAsia" w:ascii="宋体" w:hAnsi="宋体" w:eastAsia="宋体" w:cs="宋体"/>
          <w:color w:val="000000" w:themeColor="text1"/>
          <w:sz w:val="24"/>
          <w:szCs w:val="24"/>
          <w:lang w:val="en-US" w:eastAsia="zh-CN"/>
          <w14:textFill>
            <w14:solidFill>
              <w14:schemeClr w14:val="tx1"/>
            </w14:solidFill>
          </w14:textFill>
        </w:rPr>
        <w:t>可以</w:t>
      </w:r>
      <w:r>
        <w:rPr>
          <w:rFonts w:hint="eastAsia" w:ascii="宋体" w:hAnsi="宋体" w:eastAsia="宋体" w:cs="宋体"/>
          <w:color w:val="000000" w:themeColor="text1"/>
          <w:sz w:val="24"/>
          <w:szCs w:val="24"/>
          <w:lang w:eastAsia="zh-CN"/>
          <w14:textFill>
            <w14:solidFill>
              <w14:schemeClr w14:val="tx1"/>
            </w14:solidFill>
          </w14:textFill>
        </w:rPr>
        <w:t>有效反映肾脏储备功能的个体差异，将其纳入术后AKI风险预测模型，有助于提高高危患者的识别准确性并指导术前个体化干预。</w:t>
      </w:r>
    </w:p>
    <w:p w14:paraId="1EB40F46">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最终，本</w:t>
      </w:r>
      <w:r>
        <w:rPr>
          <w:rFonts w:hint="eastAsia" w:ascii="宋体" w:hAnsi="宋体" w:eastAsia="宋体" w:cs="宋体"/>
          <w:color w:val="000000" w:themeColor="text1"/>
          <w:sz w:val="24"/>
          <w:szCs w:val="24"/>
          <w:lang w:eastAsia="zh-CN"/>
          <w14:textFill>
            <w14:solidFill>
              <w14:schemeClr w14:val="tx1"/>
            </w14:solidFill>
          </w14:textFill>
        </w:rPr>
        <w:t>研究采用了一种基于多模态融合的术后AKI风险预测方法，分别从医学影像与临床指标两个互补的数据模态出发进行特征编码。</w:t>
      </w:r>
      <w:r>
        <w:rPr>
          <w:rFonts w:hint="eastAsia" w:ascii="宋体" w:hAnsi="宋体" w:eastAsia="宋体" w:cs="宋体"/>
          <w:b/>
          <w:bCs/>
          <w:color w:val="000000" w:themeColor="text1"/>
          <w:sz w:val="24"/>
          <w:szCs w:val="24"/>
          <w:lang w:eastAsia="zh-CN"/>
          <w14:textFill>
            <w14:solidFill>
              <w14:schemeClr w14:val="tx1"/>
            </w14:solidFill>
          </w14:textFill>
        </w:rPr>
        <w:t>影像模态</w:t>
      </w:r>
      <w:r>
        <w:rPr>
          <w:rFonts w:hint="eastAsia" w:ascii="宋体" w:hAnsi="宋体" w:eastAsia="宋体" w:cs="宋体"/>
          <w:color w:val="000000" w:themeColor="text1"/>
          <w:sz w:val="24"/>
          <w:szCs w:val="24"/>
          <w:lang w:eastAsia="zh-CN"/>
          <w14:textFill>
            <w14:solidFill>
              <w14:schemeClr w14:val="tx1"/>
            </w14:solidFill>
          </w14:textFill>
        </w:rPr>
        <w:t>采用预训练的ResNet50网络自动提取术前影像的深度空间表征；</w:t>
      </w:r>
      <w:r>
        <w:rPr>
          <w:rFonts w:hint="eastAsia" w:ascii="宋体" w:hAnsi="宋体" w:eastAsia="宋体" w:cs="宋体"/>
          <w:b/>
          <w:bCs/>
          <w:color w:val="000000" w:themeColor="text1"/>
          <w:sz w:val="24"/>
          <w:szCs w:val="24"/>
          <w:lang w:eastAsia="zh-CN"/>
          <w14:textFill>
            <w14:solidFill>
              <w14:schemeClr w14:val="tx1"/>
            </w14:solidFill>
          </w14:textFill>
        </w:rPr>
        <w:t>临床模态</w:t>
      </w:r>
      <w:r>
        <w:rPr>
          <w:rFonts w:hint="eastAsia" w:ascii="宋体" w:hAnsi="宋体" w:eastAsia="宋体" w:cs="宋体"/>
          <w:color w:val="000000" w:themeColor="text1"/>
          <w:sz w:val="24"/>
          <w:szCs w:val="24"/>
          <w:lang w:eastAsia="zh-CN"/>
          <w14:textFill>
            <w14:solidFill>
              <w14:schemeClr w14:val="tx1"/>
            </w14:solidFill>
          </w14:textFill>
        </w:rPr>
        <w:t>结合国际指南定义，纳入了</w:t>
      </w:r>
      <w:r>
        <w:rPr>
          <w:rFonts w:hint="eastAsia" w:ascii="宋体" w:hAnsi="宋体" w:eastAsia="宋体" w:cs="宋体"/>
          <w:color w:val="000000" w:themeColor="text1"/>
          <w:sz w:val="24"/>
          <w:szCs w:val="24"/>
          <w:lang w:val="en-US" w:eastAsia="zh-CN"/>
          <w14:textFill>
            <w14:solidFill>
              <w14:schemeClr w14:val="tx1"/>
            </w14:solidFill>
          </w14:textFill>
        </w:rPr>
        <w:t>术前</w:t>
      </w:r>
      <w:r>
        <w:rPr>
          <w:rFonts w:hint="eastAsia" w:ascii="宋体" w:hAnsi="宋体" w:eastAsia="宋体" w:cs="宋体"/>
          <w:color w:val="000000" w:themeColor="text1"/>
          <w:sz w:val="24"/>
          <w:szCs w:val="24"/>
          <w:lang w:eastAsia="zh-CN"/>
          <w14:textFill>
            <w14:solidFill>
              <w14:schemeClr w14:val="tx1"/>
            </w14:solidFill>
          </w14:textFill>
        </w:rPr>
        <w:t>血糖、肌酐、乳酸、尿素氮等重要术前临床指标，同时还特别增加了由术前影像判读获得的“是否独肾”这一关键参数。随后，两种模态特征经过</w:t>
      </w:r>
      <w:r>
        <w:rPr>
          <w:rFonts w:hint="eastAsia" w:ascii="宋体" w:hAnsi="宋体" w:eastAsia="宋体" w:cs="宋体"/>
          <w:b/>
          <w:bCs/>
          <w:color w:val="000000" w:themeColor="text1"/>
          <w:sz w:val="24"/>
          <w:szCs w:val="24"/>
          <w:lang w:eastAsia="zh-CN"/>
          <w14:textFill>
            <w14:solidFill>
              <w14:schemeClr w14:val="tx1"/>
            </w14:solidFill>
          </w14:textFill>
        </w:rPr>
        <w:t>特征拼接</w:t>
      </w:r>
      <w:r>
        <w:rPr>
          <w:rFonts w:hint="eastAsia" w:ascii="宋体" w:hAnsi="宋体" w:eastAsia="宋体" w:cs="宋体"/>
          <w:color w:val="000000" w:themeColor="text1"/>
          <w:sz w:val="24"/>
          <w:szCs w:val="24"/>
          <w:lang w:eastAsia="zh-CN"/>
          <w14:textFill>
            <w14:solidFill>
              <w14:schemeClr w14:val="tx1"/>
            </w14:solidFill>
          </w14:textFill>
        </w:rPr>
        <w:t>与</w:t>
      </w:r>
      <w:r>
        <w:rPr>
          <w:rFonts w:hint="eastAsia" w:ascii="宋体" w:hAnsi="宋体" w:eastAsia="宋体" w:cs="宋体"/>
          <w:b/>
          <w:bCs/>
          <w:color w:val="000000" w:themeColor="text1"/>
          <w:sz w:val="24"/>
          <w:szCs w:val="24"/>
          <w:lang w:eastAsia="zh-CN"/>
          <w14:textFill>
            <w14:solidFill>
              <w14:schemeClr w14:val="tx1"/>
            </w14:solidFill>
          </w14:textFill>
        </w:rPr>
        <w:t>门控加权融合模块</w:t>
      </w:r>
      <w:r>
        <w:rPr>
          <w:rFonts w:hint="eastAsia" w:ascii="宋体" w:hAnsi="宋体" w:eastAsia="宋体" w:cs="宋体"/>
          <w:color w:val="000000" w:themeColor="text1"/>
          <w:sz w:val="24"/>
          <w:szCs w:val="24"/>
          <w:lang w:eastAsia="zh-CN"/>
          <w14:textFill>
            <w14:solidFill>
              <w14:schemeClr w14:val="tx1"/>
            </w14:solidFill>
          </w14:textFill>
        </w:rPr>
        <w:t>进行跨模态融合，形成统一的多模态特征表示，以捕捉更全面的患者解剖与生理状态信息。这种数据采集与融合策略不仅克服了单模态数据的局限性，也为术后</w:t>
      </w:r>
      <w:r>
        <w:rPr>
          <w:rFonts w:hint="default" w:ascii="Times New Roman" w:hAnsi="Times New Roman" w:eastAsia="宋体" w:cs="Times New Roman"/>
          <w:color w:val="000000" w:themeColor="text1"/>
          <w:sz w:val="24"/>
          <w:szCs w:val="24"/>
          <w:lang w:eastAsia="zh-CN"/>
          <w14:textFill>
            <w14:solidFill>
              <w14:schemeClr w14:val="tx1"/>
            </w14:solidFill>
          </w14:textFill>
        </w:rPr>
        <w:t>AKI</w:t>
      </w:r>
      <w:r>
        <w:rPr>
          <w:rFonts w:hint="eastAsia" w:ascii="宋体" w:hAnsi="宋体" w:eastAsia="宋体" w:cs="宋体"/>
          <w:color w:val="000000" w:themeColor="text1"/>
          <w:sz w:val="24"/>
          <w:szCs w:val="24"/>
          <w:lang w:eastAsia="zh-CN"/>
          <w14:textFill>
            <w14:solidFill>
              <w14:schemeClr w14:val="tx1"/>
            </w14:solidFill>
          </w14:textFill>
        </w:rPr>
        <w:t>的预测奠定了坚实的基础。</w:t>
      </w:r>
    </w:p>
    <w:p w14:paraId="59A0BA73">
      <w:pPr>
        <w:keepNext w:val="0"/>
        <w:keepLines w:val="0"/>
        <w:pageBreakBefore w:val="0"/>
        <w:widowControl w:val="0"/>
        <w:numPr>
          <w:ilvl w:val="2"/>
          <w:numId w:val="1"/>
        </w:numPr>
        <w:kinsoku/>
        <w:wordWrap/>
        <w:overflowPunct/>
        <w:topLinePunct w:val="0"/>
        <w:autoSpaceDE/>
        <w:autoSpaceDN/>
        <w:bidi w:val="0"/>
        <w:adjustRightInd/>
        <w:snapToGrid/>
        <w:ind w:left="709" w:hanging="709"/>
        <w:textAlignment w:val="auto"/>
        <w:outlineLvl w:val="2"/>
        <w:rPr>
          <w:b/>
          <w:bCs/>
          <w:color w:val="000000" w:themeColor="text1"/>
          <w:sz w:val="30"/>
          <w:szCs w:val="30"/>
          <w14:textFill>
            <w14:solidFill>
              <w14:schemeClr w14:val="tx1"/>
            </w14:solidFill>
          </w14:textFill>
        </w:rPr>
      </w:pPr>
      <w:bookmarkStart w:id="43" w:name="_Toc23652"/>
      <w:bookmarkStart w:id="44" w:name="_Toc29176"/>
      <w:bookmarkStart w:id="45" w:name="_Toc23236"/>
      <w:bookmarkStart w:id="46" w:name="_Toc30943"/>
      <w:bookmarkStart w:id="47" w:name="_Toc16524"/>
      <w:r>
        <w:rPr>
          <w:rFonts w:hint="eastAsia"/>
          <w:b/>
          <w:bCs/>
          <w:color w:val="000000" w:themeColor="text1"/>
          <w:sz w:val="30"/>
          <w:szCs w:val="30"/>
          <w14:textFill>
            <w14:solidFill>
              <w14:schemeClr w14:val="tx1"/>
            </w14:solidFill>
          </w14:textFill>
        </w:rPr>
        <w:t>临床特征选择与定义</w:t>
      </w:r>
      <w:bookmarkEnd w:id="43"/>
      <w:bookmarkEnd w:id="44"/>
      <w:bookmarkEnd w:id="45"/>
      <w:bookmarkEnd w:id="46"/>
      <w:bookmarkEnd w:id="47"/>
    </w:p>
    <w:p w14:paraId="5E22DB8F">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本研究中，术后急性肾损伤（AKI）的预测模型聚焦于接受</w:t>
      </w:r>
      <w:r>
        <w:rPr>
          <w:b/>
          <w:bCs/>
          <w:color w:val="000000" w:themeColor="text1"/>
          <w14:textFill>
            <w14:solidFill>
              <w14:schemeClr w14:val="tx1"/>
            </w14:solidFill>
          </w14:textFill>
        </w:rPr>
        <w:t>肾脏腹腔镜手术</w:t>
      </w:r>
      <w:r>
        <w:rPr>
          <w:color w:val="000000" w:themeColor="text1"/>
          <w14:textFill>
            <w14:solidFill>
              <w14:schemeClr w14:val="tx1"/>
            </w14:solidFill>
          </w14:textFill>
        </w:rPr>
        <w:t>的患者，选择了多个术前临床指标。这些指标能全面反映患者的肾功能、代谢紊乱和血流动力学状态，并为术后AKI风险的预测提供重要信息。</w:t>
      </w:r>
    </w:p>
    <w:p w14:paraId="29DD9B04">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首先，</w:t>
      </w:r>
      <w:r>
        <w:rPr>
          <w:rFonts w:hint="eastAsia"/>
          <w:b/>
          <w:bCs/>
          <w:color w:val="000000" w:themeColor="text1"/>
          <w14:textFill>
            <w14:solidFill>
              <w14:schemeClr w14:val="tx1"/>
            </w14:solidFill>
          </w14:textFill>
        </w:rPr>
        <w:t>年龄、血清肌酐、尿素氮、血红蛋白</w:t>
      </w:r>
      <w:r>
        <w:rPr>
          <w:rFonts w:hint="eastAsia"/>
          <w:color w:val="000000" w:themeColor="text1"/>
          <w14:textFill>
            <w14:solidFill>
              <w14:schemeClr w14:val="tx1"/>
            </w14:solidFill>
          </w14:textFill>
        </w:rPr>
        <w:t>等常规术前指标被纳入模型输入，它们可以较为全面地反映患者的基础肾功能和血液状态。年龄较大的患者因肾功能退化更易发生急性肾损伤（AKI）；血清肌酐和尿素氮的升高通常提示肾功能受损，增加AKI的风险；血红蛋白水平则反映了患者的贫血情况，贫血可能导致术后肾脏缺血，从而加剧AKI的发生。</w:t>
      </w:r>
    </w:p>
    <w:p w14:paraId="58EF7991">
      <w:pPr>
        <w:ind w:firstLine="420"/>
        <w:rPr>
          <w:rFonts w:hint="eastAsia" w:ascii="宋体" w:hAnsi="宋体" w:eastAsia="宋体"/>
          <w:b/>
          <w:bCs/>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为进一步提升模型对术前代谢紊乱和组织灌注变化的敏感性，本研究创新性地引入了术前</w:t>
      </w:r>
      <w:r>
        <w:rPr>
          <w:rStyle w:val="14"/>
          <w:rFonts w:ascii="宋体" w:hAnsi="宋体" w:eastAsia="宋体"/>
          <w:color w:val="000000" w:themeColor="text1"/>
          <w14:textFill>
            <w14:solidFill>
              <w14:schemeClr w14:val="tx1"/>
            </w14:solidFill>
          </w14:textFill>
        </w:rPr>
        <w:t>血糖</w:t>
      </w:r>
      <w:r>
        <w:rPr>
          <w:rFonts w:ascii="宋体" w:hAnsi="宋体" w:eastAsia="宋体"/>
          <w:color w:val="000000" w:themeColor="text1"/>
          <w14:textFill>
            <w14:solidFill>
              <w14:schemeClr w14:val="tx1"/>
            </w14:solidFill>
          </w14:textFill>
        </w:rPr>
        <w:t>和</w:t>
      </w:r>
      <w:r>
        <w:rPr>
          <w:rStyle w:val="14"/>
          <w:rFonts w:ascii="宋体" w:hAnsi="宋体" w:eastAsia="宋体"/>
          <w:color w:val="000000" w:themeColor="text1"/>
          <w14:textFill>
            <w14:solidFill>
              <w14:schemeClr w14:val="tx1"/>
            </w14:solidFill>
          </w14:textFill>
        </w:rPr>
        <w:t>乳酸</w:t>
      </w:r>
      <w:r>
        <w:rPr>
          <w:rFonts w:ascii="宋体" w:hAnsi="宋体" w:eastAsia="宋体"/>
          <w:color w:val="000000" w:themeColor="text1"/>
          <w14:textFill>
            <w14:solidFill>
              <w14:schemeClr w14:val="tx1"/>
            </w14:solidFill>
          </w14:textFill>
        </w:rPr>
        <w:t>两项指标：</w:t>
      </w:r>
      <w:r>
        <w:rPr>
          <w:rFonts w:ascii="宋体" w:hAnsi="宋体" w:eastAsia="宋体"/>
          <w:color w:val="000000" w:themeColor="text1"/>
          <w14:textFill>
            <w14:solidFill>
              <w14:schemeClr w14:val="tx1"/>
            </w14:solidFill>
          </w14:textFill>
        </w:rPr>
        <w:t>术前</w:t>
      </w:r>
      <w:r>
        <w:rPr>
          <w:rStyle w:val="14"/>
          <w:rFonts w:ascii="宋体" w:hAnsi="宋体" w:eastAsia="宋体"/>
          <w:b w:val="0"/>
          <w:color w:val="000000" w:themeColor="text1"/>
          <w14:textFill>
            <w14:solidFill>
              <w14:schemeClr w14:val="tx1"/>
            </w14:solidFill>
          </w14:textFill>
        </w:rPr>
        <w:t>血糖</w:t>
      </w:r>
      <w:r>
        <w:rPr>
          <w:rFonts w:ascii="宋体" w:hAnsi="宋体" w:eastAsia="宋体"/>
          <w:color w:val="000000" w:themeColor="text1"/>
          <w14:textFill>
            <w14:solidFill>
              <w14:schemeClr w14:val="tx1"/>
            </w14:solidFill>
          </w14:textFill>
        </w:rPr>
        <w:t>水平已被证明与AKI风险密切相关，在非心脏手术患者中，每升高1 mmol/L，AKI风险增加约15%</w:t>
      </w:r>
      <w:r>
        <w:rPr>
          <w:rFonts w:ascii="宋体" w:hAnsi="宋体" w:eastAsia="宋体"/>
          <w:color w:val="000000" w:themeColor="text1"/>
          <w:vertAlign w:val="superscript"/>
          <w14:textFill>
            <w14:solidFill>
              <w14:schemeClr w14:val="tx1"/>
            </w14:solidFill>
          </w14:textFill>
        </w:rPr>
        <w:fldChar w:fldCharType="begin"/>
      </w:r>
      <w:r>
        <w:rPr>
          <w:rFonts w:ascii="宋体" w:hAnsi="宋体" w:eastAsia="宋体"/>
          <w:color w:val="000000" w:themeColor="text1"/>
          <w:vertAlign w:val="superscript"/>
          <w14:textFill>
            <w14:solidFill>
              <w14:schemeClr w14:val="tx1"/>
            </w14:solidFill>
          </w14:textFill>
        </w:rPr>
        <w:instrText xml:space="preserve"> REF _Ref9122 \r \h </w:instrText>
      </w:r>
      <w:r>
        <w:rPr>
          <w:rFonts w:ascii="宋体" w:hAnsi="宋体" w:eastAsia="宋体"/>
          <w:color w:val="000000" w:themeColor="text1"/>
          <w:vertAlign w:val="superscript"/>
          <w14:textFill>
            <w14:solidFill>
              <w14:schemeClr w14:val="tx1"/>
            </w14:solidFill>
          </w14:textFill>
        </w:rPr>
        <w:fldChar w:fldCharType="separate"/>
      </w:r>
      <w:r>
        <w:rPr>
          <w:rFonts w:ascii="宋体" w:hAnsi="宋体" w:eastAsia="宋体"/>
          <w:color w:val="000000" w:themeColor="text1"/>
          <w:vertAlign w:val="superscript"/>
          <w14:textFill>
            <w14:solidFill>
              <w14:schemeClr w14:val="tx1"/>
            </w14:solidFill>
          </w14:textFill>
        </w:rPr>
        <w:t>[29]</w:t>
      </w:r>
      <w:r>
        <w:rPr>
          <w:rFonts w:ascii="宋体" w:hAnsi="宋体" w:eastAsia="宋体"/>
          <w:color w:val="000000" w:themeColor="text1"/>
          <w:vertAlign w:val="superscript"/>
          <w14:textFill>
            <w14:solidFill>
              <w14:schemeClr w14:val="tx1"/>
            </w14:solidFill>
          </w14:textFill>
        </w:rPr>
        <w:fldChar w:fldCharType="end"/>
      </w:r>
      <w:r>
        <w:rPr>
          <w:rFonts w:ascii="宋体" w:hAnsi="宋体" w:eastAsia="宋体"/>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术前</w:t>
      </w:r>
      <w:r>
        <w:rPr>
          <w:rStyle w:val="14"/>
          <w:rFonts w:ascii="宋体" w:hAnsi="宋体" w:eastAsia="宋体"/>
          <w:b w:val="0"/>
          <w:color w:val="000000" w:themeColor="text1"/>
          <w14:textFill>
            <w14:solidFill>
              <w14:schemeClr w14:val="tx1"/>
            </w14:solidFill>
          </w14:textFill>
        </w:rPr>
        <w:t>乳酸</w:t>
      </w:r>
      <w:r>
        <w:rPr>
          <w:rFonts w:ascii="宋体" w:hAnsi="宋体" w:eastAsia="宋体"/>
          <w:color w:val="000000" w:themeColor="text1"/>
          <w14:textFill>
            <w14:solidFill>
              <w14:schemeClr w14:val="tx1"/>
            </w14:solidFill>
          </w14:textFill>
        </w:rPr>
        <w:t>水平亦与严重AKI的发生密切相关，</w:t>
      </w:r>
      <w:r>
        <w:rPr>
          <w:rFonts w:ascii="宋体" w:hAnsi="宋体" w:eastAsia="宋体"/>
          <w:color w:val="000000" w:themeColor="text1"/>
          <w14:textFill>
            <w14:solidFill>
              <w14:schemeClr w14:val="tx1"/>
            </w14:solidFill>
          </w14:textFill>
        </w:rPr>
        <w:t>研究显示术后12小时乳酸水平＞3.3 mmol/L时，重度AKI的风险显著上升</w:t>
      </w:r>
      <w:r>
        <w:rPr>
          <w:rFonts w:ascii="宋体" w:hAnsi="宋体" w:eastAsia="宋体"/>
          <w:color w:val="000000" w:themeColor="text1"/>
          <w:vertAlign w:val="superscript"/>
          <w14:textFill>
            <w14:solidFill>
              <w14:schemeClr w14:val="tx1"/>
            </w14:solidFill>
          </w14:textFill>
        </w:rPr>
        <w:fldChar w:fldCharType="begin"/>
      </w:r>
      <w:r>
        <w:rPr>
          <w:rFonts w:ascii="宋体" w:hAnsi="宋体" w:eastAsia="宋体"/>
          <w:color w:val="000000" w:themeColor="text1"/>
          <w:vertAlign w:val="superscript"/>
          <w14:textFill>
            <w14:solidFill>
              <w14:schemeClr w14:val="tx1"/>
            </w14:solidFill>
          </w14:textFill>
        </w:rPr>
        <w:instrText xml:space="preserve"> REF _Ref9158 \r \h </w:instrText>
      </w:r>
      <w:r>
        <w:rPr>
          <w:rFonts w:ascii="宋体" w:hAnsi="宋体" w:eastAsia="宋体"/>
          <w:color w:val="000000" w:themeColor="text1"/>
          <w:vertAlign w:val="superscript"/>
          <w14:textFill>
            <w14:solidFill>
              <w14:schemeClr w14:val="tx1"/>
            </w14:solidFill>
          </w14:textFill>
        </w:rPr>
        <w:fldChar w:fldCharType="separate"/>
      </w:r>
      <w:r>
        <w:rPr>
          <w:rFonts w:ascii="宋体" w:hAnsi="宋体" w:eastAsia="宋体"/>
          <w:color w:val="000000" w:themeColor="text1"/>
          <w:vertAlign w:val="superscript"/>
          <w14:textFill>
            <w14:solidFill>
              <w14:schemeClr w14:val="tx1"/>
            </w14:solidFill>
          </w14:textFill>
        </w:rPr>
        <w:t>[30]</w:t>
      </w:r>
      <w:r>
        <w:rPr>
          <w:rFonts w:ascii="宋体" w:hAnsi="宋体" w:eastAsia="宋体"/>
          <w:color w:val="000000" w:themeColor="text1"/>
          <w:vertAlign w:val="superscript"/>
          <w14:textFill>
            <w14:solidFill>
              <w14:schemeClr w14:val="tx1"/>
            </w14:solidFill>
          </w14:textFill>
        </w:rPr>
        <w:fldChar w:fldCharType="end"/>
      </w:r>
      <w:r>
        <w:rPr>
          <w:rFonts w:ascii="宋体" w:hAnsi="宋体" w:eastAsia="宋体"/>
          <w:color w:val="000000" w:themeColor="text1"/>
          <w14:textFill>
            <w14:solidFill>
              <w14:schemeClr w14:val="tx1"/>
            </w14:solidFill>
          </w14:textFill>
        </w:rPr>
        <w:t>。</w:t>
      </w:r>
    </w:p>
    <w:p w14:paraId="73EA9E64">
      <w:pPr>
        <w:ind w:firstLine="420"/>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同时，还引入了</w:t>
      </w:r>
      <w:r>
        <w:rPr>
          <w:rStyle w:val="14"/>
          <w:rFonts w:ascii="宋体" w:hAnsi="宋体" w:eastAsia="宋体"/>
          <w:color w:val="000000" w:themeColor="text1"/>
          <w14:textFill>
            <w14:solidFill>
              <w14:schemeClr w14:val="tx1"/>
            </w14:solidFill>
          </w14:textFill>
        </w:rPr>
        <w:t>高血压</w:t>
      </w:r>
      <w:r>
        <w:rPr>
          <w:rFonts w:ascii="宋体" w:hAnsi="宋体" w:eastAsia="宋体"/>
          <w:color w:val="000000" w:themeColor="text1"/>
          <w14:textFill>
            <w14:solidFill>
              <w14:schemeClr w14:val="tx1"/>
            </w14:solidFill>
          </w14:textFill>
        </w:rPr>
        <w:t>和</w:t>
      </w:r>
      <w:r>
        <w:rPr>
          <w:rStyle w:val="14"/>
          <w:rFonts w:ascii="宋体" w:hAnsi="宋体" w:eastAsia="宋体"/>
          <w:color w:val="000000" w:themeColor="text1"/>
          <w14:textFill>
            <w14:solidFill>
              <w14:schemeClr w14:val="tx1"/>
            </w14:solidFill>
          </w14:textFill>
        </w:rPr>
        <w:t>糖尿病</w:t>
      </w:r>
      <w:r>
        <w:rPr>
          <w:rFonts w:ascii="宋体" w:hAnsi="宋体" w:eastAsia="宋体"/>
          <w:color w:val="000000" w:themeColor="text1"/>
          <w14:textFill>
            <w14:solidFill>
              <w14:schemeClr w14:val="tx1"/>
            </w14:solidFill>
          </w14:textFill>
        </w:rPr>
        <w:t>这两个与肾功能密切相关的风险因素。</w:t>
      </w:r>
      <w:r>
        <w:rPr>
          <w:rStyle w:val="14"/>
          <w:rFonts w:ascii="宋体" w:hAnsi="宋体" w:eastAsia="宋体"/>
          <w:color w:val="000000" w:themeColor="text1"/>
          <w14:textFill>
            <w14:solidFill>
              <w14:schemeClr w14:val="tx1"/>
            </w14:solidFill>
          </w14:textFill>
        </w:rPr>
        <w:t>高血压</w:t>
      </w:r>
      <w:r>
        <w:rPr>
          <w:rFonts w:ascii="宋体" w:hAnsi="宋体" w:eastAsia="宋体"/>
          <w:color w:val="000000" w:themeColor="text1"/>
          <w14:textFill>
            <w14:solidFill>
              <w14:schemeClr w14:val="tx1"/>
            </w14:solidFill>
          </w14:textFill>
        </w:rPr>
        <w:t>被定义为收缩压≥140mmHg或舒张压≥90mmHg，已被广泛认可为慢性肾病的危险因素，术后高血压患者发生AKI的风险较高；</w:t>
      </w:r>
      <w:r>
        <w:rPr>
          <w:rStyle w:val="14"/>
          <w:rFonts w:ascii="宋体" w:hAnsi="宋体" w:eastAsia="宋体"/>
          <w:color w:val="000000" w:themeColor="text1"/>
          <w14:textFill>
            <w14:solidFill>
              <w14:schemeClr w14:val="tx1"/>
            </w14:solidFill>
          </w14:textFill>
        </w:rPr>
        <w:t>糖尿病</w:t>
      </w:r>
      <w:r>
        <w:rPr>
          <w:rFonts w:ascii="宋体" w:hAnsi="宋体" w:eastAsia="宋体"/>
          <w:color w:val="000000" w:themeColor="text1"/>
          <w14:textFill>
            <w14:solidFill>
              <w14:schemeClr w14:val="tx1"/>
            </w14:solidFill>
          </w14:textFill>
        </w:rPr>
        <w:t>通过影响血糖代谢，导致肾脏损害，其术后AKI发生率较高，尤其是在血糖控制不佳的患者中。</w:t>
      </w:r>
    </w:p>
    <w:p w14:paraId="697CA7D2">
      <w:pPr>
        <w:ind w:firstLine="420"/>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此外，</w:t>
      </w:r>
      <w:r>
        <w:rPr>
          <w:rStyle w:val="14"/>
          <w:rFonts w:ascii="宋体" w:hAnsi="宋体" w:eastAsia="宋体"/>
          <w:color w:val="000000" w:themeColor="text1"/>
          <w14:textFill>
            <w14:solidFill>
              <w14:schemeClr w14:val="tx1"/>
            </w14:solidFill>
          </w14:textFill>
        </w:rPr>
        <w:t>血尿素氮</w:t>
      </w:r>
      <w:r>
        <w:rPr>
          <w:rStyle w:val="14"/>
          <w:rFonts w:ascii="宋体" w:hAnsi="宋体" w:eastAsia="宋体"/>
          <w:b w:val="0"/>
          <w:bCs/>
          <w:color w:val="000000" w:themeColor="text1"/>
          <w14:textFill>
            <w14:solidFill>
              <w14:schemeClr w14:val="tx1"/>
            </w14:solidFill>
          </w14:textFill>
        </w:rPr>
        <w:t>和</w:t>
      </w:r>
      <w:r>
        <w:rPr>
          <w:rStyle w:val="14"/>
          <w:rFonts w:ascii="宋体" w:hAnsi="宋体" w:eastAsia="宋体"/>
          <w:color w:val="000000" w:themeColor="text1"/>
          <w14:textFill>
            <w14:solidFill>
              <w14:schemeClr w14:val="tx1"/>
            </w14:solidFill>
          </w14:textFill>
        </w:rPr>
        <w:t>红细胞比容</w:t>
      </w:r>
      <w:r>
        <w:rPr>
          <w:rStyle w:val="14"/>
          <w:rFonts w:ascii="宋体" w:hAnsi="宋体" w:eastAsia="宋体"/>
          <w:b w:val="0"/>
          <w:bCs/>
          <w:color w:val="000000" w:themeColor="text1"/>
          <w14:textFill>
            <w14:solidFill>
              <w14:schemeClr w14:val="tx1"/>
            </w14:solidFill>
          </w14:textFill>
        </w:rPr>
        <w:t>作为经典的肾功能与血液动力学指标，也被选入本模型：</w:t>
      </w:r>
      <w:r>
        <w:rPr>
          <w:rStyle w:val="14"/>
          <w:rFonts w:ascii="宋体" w:hAnsi="宋体" w:eastAsia="宋体"/>
          <w:b w:val="0"/>
          <w:bCs/>
          <w:color w:val="000000" w:themeColor="text1"/>
          <w14:textFill>
            <w14:solidFill>
              <w14:schemeClr w14:val="tx1"/>
            </w14:solidFill>
          </w14:textFill>
        </w:rPr>
        <w:t>BUN是肾小球滤过率的重要标志，与血清肌酐一起构成AKI诊疗的标准监测参数</w:t>
      </w:r>
      <w:r>
        <w:rPr>
          <w:rStyle w:val="14"/>
          <w:rFonts w:ascii="宋体" w:hAnsi="宋体" w:eastAsia="宋体"/>
          <w:b w:val="0"/>
          <w:bCs/>
          <w:color w:val="000000" w:themeColor="text1"/>
          <w:vertAlign w:val="superscript"/>
          <w14:textFill>
            <w14:solidFill>
              <w14:schemeClr w14:val="tx1"/>
            </w14:solidFill>
          </w14:textFill>
        </w:rPr>
        <w:fldChar w:fldCharType="begin"/>
      </w:r>
      <w:r>
        <w:rPr>
          <w:rStyle w:val="14"/>
          <w:rFonts w:ascii="宋体" w:hAnsi="宋体" w:eastAsia="宋体"/>
          <w:b w:val="0"/>
          <w:bCs/>
          <w:color w:val="000000" w:themeColor="text1"/>
          <w:vertAlign w:val="superscript"/>
          <w14:textFill>
            <w14:solidFill>
              <w14:schemeClr w14:val="tx1"/>
            </w14:solidFill>
          </w14:textFill>
        </w:rPr>
        <w:instrText xml:space="preserve"> REF _Ref9216 \r \h </w:instrText>
      </w:r>
      <w:r>
        <w:rPr>
          <w:rStyle w:val="14"/>
          <w:rFonts w:ascii="宋体" w:hAnsi="宋体" w:eastAsia="宋体"/>
          <w:b w:val="0"/>
          <w:bCs/>
          <w:color w:val="000000" w:themeColor="text1"/>
          <w:vertAlign w:val="superscript"/>
          <w14:textFill>
            <w14:solidFill>
              <w14:schemeClr w14:val="tx1"/>
            </w14:solidFill>
          </w14:textFill>
        </w:rPr>
        <w:fldChar w:fldCharType="separate"/>
      </w:r>
      <w:r>
        <w:rPr>
          <w:rStyle w:val="14"/>
          <w:rFonts w:ascii="宋体" w:hAnsi="宋体" w:eastAsia="宋体"/>
          <w:b w:val="0"/>
          <w:bCs/>
          <w:color w:val="000000" w:themeColor="text1"/>
          <w:vertAlign w:val="superscript"/>
          <w14:textFill>
            <w14:solidFill>
              <w14:schemeClr w14:val="tx1"/>
            </w14:solidFill>
          </w14:textFill>
        </w:rPr>
        <w:t>[31]</w:t>
      </w:r>
      <w:r>
        <w:rPr>
          <w:rStyle w:val="14"/>
          <w:rFonts w:ascii="宋体" w:hAnsi="宋体" w:eastAsia="宋体"/>
          <w:b w:val="0"/>
          <w:bCs/>
          <w:color w:val="000000" w:themeColor="text1"/>
          <w:vertAlign w:val="superscript"/>
          <w14:textFill>
            <w14:solidFill>
              <w14:schemeClr w14:val="tx1"/>
            </w14:solidFill>
          </w14:textFill>
        </w:rPr>
        <w:fldChar w:fldCharType="end"/>
      </w:r>
      <w:r>
        <w:rPr>
          <w:rStyle w:val="14"/>
          <w:rFonts w:ascii="宋体" w:hAnsi="宋体" w:eastAsia="宋体"/>
          <w:b w:val="0"/>
          <w:bCs/>
          <w:color w:val="000000" w:themeColor="text1"/>
          <w14:textFill>
            <w14:solidFill>
              <w14:schemeClr w14:val="tx1"/>
            </w14:solidFill>
          </w14:textFill>
        </w:rPr>
        <w:t>；低红细胞比容或术前贫血</w:t>
      </w:r>
      <w:r>
        <w:rPr>
          <w:rFonts w:ascii="宋体" w:hAnsi="宋体" w:eastAsia="宋体"/>
          <w:bCs/>
          <w:color w:val="000000" w:themeColor="text1"/>
          <w14:textFill>
            <w14:solidFill>
              <w14:schemeClr w14:val="tx1"/>
            </w14:solidFill>
          </w14:textFill>
        </w:rPr>
        <w:t>通过降低组织氧供，显著增加术后AKI的发生率</w:t>
      </w:r>
      <w:r>
        <w:rPr>
          <w:rFonts w:ascii="宋体" w:hAnsi="宋体" w:eastAsia="宋体"/>
          <w:bCs/>
          <w:color w:val="000000" w:themeColor="text1"/>
          <w14:textFill>
            <w14:solidFill>
              <w14:schemeClr w14:val="tx1"/>
            </w14:solidFill>
          </w14:textFill>
        </w:rPr>
        <w:t>，尤</w:t>
      </w:r>
      <w:r>
        <w:rPr>
          <w:rFonts w:ascii="宋体" w:hAnsi="宋体" w:eastAsia="宋体"/>
          <w:color w:val="000000" w:themeColor="text1"/>
          <w14:textFill>
            <w14:solidFill>
              <w14:schemeClr w14:val="tx1"/>
            </w14:solidFill>
          </w14:textFill>
        </w:rPr>
        <w:t>其在大手术和出血量较大的情况下，贫血患者更易发生术后AKI。</w:t>
      </w:r>
    </w:p>
    <w:p w14:paraId="6CC1A389">
      <w:pPr>
        <w:keepNext w:val="0"/>
        <w:keepLines w:val="0"/>
        <w:pageBreakBefore w:val="0"/>
        <w:widowControl w:val="0"/>
        <w:numPr>
          <w:ilvl w:val="1"/>
          <w:numId w:val="1"/>
        </w:numPr>
        <w:kinsoku/>
        <w:wordWrap/>
        <w:overflowPunct/>
        <w:topLinePunct w:val="0"/>
        <w:autoSpaceDE/>
        <w:autoSpaceDN/>
        <w:bidi w:val="0"/>
        <w:adjustRightInd/>
        <w:snapToGrid/>
        <w:ind w:left="567" w:hanging="567"/>
        <w:textAlignment w:val="auto"/>
        <w:outlineLvl w:val="1"/>
        <w:rPr>
          <w:b/>
          <w:bCs/>
          <w:color w:val="000000" w:themeColor="text1"/>
          <w:sz w:val="30"/>
          <w:szCs w:val="30"/>
          <w14:textFill>
            <w14:solidFill>
              <w14:schemeClr w14:val="tx1"/>
            </w14:solidFill>
          </w14:textFill>
        </w:rPr>
      </w:pPr>
      <w:bookmarkStart w:id="48" w:name="_Toc14621"/>
      <w:bookmarkStart w:id="49" w:name="_Toc26375"/>
      <w:bookmarkStart w:id="50" w:name="_Toc14820"/>
      <w:bookmarkStart w:id="51" w:name="_Toc32276"/>
      <w:bookmarkStart w:id="52" w:name="_Toc3580"/>
      <w:r>
        <w:rPr>
          <w:rFonts w:hint="eastAsia"/>
          <w:b/>
          <w:bCs/>
          <w:color w:val="000000" w:themeColor="text1"/>
          <w:sz w:val="30"/>
          <w:szCs w:val="30"/>
          <w14:textFill>
            <w14:solidFill>
              <w14:schemeClr w14:val="tx1"/>
            </w14:solidFill>
          </w14:textFill>
        </w:rPr>
        <w:t>数据预处理</w:t>
      </w:r>
      <w:bookmarkEnd w:id="48"/>
      <w:bookmarkEnd w:id="49"/>
      <w:bookmarkEnd w:id="50"/>
      <w:bookmarkEnd w:id="51"/>
      <w:bookmarkEnd w:id="52"/>
    </w:p>
    <w:p w14:paraId="2910331D">
      <w:pPr>
        <w:ind w:firstLine="420" w:firstLineChars="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针对所有术前临床变量缺失值，采用对应列</w:t>
      </w:r>
      <w:r>
        <w:rPr>
          <w:rFonts w:hint="eastAsia" w:ascii="宋体" w:hAnsi="宋体" w:eastAsia="宋体"/>
          <w:b/>
          <w:bCs/>
          <w:color w:val="000000" w:themeColor="text1"/>
          <w14:textFill>
            <w14:solidFill>
              <w14:schemeClr w14:val="tx1"/>
            </w14:solidFill>
          </w14:textFill>
        </w:rPr>
        <w:t>中位数单值替换</w:t>
      </w:r>
      <w:r>
        <w:rPr>
          <w:rFonts w:hint="eastAsia" w:ascii="宋体" w:hAnsi="宋体" w:eastAsia="宋体"/>
          <w:color w:val="000000" w:themeColor="text1"/>
          <w14:textFill>
            <w14:solidFill>
              <w14:schemeClr w14:val="tx1"/>
            </w14:solidFill>
          </w14:textFill>
        </w:rPr>
        <w:t>，既保留样本量，又避免极端值影响</w:t>
      </w:r>
      <w:r>
        <w:rPr>
          <w:rFonts w:hint="eastAsia" w:ascii="宋体" w:hAnsi="宋体" w:eastAsia="宋体"/>
          <w:color w:val="000000" w:themeColor="text1"/>
          <w:lang w:eastAsia="zh-CN"/>
          <w14:textFill>
            <w14:solidFill>
              <w14:schemeClr w14:val="tx1"/>
            </w14:solidFill>
          </w14:textFill>
        </w:rPr>
        <w:t>。</w:t>
      </w:r>
      <w:r>
        <w:rPr>
          <w:rFonts w:hint="eastAsia" w:ascii="宋体" w:hAnsi="宋体" w:eastAsia="宋体"/>
          <w:color w:val="000000" w:themeColor="text1"/>
          <w:lang w:val="en-US" w:eastAsia="zh-CN"/>
          <w14:textFill>
            <w14:solidFill>
              <w14:schemeClr w14:val="tx1"/>
            </w14:solidFill>
          </w14:textFill>
        </w:rPr>
        <w:t>已</w:t>
      </w:r>
      <w:r>
        <w:rPr>
          <w:rFonts w:hint="eastAsia" w:ascii="宋体" w:hAnsi="宋体" w:eastAsia="宋体"/>
          <w:color w:val="000000" w:themeColor="text1"/>
          <w14:textFill>
            <w14:solidFill>
              <w14:schemeClr w14:val="tx1"/>
            </w14:solidFill>
          </w14:textFill>
        </w:rPr>
        <w:t>在多项医疗数据集对比研究中，中位数插补在预测性能上可与更复杂的多重插补方法相当</w:t>
      </w:r>
      <w:r>
        <w:rPr>
          <w:rFonts w:hint="eastAsia" w:ascii="宋体" w:hAnsi="宋体" w:eastAsia="宋体"/>
          <w:color w:val="000000" w:themeColor="text1"/>
          <w:vertAlign w:val="superscript"/>
          <w14:textFill>
            <w14:solidFill>
              <w14:schemeClr w14:val="tx1"/>
            </w14:solidFill>
          </w14:textFill>
        </w:rPr>
        <w:fldChar w:fldCharType="begin"/>
      </w:r>
      <w:r>
        <w:rPr>
          <w:rFonts w:hint="eastAsia" w:ascii="宋体" w:hAnsi="宋体" w:eastAsia="宋体"/>
          <w:color w:val="000000" w:themeColor="text1"/>
          <w:vertAlign w:val="superscript"/>
          <w14:textFill>
            <w14:solidFill>
              <w14:schemeClr w14:val="tx1"/>
            </w14:solidFill>
          </w14:textFill>
        </w:rPr>
        <w:instrText xml:space="preserve"> REF _Ref9308 \r \h </w:instrText>
      </w:r>
      <w:r>
        <w:rPr>
          <w:rFonts w:hint="eastAsia" w:ascii="宋体" w:hAnsi="宋体" w:eastAsia="宋体"/>
          <w:color w:val="000000" w:themeColor="text1"/>
          <w:vertAlign w:val="superscript"/>
          <w14:textFill>
            <w14:solidFill>
              <w14:schemeClr w14:val="tx1"/>
            </w14:solidFill>
          </w14:textFill>
        </w:rPr>
        <w:fldChar w:fldCharType="separate"/>
      </w:r>
      <w:r>
        <w:rPr>
          <w:rFonts w:hint="eastAsia" w:ascii="宋体" w:hAnsi="宋体" w:eastAsia="宋体"/>
          <w:color w:val="000000" w:themeColor="text1"/>
          <w:vertAlign w:val="superscript"/>
          <w14:textFill>
            <w14:solidFill>
              <w14:schemeClr w14:val="tx1"/>
            </w14:solidFill>
          </w14:textFill>
        </w:rPr>
        <w:t>[32]</w:t>
      </w:r>
      <w:r>
        <w:rPr>
          <w:rFonts w:hint="eastAsia"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w:t>
      </w:r>
      <w:r>
        <w:rPr>
          <w:rFonts w:hint="eastAsia" w:ascii="宋体" w:hAnsi="宋体" w:eastAsia="宋体"/>
          <w:color w:val="000000" w:themeColor="text1"/>
          <w14:textFill>
            <w14:solidFill>
              <w14:schemeClr w14:val="tx1"/>
            </w14:solidFill>
          </w14:textFill>
        </w:rPr>
        <w:t>更重要的是，后续原型网络的episode训练机制</w:t>
      </w:r>
      <w:r>
        <w:rPr>
          <w:rFonts w:ascii="宋体" w:hAnsi="宋体" w:eastAsia="宋体" w:cs="宋体"/>
          <w:color w:val="000000" w:themeColor="text1"/>
          <w:sz w:val="24"/>
          <w:szCs w:val="24"/>
          <w14:textFill>
            <w14:solidFill>
              <w14:schemeClr w14:val="tx1"/>
            </w14:solidFill>
          </w14:textFill>
        </w:rPr>
        <w:t>可通过动态重构支持集，使模型持续接触新样本组合，有效缓解固定填充值带来的过拟合。对于加载失败或损坏的影像，则以全灰度图占位，确保多模态输入的连续性和流程稳健性。</w:t>
      </w:r>
    </w:p>
    <w:p w14:paraId="17E076FB">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在中位数填充后提取预定义临床字段，再在训练集上借助</w:t>
      </w:r>
      <w:r>
        <w:rPr>
          <w:rFonts w:hint="default" w:ascii="Times New Roman" w:hAnsi="Times New Roman" w:eastAsia="宋体" w:cs="Times New Roman"/>
          <w:color w:val="000000" w:themeColor="text1"/>
          <w14:textFill>
            <w14:solidFill>
              <w14:schemeClr w14:val="tx1"/>
            </w14:solidFill>
          </w14:textFill>
        </w:rPr>
        <w:t>scikit-learn</w:t>
      </w:r>
      <w:r>
        <w:rPr>
          <w:rFonts w:hint="eastAsia" w:ascii="宋体" w:hAnsi="宋体" w:eastAsia="宋体"/>
          <w:color w:val="000000" w:themeColor="text1"/>
          <w14:textFill>
            <w14:solidFill>
              <w14:schemeClr w14:val="tx1"/>
            </w14:solidFill>
          </w14:textFill>
        </w:rPr>
        <w:t xml:space="preserve">的 </w:t>
      </w:r>
      <w:r>
        <w:rPr>
          <w:rFonts w:hint="default" w:ascii="Times New Roman" w:hAnsi="Times New Roman" w:eastAsia="宋体" w:cs="Times New Roman"/>
          <w:color w:val="000000" w:themeColor="text1"/>
          <w14:textFill>
            <w14:solidFill>
              <w14:schemeClr w14:val="tx1"/>
            </w14:solidFill>
          </w14:textFill>
        </w:rPr>
        <w:t>StandardScaler</w:t>
      </w:r>
      <w:r>
        <w:rPr>
          <w:rFonts w:hint="eastAsia" w:ascii="宋体" w:hAnsi="宋体" w:eastAsia="宋体"/>
          <w:color w:val="000000" w:themeColor="text1"/>
          <w14:textFill>
            <w14:solidFill>
              <w14:schemeClr w14:val="tx1"/>
            </w14:solidFill>
          </w14:textFill>
        </w:rPr>
        <w:t>计算各变量均值与标准差，并将全部特征转换为零均值、单位方差的标准正态分布。</w:t>
      </w:r>
      <w:r>
        <w:rPr>
          <w:rFonts w:hint="eastAsia" w:ascii="宋体" w:hAnsi="宋体" w:eastAsia="宋体"/>
          <w:color w:val="000000" w:themeColor="text1"/>
          <w:lang w:val="en-US" w:eastAsia="zh-CN"/>
          <w14:textFill>
            <w14:solidFill>
              <w14:schemeClr w14:val="tx1"/>
            </w14:solidFill>
          </w14:textFill>
        </w:rPr>
        <w:t>这样可以</w:t>
      </w:r>
      <w:r>
        <w:rPr>
          <w:rFonts w:hint="eastAsia" w:ascii="宋体" w:hAnsi="宋体" w:eastAsia="宋体"/>
          <w:color w:val="000000" w:themeColor="text1"/>
          <w14:textFill>
            <w14:solidFill>
              <w14:schemeClr w14:val="tx1"/>
            </w14:solidFill>
          </w14:textFill>
        </w:rPr>
        <w:t>消除量纲差异，避免大幅度变量主导梯度更新，加速神经网络收敛并提升稳定性与泛化性能——</w:t>
      </w:r>
      <w:r>
        <w:rPr>
          <w:rFonts w:hint="eastAsia" w:ascii="宋体" w:hAnsi="宋体" w:eastAsia="宋体"/>
          <w:color w:val="000000" w:themeColor="text1"/>
          <w14:textFill>
            <w14:solidFill>
              <w14:schemeClr w14:val="tx1"/>
            </w14:solidFill>
          </w14:textFill>
        </w:rPr>
        <w:t>已有研究表明，恰当的特征标准化对分类模型的表现有显著影响</w:t>
      </w:r>
      <w:r>
        <w:rPr>
          <w:rFonts w:hint="eastAsia" w:ascii="宋体" w:hAnsi="宋体" w:eastAsia="宋体"/>
          <w:color w:val="000000" w:themeColor="text1"/>
          <w:vertAlign w:val="superscript"/>
          <w14:textFill>
            <w14:solidFill>
              <w14:schemeClr w14:val="tx1"/>
            </w14:solidFill>
          </w14:textFill>
        </w:rPr>
        <w:fldChar w:fldCharType="begin"/>
      </w:r>
      <w:r>
        <w:rPr>
          <w:rFonts w:hint="eastAsia" w:ascii="宋体" w:hAnsi="宋体" w:eastAsia="宋体"/>
          <w:color w:val="000000" w:themeColor="text1"/>
          <w:vertAlign w:val="superscript"/>
          <w14:textFill>
            <w14:solidFill>
              <w14:schemeClr w14:val="tx1"/>
            </w14:solidFill>
          </w14:textFill>
        </w:rPr>
        <w:instrText xml:space="preserve"> REF _Ref9360 \r \h </w:instrText>
      </w:r>
      <w:r>
        <w:rPr>
          <w:rFonts w:hint="eastAsia" w:ascii="宋体" w:hAnsi="宋体" w:eastAsia="宋体"/>
          <w:color w:val="000000" w:themeColor="text1"/>
          <w:vertAlign w:val="superscript"/>
          <w14:textFill>
            <w14:solidFill>
              <w14:schemeClr w14:val="tx1"/>
            </w14:solidFill>
          </w14:textFill>
        </w:rPr>
        <w:fldChar w:fldCharType="separate"/>
      </w:r>
      <w:r>
        <w:rPr>
          <w:rFonts w:hint="eastAsia" w:ascii="宋体" w:hAnsi="宋体" w:eastAsia="宋体"/>
          <w:color w:val="000000" w:themeColor="text1"/>
          <w:vertAlign w:val="superscript"/>
          <w14:textFill>
            <w14:solidFill>
              <w14:schemeClr w14:val="tx1"/>
            </w14:solidFill>
          </w14:textFill>
        </w:rPr>
        <w:t>[33]</w:t>
      </w:r>
      <w:r>
        <w:rPr>
          <w:rFonts w:hint="eastAsia"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w:t>
      </w:r>
      <w:r>
        <w:rPr>
          <w:rFonts w:hint="eastAsia" w:ascii="宋体" w:hAnsi="宋体" w:eastAsia="宋体"/>
          <w:color w:val="000000" w:themeColor="text1"/>
          <w14:textFill>
            <w14:solidFill>
              <w14:schemeClr w14:val="tx1"/>
            </w14:solidFill>
          </w14:textFill>
        </w:rPr>
        <w:t>此外，为确保数据管道的可重复性，我们将StandardScaler的参数序列化保存，以便在预测阶段对新数据执行一致的归一化操作，从而完成从临床原始记录到模型输入的全流程对接。</w:t>
      </w:r>
    </w:p>
    <w:p w14:paraId="2A10F7B5">
      <w:pPr>
        <w:ind w:firstLine="420"/>
        <w:rPr>
          <w:rFonts w:hint="eastAsia" w:ascii="宋体" w:hAnsi="宋体" w:eastAsia="宋体"/>
          <w:b w:val="0"/>
          <w:bCs w:val="0"/>
          <w:color w:val="000000" w:themeColor="text1"/>
          <w:lang w:eastAsia="zh-CN"/>
          <w14:textFill>
            <w14:solidFill>
              <w14:schemeClr w14:val="tx1"/>
            </w14:solidFill>
          </w14:textFill>
        </w:rPr>
      </w:pPr>
      <w:r>
        <w:rPr>
          <w:rFonts w:hint="eastAsia" w:ascii="宋体" w:hAnsi="宋体" w:eastAsia="宋体"/>
          <w:b w:val="0"/>
          <w:bCs w:val="0"/>
          <w:color w:val="000000" w:themeColor="text1"/>
          <w:lang w:eastAsia="zh-CN"/>
          <w14:textFill>
            <w14:solidFill>
              <w14:schemeClr w14:val="tx1"/>
            </w14:solidFill>
          </w14:textFill>
        </w:rPr>
        <w:t>在多模态管道中，临床与影像数据分别在双支路中独立处理后通过自适应门控融合。临床支路先对训练集各列缺失值以中位数填充，再利用 StandardScaler 将特征标准化为零均值、单位方差，最后将处理后的向量通过数据加载管道送入模型。影像支路则根据 YOLO 标注将框坐标还原到原图像素并裁剪 ROI，随后在线执行随机小幅旋转、亮度/对比度微调与水平翻转等增强操作，并重采样至 224×224；增强图像经去分类层的预训练ResNet50提取2048维深层特征，以供后续融合。</w:t>
      </w:r>
    </w:p>
    <w:p w14:paraId="0327B20E">
      <w:pPr>
        <w:keepNext w:val="0"/>
        <w:keepLines w:val="0"/>
        <w:pageBreakBefore w:val="0"/>
        <w:widowControl w:val="0"/>
        <w:numPr>
          <w:ilvl w:val="1"/>
          <w:numId w:val="1"/>
        </w:numPr>
        <w:kinsoku/>
        <w:wordWrap/>
        <w:overflowPunct/>
        <w:topLinePunct w:val="0"/>
        <w:autoSpaceDE/>
        <w:autoSpaceDN/>
        <w:bidi w:val="0"/>
        <w:adjustRightInd/>
        <w:snapToGrid/>
        <w:ind w:left="567" w:hanging="567"/>
        <w:textAlignment w:val="auto"/>
        <w:outlineLvl w:val="1"/>
        <w:rPr>
          <w:b/>
          <w:bCs/>
          <w:color w:val="000000" w:themeColor="text1"/>
          <w:sz w:val="30"/>
          <w:szCs w:val="30"/>
          <w14:textFill>
            <w14:solidFill>
              <w14:schemeClr w14:val="tx1"/>
            </w14:solidFill>
          </w14:textFill>
        </w:rPr>
      </w:pPr>
      <w:bookmarkStart w:id="53" w:name="_Toc27143"/>
      <w:bookmarkStart w:id="54" w:name="_Toc27604"/>
      <w:bookmarkStart w:id="55" w:name="_Toc20083"/>
      <w:bookmarkStart w:id="56" w:name="_Toc1399"/>
      <w:bookmarkStart w:id="57" w:name="_Toc30464"/>
      <w:r>
        <w:rPr>
          <w:rFonts w:hint="eastAsia"/>
          <w:b/>
          <w:bCs/>
          <w:color w:val="000000" w:themeColor="text1"/>
          <w:sz w:val="30"/>
          <w:szCs w:val="30"/>
          <w14:textFill>
            <w14:solidFill>
              <w14:schemeClr w14:val="tx1"/>
            </w14:solidFill>
          </w14:textFill>
        </w:rPr>
        <w:t>数据增强及类别不平衡处理</w:t>
      </w:r>
      <w:bookmarkEnd w:id="53"/>
      <w:bookmarkEnd w:id="54"/>
      <w:bookmarkEnd w:id="55"/>
      <w:bookmarkEnd w:id="56"/>
      <w:bookmarkEnd w:id="57"/>
    </w:p>
    <w:p w14:paraId="308F9A48">
      <w:pPr>
        <w:ind w:firstLine="420"/>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鉴于我们原始的数据集中正、负样本分布极不平衡（132例AKI与患者62例非AKI患者，总计194例）</w:t>
      </w:r>
      <w:r>
        <w:rPr>
          <w:rFonts w:hint="eastAsia" w:ascii="宋体" w:hAnsi="宋体" w:eastAsia="宋体"/>
          <w:color w:val="000000" w:themeColor="text1"/>
          <w:lang w:eastAsia="zh-CN"/>
          <w14:textFill>
            <w14:solidFill>
              <w14:schemeClr w14:val="tx1"/>
            </w14:solidFill>
          </w14:textFill>
        </w:rPr>
        <w:t>，</w:t>
      </w:r>
      <w:r>
        <w:rPr>
          <w:rFonts w:hint="eastAsia" w:ascii="宋体" w:hAnsi="宋体" w:eastAsia="宋体"/>
          <w:color w:val="000000" w:themeColor="text1"/>
          <w14:textFill>
            <w14:solidFill>
              <w14:schemeClr w14:val="tx1"/>
            </w14:solidFill>
          </w14:textFill>
        </w:rPr>
        <w:t>本研究在多模态框架下设计图像与表格两条增广策略并结合重采样：图像支路基于ROI裁剪后引入轻量级几何与亮度变换（随机旋转±5°、亮度/对比度微调±5%、随机水平翻转），统一重采样至224×224；表格支路借鉴SMOTE思想，对正类样本随机配对并按[0,1]线性插值生成合成样本，对负类沿原型网络负样本原型边界插值产生更具挑战的负例。训练时，利用 WeightedRandomSampler与加权损失函数同步应用，三者协同平衡少数类与多数类分布，提升模型对AKI少数类的识别敏感性和整体稳健性。</w:t>
      </w:r>
    </w:p>
    <w:p w14:paraId="16459FED">
      <w:pPr>
        <w:ind w:firstLine="420"/>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对于负类样本的生成和多模态数据的语义一致性问题。</w:t>
      </w:r>
      <w:r>
        <w:rPr>
          <w:rFonts w:hint="eastAsia" w:ascii="宋体" w:hAnsi="宋体" w:eastAsia="宋体"/>
          <w:color w:val="000000" w:themeColor="text1"/>
          <w14:textFill>
            <w14:solidFill>
              <w14:schemeClr w14:val="tx1"/>
            </w14:solidFill>
          </w14:textFill>
        </w:rPr>
        <w:t>传统的GAN或Mixup等生成策略在特征空间的应用往往忽视多模态数据的语义一致性，生成样本质量不稳定且缺乏可解释性</w:t>
      </w:r>
      <w:r>
        <w:rPr>
          <w:rFonts w:hint="eastAsia" w:ascii="宋体" w:hAnsi="宋体" w:eastAsia="宋体"/>
          <w:color w:val="000000" w:themeColor="text1"/>
          <w:vertAlign w:val="superscript"/>
          <w:lang w:eastAsia="zh-CN"/>
          <w14:textFill>
            <w14:solidFill>
              <w14:schemeClr w14:val="tx1"/>
            </w14:solidFill>
          </w14:textFill>
        </w:rPr>
        <w:fldChar w:fldCharType="begin"/>
      </w:r>
      <w:r>
        <w:rPr>
          <w:rFonts w:hint="eastAsia" w:ascii="宋体" w:hAnsi="宋体" w:eastAsia="宋体"/>
          <w:color w:val="000000" w:themeColor="text1"/>
          <w:vertAlign w:val="superscript"/>
          <w:lang w:eastAsia="zh-CN"/>
          <w14:textFill>
            <w14:solidFill>
              <w14:schemeClr w14:val="tx1"/>
            </w14:solidFill>
          </w14:textFill>
        </w:rPr>
        <w:instrText xml:space="preserve"> REF _Ref753 \r \h </w:instrText>
      </w:r>
      <w:r>
        <w:rPr>
          <w:rFonts w:hint="eastAsia" w:ascii="宋体" w:hAnsi="宋体" w:eastAsia="宋体"/>
          <w:color w:val="000000" w:themeColor="text1"/>
          <w:vertAlign w:val="superscript"/>
          <w:lang w:eastAsia="zh-CN"/>
          <w14:textFill>
            <w14:solidFill>
              <w14:schemeClr w14:val="tx1"/>
            </w14:solidFill>
          </w14:textFill>
        </w:rPr>
        <w:fldChar w:fldCharType="separate"/>
      </w:r>
      <w:r>
        <w:rPr>
          <w:rFonts w:hint="eastAsia" w:ascii="宋体" w:hAnsi="宋体" w:eastAsia="宋体"/>
          <w:color w:val="000000" w:themeColor="text1"/>
          <w:vertAlign w:val="superscript"/>
          <w:lang w:eastAsia="zh-CN"/>
          <w14:textFill>
            <w14:solidFill>
              <w14:schemeClr w14:val="tx1"/>
            </w14:solidFill>
          </w14:textFill>
        </w:rPr>
        <w:t>[34]</w:t>
      </w:r>
      <w:r>
        <w:rPr>
          <w:rFonts w:hint="eastAsia" w:ascii="宋体" w:hAnsi="宋体" w:eastAsia="宋体"/>
          <w:color w:val="000000" w:themeColor="text1"/>
          <w:vertAlign w:val="superscript"/>
          <w:lang w:eastAsia="zh-CN"/>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w:t>
      </w:r>
      <w:r>
        <w:rPr>
          <w:rFonts w:hint="eastAsia" w:ascii="宋体" w:hAnsi="宋体" w:eastAsia="宋体"/>
          <w:color w:val="000000" w:themeColor="text1"/>
          <w14:textFill>
            <w14:solidFill>
              <w14:schemeClr w14:val="tx1"/>
            </w14:solidFill>
          </w14:textFill>
        </w:rPr>
        <w:t>为此，本研究提出三步增强策略（如图</w:t>
      </w:r>
      <w:r>
        <w:rPr>
          <w:rFonts w:hint="eastAsia" w:ascii="宋体" w:hAnsi="宋体" w:eastAsia="宋体"/>
          <w:color w:val="000000" w:themeColor="text1"/>
          <w:lang w:val="en-US" w:eastAsia="zh-CN"/>
          <w14:textFill>
            <w14:solidFill>
              <w14:schemeClr w14:val="tx1"/>
            </w14:solidFill>
          </w14:textFill>
        </w:rPr>
        <w:t>2</w:t>
      </w:r>
      <w:r>
        <w:rPr>
          <w:rFonts w:hint="eastAsia" w:ascii="宋体" w:hAnsi="宋体" w:eastAsia="宋体"/>
          <w:color w:val="000000" w:themeColor="text1"/>
          <w14:textFill>
            <w14:solidFill>
              <w14:schemeClr w14:val="tx1"/>
            </w14:solidFill>
          </w14:textFill>
        </w:rPr>
        <w:t>）：首先，基于SwAV预训练得到的Anchor向量与随机噪声，通过AnchorFeatureGenerator生成多样化伪样本，以扩充负类全局分布；其次，对标准化后的负类表格特征计算欧氏距离，并以第25百分位数作为自适应阈值，仅对“近邻”样本对进行线性插值，以细化局部分布多样性；最后，将上述伪样本与真实负样本在支持集中混合，用于后续多原型构建和损失计算，与仅依赖单一GAN或固定阈值插值的方法相比，本策略在样本多样性、生成稳定性及可解释性方面均具有优势，能够更全面地覆盖负类特征空间。</w:t>
      </w:r>
    </w:p>
    <w:p w14:paraId="23DCBEE3">
      <w:pPr>
        <w:jc w:val="left"/>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69205" cy="4498975"/>
            <wp:effectExtent l="19050" t="19050" r="29845" b="2857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5069205" cy="4498975"/>
                    </a:xfrm>
                    <a:prstGeom prst="rect">
                      <a:avLst/>
                    </a:prstGeom>
                    <a:noFill/>
                    <a:ln w="19050">
                      <a:solidFill>
                        <a:srgbClr val="002060"/>
                      </a:solidFill>
                    </a:ln>
                  </pic:spPr>
                </pic:pic>
              </a:graphicData>
            </a:graphic>
          </wp:inline>
        </w:drawing>
      </w:r>
    </w:p>
    <w:p w14:paraId="41DB73D8">
      <w:pPr>
        <w:jc w:val="left"/>
        <w:rPr>
          <w:rFonts w:hint="eastAsia" w:ascii="宋体" w:hAnsi="宋体" w:eastAsia="宋体"/>
          <w:color w:val="000000" w:themeColor="text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图</w:t>
      </w:r>
      <w:r>
        <w:rPr>
          <w:rFonts w:hint="eastAsia" w:ascii="黑体" w:hAnsi="黑体" w:eastAsia="黑体" w:cs="黑体"/>
          <w:color w:val="000000" w:themeColor="text1"/>
          <w:sz w:val="21"/>
          <w:szCs w:val="21"/>
          <w:lang w:val="en-US" w:eastAsia="zh-CN"/>
          <w14:textFill>
            <w14:solidFill>
              <w14:schemeClr w14:val="tx1"/>
            </w14:solidFill>
          </w14:textFill>
        </w:rPr>
        <w:t>2：展示了负类样本的三步数据增强策略。首先，使用Anchor向量生成多样化的负类伪样本；然后，通过计算负类样本的欧氏距离，只对“近邻”样本进行插值，以增加样本的多样性；最后，将伪样本与真实负样本混合。</w:t>
      </w:r>
    </w:p>
    <w:p w14:paraId="5D0E2A43">
      <w:pPr>
        <w:jc w:val="left"/>
        <w:rPr>
          <w:rFonts w:hint="eastAsia" w:ascii="宋体" w:hAnsi="宋体" w:eastAsia="宋体"/>
          <w:color w:val="000000" w:themeColor="text1"/>
          <w14:textFill>
            <w14:solidFill>
              <w14:schemeClr w14:val="tx1"/>
            </w14:solidFill>
          </w14:textFill>
        </w:rPr>
      </w:pPr>
    </w:p>
    <w:p w14:paraId="2CE43BC8">
      <w:pPr>
        <w:keepNext w:val="0"/>
        <w:keepLines w:val="0"/>
        <w:pageBreakBefore w:val="0"/>
        <w:widowControl w:val="0"/>
        <w:numPr>
          <w:ilvl w:val="1"/>
          <w:numId w:val="1"/>
        </w:numPr>
        <w:kinsoku/>
        <w:wordWrap/>
        <w:overflowPunct/>
        <w:topLinePunct w:val="0"/>
        <w:autoSpaceDE/>
        <w:autoSpaceDN/>
        <w:bidi w:val="0"/>
        <w:adjustRightInd/>
        <w:snapToGrid/>
        <w:ind w:left="567" w:hanging="567"/>
        <w:textAlignment w:val="auto"/>
        <w:outlineLvl w:val="1"/>
        <w:rPr>
          <w:b/>
          <w:bCs/>
          <w:color w:val="000000" w:themeColor="text1"/>
          <w:sz w:val="30"/>
          <w:szCs w:val="30"/>
          <w14:textFill>
            <w14:solidFill>
              <w14:schemeClr w14:val="tx1"/>
            </w14:solidFill>
          </w14:textFill>
        </w:rPr>
      </w:pPr>
      <w:bookmarkStart w:id="58" w:name="_Toc30662"/>
      <w:bookmarkStart w:id="59" w:name="_Toc4139"/>
      <w:bookmarkStart w:id="60" w:name="_Toc30307"/>
      <w:bookmarkStart w:id="61" w:name="_Toc12960"/>
      <w:bookmarkStart w:id="62" w:name="_Toc32329"/>
      <w:r>
        <w:rPr>
          <w:b/>
          <w:bCs/>
          <w:color w:val="000000" w:themeColor="text1"/>
          <w:sz w:val="30"/>
          <w:szCs w:val="30"/>
          <w14:textFill>
            <w14:solidFill>
              <w14:schemeClr w14:val="tx1"/>
            </w14:solidFill>
          </w14:textFill>
        </w:rPr>
        <w:t>多模态特征融合网络（Multimodal Feature Fusion Network）</w:t>
      </w:r>
      <w:bookmarkEnd w:id="58"/>
      <w:bookmarkEnd w:id="59"/>
      <w:bookmarkEnd w:id="60"/>
      <w:bookmarkEnd w:id="61"/>
      <w:bookmarkEnd w:id="62"/>
    </w:p>
    <w:p w14:paraId="6D7C977C">
      <w:pPr>
        <w:ind w:firstLine="420"/>
        <w:rPr>
          <w:rFonts w:hint="eastAsia" w:ascii="宋体" w:hAnsi="宋体" w:eastAsia="宋体"/>
          <w:color w:val="000000" w:themeColor="text1"/>
          <w:lang w:eastAsia="zh-CN"/>
          <w14:textFill>
            <w14:solidFill>
              <w14:schemeClr w14:val="tx1"/>
            </w14:solidFill>
          </w14:textFill>
        </w:rPr>
      </w:pPr>
      <w:r>
        <w:rPr>
          <w:rFonts w:ascii="宋体" w:hAnsi="宋体" w:eastAsia="宋体"/>
          <w:color w:val="000000" w:themeColor="text1"/>
          <w14:textFill>
            <w14:solidFill>
              <w14:schemeClr w14:val="tx1"/>
            </w14:solidFill>
          </w14:textFill>
        </w:rPr>
        <w:t>本研究提出了一种创新的多模态特征融合框架</w:t>
      </w:r>
      <w:r>
        <w:rPr>
          <w:rFonts w:hint="eastAsia" w:ascii="宋体" w:hAnsi="宋体" w:eastAsia="宋体"/>
          <w:color w:val="000000" w:themeColor="text1"/>
          <w:lang w:eastAsia="zh-CN"/>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旨在小样本临床场景中充分挖掘影像与表格数据互补信息。首先</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lang w:eastAsia="zh-CN"/>
          <w14:textFill>
            <w14:solidFill>
              <w14:schemeClr w14:val="tx1"/>
            </w14:solidFill>
          </w14:textFill>
        </w:rPr>
        <w:t>影像支路</w:t>
      </w:r>
      <w:r>
        <w:rPr>
          <w:rFonts w:hint="eastAsia" w:ascii="宋体" w:hAnsi="宋体" w:eastAsia="宋体" w:cs="宋体"/>
          <w:color w:val="000000" w:themeColor="text1"/>
          <w:sz w:val="24"/>
          <w:szCs w:val="24"/>
          <w:lang w:eastAsia="zh-CN"/>
          <w14:textFill>
            <w14:solidFill>
              <w14:schemeClr w14:val="tx1"/>
            </w14:solidFill>
          </w14:textFill>
        </w:rPr>
        <w:t>基于预训练</w:t>
      </w:r>
      <w:r>
        <w:rPr>
          <w:rFonts w:hint="default" w:ascii="Times New Roman" w:hAnsi="Times New Roman" w:eastAsia="宋体" w:cs="Times New Roman"/>
          <w:b/>
          <w:bCs/>
          <w:color w:val="000000" w:themeColor="text1"/>
          <w:sz w:val="24"/>
          <w:szCs w:val="24"/>
          <w:lang w:eastAsia="zh-CN"/>
          <w14:textFill>
            <w14:solidFill>
              <w14:schemeClr w14:val="tx1"/>
            </w14:solidFill>
          </w14:textFill>
        </w:rPr>
        <w:t>ResNet50</w:t>
      </w:r>
      <w:r>
        <w:rPr>
          <w:rFonts w:ascii="宋体" w:hAnsi="宋体" w:eastAsia="宋体" w:cs="宋体"/>
          <w:color w:val="000000" w:themeColor="text1"/>
          <w:sz w:val="24"/>
          <w:szCs w:val="24"/>
          <w14:textFill>
            <w14:solidFill>
              <w14:schemeClr w14:val="tx1"/>
            </w14:solidFill>
          </w14:textFill>
        </w:rPr>
        <w:t>提取2048维视觉特征</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lang w:eastAsia="zh-CN"/>
          <w14:textFill>
            <w14:solidFill>
              <w14:schemeClr w14:val="tx1"/>
            </w14:solidFill>
          </w14:textFill>
        </w:rPr>
        <w:t>表格支路</w:t>
      </w:r>
      <w:r>
        <w:rPr>
          <w:rFonts w:hint="eastAsia" w:ascii="宋体" w:hAnsi="宋体" w:eastAsia="宋体" w:cs="宋体"/>
          <w:color w:val="000000" w:themeColor="text1"/>
          <w:sz w:val="24"/>
          <w:szCs w:val="24"/>
          <w:lang w:eastAsia="zh-CN"/>
          <w14:textFill>
            <w14:solidFill>
              <w14:schemeClr w14:val="tx1"/>
            </w14:solidFill>
          </w14:textFill>
        </w:rPr>
        <w:t>经</w:t>
      </w:r>
      <w:r>
        <w:rPr>
          <w:rFonts w:hint="eastAsia" w:ascii="宋体" w:hAnsi="宋体" w:eastAsia="宋体" w:cs="宋体"/>
          <w:b/>
          <w:bCs/>
          <w:color w:val="000000" w:themeColor="text1"/>
          <w:sz w:val="24"/>
          <w:szCs w:val="24"/>
          <w:lang w:eastAsia="zh-CN"/>
          <w14:textFill>
            <w14:solidFill>
              <w14:schemeClr w14:val="tx1"/>
            </w14:solidFill>
          </w14:textFill>
        </w:rPr>
        <w:t>多层感知机</w:t>
      </w:r>
      <w:r>
        <w:rPr>
          <w:rFonts w:hint="eastAsia" w:ascii="宋体" w:hAnsi="宋体" w:eastAsia="宋体" w:cs="宋体"/>
          <w:color w:val="000000" w:themeColor="text1"/>
          <w:sz w:val="24"/>
          <w:szCs w:val="24"/>
          <w:lang w:eastAsia="zh-CN"/>
          <w14:textFill>
            <w14:solidFill>
              <w14:schemeClr w14:val="tx1"/>
            </w14:solidFill>
          </w14:textFill>
        </w:rPr>
        <w:t>编码</w:t>
      </w:r>
      <w:r>
        <w:rPr>
          <w:rFonts w:hint="eastAsia" w:ascii="宋体" w:hAnsi="宋体" w:eastAsia="宋体" w:cs="宋体"/>
          <w:color w:val="000000" w:themeColor="text1"/>
          <w:sz w:val="24"/>
          <w:szCs w:val="24"/>
          <w:lang w:val="en-US" w:eastAsia="zh-CN"/>
          <w14:textFill>
            <w14:solidFill>
              <w14:schemeClr w14:val="tx1"/>
            </w14:solidFill>
          </w14:textFill>
        </w:rPr>
        <w:t>提取</w:t>
      </w:r>
      <w:r>
        <w:rPr>
          <w:rFonts w:ascii="宋体" w:hAnsi="宋体" w:eastAsia="宋体" w:cs="宋体"/>
          <w:color w:val="000000" w:themeColor="text1"/>
          <w:sz w:val="24"/>
          <w:szCs w:val="24"/>
          <w14:textFill>
            <w14:solidFill>
              <w14:schemeClr w14:val="tx1"/>
            </w14:solidFill>
          </w14:textFill>
        </w:rPr>
        <w:t>的128维结构化特征，并拼接为高维表示；随后，采用并行</w:t>
      </w:r>
      <w:r>
        <w:rPr>
          <w:rFonts w:ascii="宋体" w:hAnsi="宋体" w:eastAsia="宋体" w:cs="宋体"/>
          <w:b/>
          <w:bCs/>
          <w:color w:val="000000" w:themeColor="text1"/>
          <w:sz w:val="24"/>
          <w:szCs w:val="24"/>
          <w14:textFill>
            <w14:solidFill>
              <w14:schemeClr w14:val="tx1"/>
            </w14:solidFill>
          </w14:textFill>
        </w:rPr>
        <w:t>Sigmoid</w:t>
      </w:r>
      <w:r>
        <w:rPr>
          <w:rFonts w:ascii="宋体" w:hAnsi="宋体" w:eastAsia="宋体" w:cs="宋体"/>
          <w:color w:val="000000" w:themeColor="text1"/>
          <w:sz w:val="24"/>
          <w:szCs w:val="24"/>
          <w14:textFill>
            <w14:solidFill>
              <w14:schemeClr w14:val="tx1"/>
            </w14:solidFill>
          </w14:textFill>
        </w:rPr>
        <w:t>门控为每一路特征动态分配权重，使可靠模态信号得以放大、噪声信息被自动屏蔽；接着，通过</w:t>
      </w:r>
      <w:r>
        <w:rPr>
          <w:rFonts w:ascii="宋体" w:hAnsi="宋体" w:eastAsia="宋体" w:cs="宋体"/>
          <w:b/>
          <w:bCs/>
          <w:color w:val="000000" w:themeColor="text1"/>
          <w:sz w:val="24"/>
          <w:szCs w:val="24"/>
          <w14:textFill>
            <w14:solidFill>
              <w14:schemeClr w14:val="tx1"/>
            </w14:solidFill>
          </w14:textFill>
        </w:rPr>
        <w:t>两层全连接网络</w:t>
      </w:r>
      <w:r>
        <w:rPr>
          <w:rFonts w:ascii="宋体" w:hAnsi="宋体" w:eastAsia="宋体" w:cs="宋体"/>
          <w:color w:val="000000" w:themeColor="text1"/>
          <w:sz w:val="24"/>
          <w:szCs w:val="24"/>
          <w14:textFill>
            <w14:solidFill>
              <w14:schemeClr w14:val="tx1"/>
            </w14:solidFill>
          </w14:textFill>
        </w:rPr>
        <w:t>结合</w:t>
      </w:r>
      <w:r>
        <w:rPr>
          <w:rFonts w:ascii="宋体" w:hAnsi="宋体" w:eastAsia="宋体" w:cs="宋体"/>
          <w:b/>
          <w:bCs/>
          <w:color w:val="000000" w:themeColor="text1"/>
          <w:sz w:val="24"/>
          <w:szCs w:val="24"/>
          <w14:textFill>
            <w14:solidFill>
              <w14:schemeClr w14:val="tx1"/>
            </w14:solidFill>
          </w14:textFill>
        </w:rPr>
        <w:t>批量归一化</w:t>
      </w:r>
      <w:r>
        <w:rPr>
          <w:rFonts w:ascii="宋体" w:hAnsi="宋体" w:eastAsia="宋体" w:cs="宋体"/>
          <w:color w:val="000000" w:themeColor="text1"/>
          <w:sz w:val="24"/>
          <w:szCs w:val="24"/>
          <w14:textFill>
            <w14:solidFill>
              <w14:schemeClr w14:val="tx1"/>
            </w14:solidFill>
          </w14:textFill>
        </w:rPr>
        <w:t>、</w:t>
      </w:r>
      <w:r>
        <w:rPr>
          <w:rFonts w:ascii="宋体" w:hAnsi="宋体" w:eastAsia="宋体" w:cs="宋体"/>
          <w:b/>
          <w:bCs/>
          <w:color w:val="000000" w:themeColor="text1"/>
          <w:sz w:val="24"/>
          <w:szCs w:val="24"/>
          <w14:textFill>
            <w14:solidFill>
              <w14:schemeClr w14:val="tx1"/>
            </w14:solidFill>
          </w14:textFill>
        </w:rPr>
        <w:t>LeakyReLU激活</w:t>
      </w:r>
      <w:r>
        <w:rPr>
          <w:rFonts w:ascii="宋体" w:hAnsi="宋体" w:eastAsia="宋体" w:cs="宋体"/>
          <w:color w:val="000000" w:themeColor="text1"/>
          <w:sz w:val="24"/>
          <w:szCs w:val="24"/>
          <w14:textFill>
            <w14:solidFill>
              <w14:schemeClr w14:val="tx1"/>
            </w14:solidFill>
          </w14:textFill>
        </w:rPr>
        <w:t>和</w:t>
      </w:r>
      <w:r>
        <w:rPr>
          <w:rFonts w:ascii="宋体" w:hAnsi="宋体" w:eastAsia="宋体" w:cs="宋体"/>
          <w:b/>
          <w:bCs/>
          <w:color w:val="000000" w:themeColor="text1"/>
          <w:sz w:val="24"/>
          <w:szCs w:val="24"/>
          <w14:textFill>
            <w14:solidFill>
              <w14:schemeClr w14:val="tx1"/>
            </w14:solidFill>
          </w14:textFill>
        </w:rPr>
        <w:t>Dropout正则化</w:t>
      </w:r>
      <w:r>
        <w:rPr>
          <w:rFonts w:ascii="宋体" w:hAnsi="宋体" w:eastAsia="宋体" w:cs="宋体"/>
          <w:color w:val="000000" w:themeColor="text1"/>
          <w:sz w:val="24"/>
          <w:szCs w:val="24"/>
          <w14:textFill>
            <w14:solidFill>
              <w14:schemeClr w14:val="tx1"/>
            </w14:solidFill>
          </w14:textFill>
        </w:rPr>
        <w:t>，将加权高维向量压缩至128维嵌入；最后以</w:t>
      </w:r>
      <w:r>
        <w:rPr>
          <w:rFonts w:ascii="宋体" w:hAnsi="宋体" w:eastAsia="宋体" w:cs="宋体"/>
          <w:b/>
          <w:bCs/>
          <w:color w:val="000000" w:themeColor="text1"/>
          <w:sz w:val="24"/>
          <w:szCs w:val="24"/>
          <w14:textFill>
            <w14:solidFill>
              <w14:schemeClr w14:val="tx1"/>
            </w14:solidFill>
          </w14:textFill>
        </w:rPr>
        <w:t>L2归一化</w:t>
      </w:r>
      <w:r>
        <w:rPr>
          <w:rFonts w:ascii="宋体" w:hAnsi="宋体" w:eastAsia="宋体" w:cs="宋体"/>
          <w:color w:val="000000" w:themeColor="text1"/>
          <w:sz w:val="24"/>
          <w:szCs w:val="24"/>
          <w14:textFill>
            <w14:solidFill>
              <w14:schemeClr w14:val="tx1"/>
            </w14:solidFill>
          </w14:textFill>
        </w:rPr>
        <w:t>保证度量学习兼容性。该设计无需复杂注意力机制或繁琐超参调优，仅凭轻量级运算即可灵活平衡各模态贡献，有效提升在类别不平衡的术后AKI预测任务中的识别敏感性和泛化性能。</w:t>
      </w:r>
    </w:p>
    <w:p w14:paraId="5141E9E4">
      <w:pPr>
        <w:keepNext w:val="0"/>
        <w:keepLines w:val="0"/>
        <w:pageBreakBefore w:val="0"/>
        <w:widowControl w:val="0"/>
        <w:numPr>
          <w:ilvl w:val="2"/>
          <w:numId w:val="1"/>
        </w:numPr>
        <w:kinsoku/>
        <w:wordWrap/>
        <w:overflowPunct/>
        <w:topLinePunct w:val="0"/>
        <w:autoSpaceDE/>
        <w:autoSpaceDN/>
        <w:bidi w:val="0"/>
        <w:adjustRightInd/>
        <w:snapToGrid/>
        <w:ind w:left="709" w:hanging="709"/>
        <w:textAlignment w:val="auto"/>
        <w:outlineLvl w:val="2"/>
        <w:rPr>
          <w:b/>
          <w:bCs/>
          <w:color w:val="000000" w:themeColor="text1"/>
          <w:sz w:val="28"/>
          <w:szCs w:val="28"/>
          <w14:textFill>
            <w14:solidFill>
              <w14:schemeClr w14:val="tx1"/>
            </w14:solidFill>
          </w14:textFill>
        </w:rPr>
      </w:pPr>
      <w:bookmarkStart w:id="63" w:name="_Toc2971"/>
      <w:bookmarkStart w:id="64" w:name="_Toc27633"/>
      <w:bookmarkStart w:id="65" w:name="_Toc12212"/>
      <w:bookmarkStart w:id="66" w:name="_Toc26962"/>
      <w:bookmarkStart w:id="67" w:name="_Toc19581"/>
      <w:r>
        <w:rPr>
          <w:rFonts w:hint="eastAsia"/>
          <w:b/>
          <w:bCs/>
          <w:color w:val="000000" w:themeColor="text1"/>
          <w:sz w:val="28"/>
          <w:szCs w:val="28"/>
          <w14:textFill>
            <w14:solidFill>
              <w14:schemeClr w14:val="tx1"/>
            </w14:solidFill>
          </w14:textFill>
        </w:rPr>
        <w:t>设计动机与整体架构</w:t>
      </w:r>
      <w:bookmarkEnd w:id="63"/>
      <w:bookmarkEnd w:id="64"/>
      <w:bookmarkEnd w:id="65"/>
      <w:bookmarkEnd w:id="66"/>
      <w:bookmarkEnd w:id="67"/>
    </w:p>
    <w:p w14:paraId="5CB8E75C">
      <w:pPr>
        <w:ind w:firstLine="420"/>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在临床术后急性肾损伤（AKI）的预测中，利用影像和表格化的术前指标，可以充分挖掘两类数据的互补信息。然而，在小样本的场景下，这种多模态融合也同时面临着以下主要挑战：</w:t>
      </w:r>
    </w:p>
    <w:p w14:paraId="23AAC2DC">
      <w:pPr>
        <w:numPr>
          <w:ilvl w:val="0"/>
          <w:numId w:val="5"/>
        </w:numPr>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数据稀缺 (Data Scarcity)</w:t>
      </w:r>
      <w:r>
        <w:rPr>
          <w:rFonts w:ascii="宋体" w:hAnsi="宋体" w:eastAsia="宋体"/>
          <w:color w:val="000000" w:themeColor="text1"/>
          <w14:textFill>
            <w14:solidFill>
              <w14:schemeClr w14:val="tx1"/>
            </w14:solidFill>
          </w14:textFill>
        </w:rPr>
        <w:br w:type="textWrapping"/>
      </w:r>
      <w:r>
        <w:rPr>
          <w:rFonts w:ascii="宋体" w:hAnsi="宋体" w:eastAsia="宋体"/>
          <w:color w:val="000000" w:themeColor="text1"/>
          <w14:textFill>
            <w14:solidFill>
              <w14:schemeClr w14:val="tx1"/>
            </w14:solidFill>
          </w14:textFill>
        </w:rPr>
        <w:t>单一类别的标注样本极其有限，难以支撑模型对高维影像特征的可靠学习，在本研究中，总计仅194例。</w:t>
      </w:r>
    </w:p>
    <w:p w14:paraId="058E73BD">
      <w:pPr>
        <w:numPr>
          <w:ilvl w:val="0"/>
          <w:numId w:val="5"/>
        </w:numPr>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信息不平衡 (Modality Imbalance)</w:t>
      </w:r>
    </w:p>
    <w:p w14:paraId="3F6969A6">
      <w:pPr>
        <w:ind w:left="420"/>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影像特征与表格特征在维度和分布上存在巨大差异，简单拼接往往导致某一路信息主导，另一方被“淹没”</w:t>
      </w:r>
      <w:r>
        <w:rPr>
          <w:rFonts w:ascii="宋体" w:hAnsi="宋体" w:eastAsia="宋体"/>
          <w:color w:val="000000" w:themeColor="text1"/>
          <w:vertAlign w:val="superscript"/>
          <w14:textFill>
            <w14:solidFill>
              <w14:schemeClr w14:val="tx1"/>
            </w14:solidFill>
          </w14:textFill>
        </w:rPr>
        <w:fldChar w:fldCharType="begin"/>
      </w:r>
      <w:r>
        <w:rPr>
          <w:rFonts w:ascii="宋体" w:hAnsi="宋体" w:eastAsia="宋体"/>
          <w:color w:val="000000" w:themeColor="text1"/>
          <w:vertAlign w:val="superscript"/>
          <w14:textFill>
            <w14:solidFill>
              <w14:schemeClr w14:val="tx1"/>
            </w14:solidFill>
          </w14:textFill>
        </w:rPr>
        <w:instrText xml:space="preserve"> REF _Ref9576 \r \h </w:instrText>
      </w:r>
      <w:r>
        <w:rPr>
          <w:rFonts w:ascii="宋体" w:hAnsi="宋体" w:eastAsia="宋体"/>
          <w:color w:val="000000" w:themeColor="text1"/>
          <w:vertAlign w:val="superscript"/>
          <w14:textFill>
            <w14:solidFill>
              <w14:schemeClr w14:val="tx1"/>
            </w14:solidFill>
          </w14:textFill>
        </w:rPr>
        <w:fldChar w:fldCharType="separate"/>
      </w:r>
      <w:r>
        <w:rPr>
          <w:rFonts w:ascii="宋体" w:hAnsi="宋体" w:eastAsia="宋体"/>
          <w:color w:val="000000" w:themeColor="text1"/>
          <w:vertAlign w:val="superscript"/>
          <w14:textFill>
            <w14:solidFill>
              <w14:schemeClr w14:val="tx1"/>
            </w14:solidFill>
          </w14:textFill>
        </w:rPr>
        <w:t>[35]</w:t>
      </w:r>
      <w:r>
        <w:rPr>
          <w:rFonts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w:t>
      </w:r>
    </w:p>
    <w:p w14:paraId="6311E3F0">
      <w:pPr>
        <w:numPr>
          <w:ilvl w:val="0"/>
          <w:numId w:val="6"/>
        </w:numPr>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语义鸿沟 (Semantic Gap)</w:t>
      </w:r>
      <w:r>
        <w:rPr>
          <w:rFonts w:ascii="宋体" w:hAnsi="宋体" w:eastAsia="宋体"/>
          <w:color w:val="000000" w:themeColor="text1"/>
          <w14:textFill>
            <w14:solidFill>
              <w14:schemeClr w14:val="tx1"/>
            </w14:solidFill>
          </w14:textFill>
        </w:rPr>
        <w:br w:type="textWrapping"/>
      </w:r>
      <w:r>
        <w:rPr>
          <w:rFonts w:ascii="宋体" w:hAnsi="宋体" w:eastAsia="宋体"/>
          <w:color w:val="000000" w:themeColor="text1"/>
          <w14:textFill>
            <w14:solidFill>
              <w14:schemeClr w14:val="tx1"/>
            </w14:solidFill>
          </w14:textFill>
        </w:rPr>
        <w:t>视觉特征与结构化指标在语义层面难以直接对齐，需要有效的跨模态映射才能真正发挥互补优势</w:t>
      </w:r>
      <w:r>
        <w:rPr>
          <w:rFonts w:ascii="宋体" w:hAnsi="宋体" w:eastAsia="宋体"/>
          <w:color w:val="000000" w:themeColor="text1"/>
          <w:vertAlign w:val="superscript"/>
          <w14:textFill>
            <w14:solidFill>
              <w14:schemeClr w14:val="tx1"/>
            </w14:solidFill>
          </w14:textFill>
        </w:rPr>
        <w:fldChar w:fldCharType="begin"/>
      </w:r>
      <w:r>
        <w:rPr>
          <w:rFonts w:ascii="宋体" w:hAnsi="宋体" w:eastAsia="宋体"/>
          <w:color w:val="000000" w:themeColor="text1"/>
          <w:vertAlign w:val="superscript"/>
          <w14:textFill>
            <w14:solidFill>
              <w14:schemeClr w14:val="tx1"/>
            </w14:solidFill>
          </w14:textFill>
        </w:rPr>
        <w:instrText xml:space="preserve"> REF _Ref9628 \r \h </w:instrText>
      </w:r>
      <w:r>
        <w:rPr>
          <w:rFonts w:ascii="宋体" w:hAnsi="宋体" w:eastAsia="宋体"/>
          <w:color w:val="000000" w:themeColor="text1"/>
          <w:vertAlign w:val="superscript"/>
          <w14:textFill>
            <w14:solidFill>
              <w14:schemeClr w14:val="tx1"/>
            </w14:solidFill>
          </w14:textFill>
        </w:rPr>
        <w:fldChar w:fldCharType="separate"/>
      </w:r>
      <w:r>
        <w:rPr>
          <w:rFonts w:ascii="宋体" w:hAnsi="宋体" w:eastAsia="宋体"/>
          <w:color w:val="000000" w:themeColor="text1"/>
          <w:vertAlign w:val="superscript"/>
          <w14:textFill>
            <w14:solidFill>
              <w14:schemeClr w14:val="tx1"/>
            </w14:solidFill>
          </w14:textFill>
        </w:rPr>
        <w:t>[36]</w:t>
      </w:r>
      <w:r>
        <w:rPr>
          <w:rFonts w:ascii="宋体" w:hAnsi="宋体" w:eastAsia="宋体"/>
          <w:color w:val="000000" w:themeColor="text1"/>
          <w:vertAlign w:val="superscript"/>
          <w14:textFill>
            <w14:solidFill>
              <w14:schemeClr w14:val="tx1"/>
            </w14:solidFill>
          </w14:textFill>
        </w:rPr>
        <w:fldChar w:fldCharType="end"/>
      </w:r>
      <w:r>
        <w:rPr>
          <w:rFonts w:ascii="宋体" w:hAnsi="宋体" w:eastAsia="宋体"/>
          <w:color w:val="000000" w:themeColor="text1"/>
          <w14:textFill>
            <w14:solidFill>
              <w14:schemeClr w14:val="tx1"/>
            </w14:solidFill>
          </w14:textFill>
        </w:rPr>
        <w:t>。</w:t>
      </w:r>
    </w:p>
    <w:p w14:paraId="1FC5C95C">
      <w:pPr>
        <w:ind w:firstLine="420"/>
        <w:rPr>
          <w:b/>
          <w:bCs/>
          <w:color w:val="000000" w:themeColor="text1"/>
          <w:sz w:val="28"/>
          <w:szCs w:val="28"/>
          <w14:textFill>
            <w14:solidFill>
              <w14:schemeClr w14:val="tx1"/>
            </w14:solidFill>
          </w14:textFill>
        </w:rPr>
      </w:pPr>
      <w:r>
        <w:rPr>
          <w:rFonts w:ascii="宋体" w:hAnsi="宋体" w:eastAsia="宋体"/>
          <w:color w:val="000000" w:themeColor="text1"/>
          <w14:textFill>
            <w14:solidFill>
              <w14:schemeClr w14:val="tx1"/>
            </w14:solidFill>
          </w14:textFill>
        </w:rPr>
        <w:t>为应对上述挑战，我们提出了一种</w:t>
      </w:r>
      <w:r>
        <w:rPr>
          <w:rFonts w:ascii="宋体" w:hAnsi="宋体" w:eastAsia="宋体"/>
          <w:b/>
          <w:bCs/>
          <w:color w:val="000000" w:themeColor="text1"/>
          <w14:textFill>
            <w14:solidFill>
              <w14:schemeClr w14:val="tx1"/>
            </w14:solidFill>
          </w14:textFill>
        </w:rPr>
        <w:t>“动态门控+归一化投影”</w:t>
      </w:r>
      <w:r>
        <w:rPr>
          <w:rFonts w:ascii="宋体" w:hAnsi="宋体" w:eastAsia="宋体"/>
          <w:color w:val="000000" w:themeColor="text1"/>
          <w14:textFill>
            <w14:solidFill>
              <w14:schemeClr w14:val="tx1"/>
            </w14:solidFill>
          </w14:textFill>
        </w:rPr>
        <w:t>的自定义多模态小样本网络——MultiModalFewShotNet。</w:t>
      </w:r>
    </w:p>
    <w:p w14:paraId="76928EF7">
      <w:pPr>
        <w:jc w:val="center"/>
        <w:rPr>
          <w:b/>
          <w:bCs/>
          <w:color w:val="000000" w:themeColor="text1"/>
          <w:sz w:val="28"/>
          <w:szCs w:val="28"/>
          <w14:textFill>
            <w14:solidFill>
              <w14:schemeClr w14:val="tx1"/>
            </w14:solidFill>
          </w14:textFill>
        </w:rPr>
      </w:pPr>
      <w:r>
        <w:rPr>
          <w:color w:val="000000" w:themeColor="text1"/>
          <w14:textFill>
            <w14:solidFill>
              <w14:schemeClr w14:val="tx1"/>
            </w14:solidFill>
          </w14:textFill>
        </w:rPr>
        <w:drawing>
          <wp:inline distT="0" distB="0" distL="114300" distR="114300">
            <wp:extent cx="5042535" cy="4768215"/>
            <wp:effectExtent l="9525" t="9525" r="1524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042535" cy="4768215"/>
                    </a:xfrm>
                    <a:prstGeom prst="rect">
                      <a:avLst/>
                    </a:prstGeom>
                    <a:noFill/>
                    <a:ln>
                      <a:solidFill>
                        <a:schemeClr val="accent1"/>
                      </a:solidFill>
                    </a:ln>
                  </pic:spPr>
                </pic:pic>
              </a:graphicData>
            </a:graphic>
          </wp:inline>
        </w:drawing>
      </w:r>
    </w:p>
    <w:p w14:paraId="567111EE">
      <w:pPr>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图</w:t>
      </w:r>
      <w:r>
        <w:rPr>
          <w:rFonts w:hint="eastAsia" w:ascii="宋体" w:hAnsi="宋体" w:eastAsia="宋体"/>
          <w:color w:val="000000" w:themeColor="text1"/>
          <w:lang w:val="en-US" w:eastAsia="zh-CN"/>
          <w14:textFill>
            <w14:solidFill>
              <w14:schemeClr w14:val="tx1"/>
            </w14:solidFill>
          </w14:textFill>
        </w:rPr>
        <w:t>3</w:t>
      </w:r>
      <w:r>
        <w:rPr>
          <w:rFonts w:hint="eastAsia" w:ascii="宋体" w:hAnsi="宋体" w:eastAsia="宋体"/>
          <w:color w:val="000000" w:themeColor="text1"/>
          <w14:textFill>
            <w14:solidFill>
              <w14:schemeClr w14:val="tx1"/>
            </w14:solidFill>
          </w14:textFill>
        </w:rPr>
        <w:t>：多模态特征融合网络</w:t>
      </w:r>
    </w:p>
    <w:p w14:paraId="67897146">
      <w:pPr>
        <w:jc w:val="left"/>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主要模块说明：</w:t>
      </w:r>
    </w:p>
    <w:p w14:paraId="7021B5AB">
      <w:pPr>
        <w:jc w:val="left"/>
        <w:rPr>
          <w:rFonts w:hint="eastAsia" w:ascii="宋体" w:hAnsi="宋体" w:eastAsia="宋体"/>
          <w:color w:val="000000" w:themeColor="text1"/>
          <w14:textFill>
            <w14:solidFill>
              <w14:schemeClr w14:val="tx1"/>
            </w14:solidFill>
          </w14:textFill>
        </w:rPr>
      </w:pPr>
      <w:r>
        <w:rPr>
          <w:rFonts w:ascii="宋体" w:hAnsi="宋体" w:eastAsia="宋体"/>
          <w:b/>
          <w:bCs/>
          <w:color w:val="000000" w:themeColor="text1"/>
          <w14:textFill>
            <w14:solidFill>
              <w14:schemeClr w14:val="tx1"/>
            </w14:solidFill>
          </w14:textFill>
        </w:rPr>
        <w:t>图像编码器 (Image Encoder)</w:t>
      </w:r>
      <w:r>
        <w:rPr>
          <w:rFonts w:hint="eastAsia" w:ascii="宋体" w:hAnsi="宋体" w:eastAsia="宋体"/>
          <w:b/>
          <w:bCs/>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采用预训练ResNet50干路，去除最后全连接层后输出2048维视觉特征；</w:t>
      </w:r>
    </w:p>
    <w:p w14:paraId="08D560BB">
      <w:pPr>
        <w:jc w:val="left"/>
        <w:rPr>
          <w:rFonts w:hint="eastAsia" w:ascii="宋体" w:hAnsi="宋体" w:eastAsia="宋体"/>
          <w:color w:val="000000" w:themeColor="text1"/>
          <w14:textFill>
            <w14:solidFill>
              <w14:schemeClr w14:val="tx1"/>
            </w14:solidFill>
          </w14:textFill>
        </w:rPr>
      </w:pPr>
      <w:r>
        <w:rPr>
          <w:rFonts w:ascii="宋体" w:hAnsi="宋体" w:eastAsia="宋体"/>
          <w:b/>
          <w:bCs/>
          <w:color w:val="000000" w:themeColor="text1"/>
          <w14:textFill>
            <w14:solidFill>
              <w14:schemeClr w14:val="tx1"/>
            </w14:solidFill>
          </w14:textFill>
        </w:rPr>
        <w:t>表格编码器 (Tabular Encoder)</w:t>
      </w:r>
      <w:r>
        <w:rPr>
          <w:rFonts w:hint="eastAsia" w:ascii="宋体" w:hAnsi="宋体" w:eastAsia="宋体"/>
          <w:b/>
          <w:bCs/>
          <w:color w:val="000000" w:themeColor="text1"/>
          <w14:textFill>
            <w14:solidFill>
              <w14:schemeClr w14:val="tx1"/>
            </w14:solidFill>
          </w14:textFill>
        </w:rPr>
        <w:t>：</w:t>
      </w:r>
      <w:r>
        <w:rPr>
          <w:rFonts w:hint="eastAsia" w:ascii="宋体" w:hAnsi="宋体" w:eastAsia="宋体"/>
          <w:color w:val="000000" w:themeColor="text1"/>
          <w14:textFill>
            <w14:solidFill>
              <w14:schemeClr w14:val="tx1"/>
            </w14:solidFill>
          </w14:textFill>
        </w:rPr>
        <w:t>用于处理结构化表格数据，将输入的表格特征通过神经网络或MLP进行编码，生成低维的特征表示。</w:t>
      </w:r>
    </w:p>
    <w:p w14:paraId="07B75D18">
      <w:pPr>
        <w:jc w:val="left"/>
        <w:rPr>
          <w:rFonts w:hint="eastAsia" w:ascii="宋体" w:hAnsi="宋体" w:eastAsia="宋体"/>
          <w:color w:val="000000" w:themeColor="text1"/>
          <w14:textFill>
            <w14:solidFill>
              <w14:schemeClr w14:val="tx1"/>
            </w14:solidFill>
          </w14:textFill>
        </w:rPr>
      </w:pPr>
      <w:r>
        <w:rPr>
          <w:rFonts w:ascii="宋体" w:hAnsi="宋体" w:eastAsia="宋体"/>
          <w:b/>
          <w:bCs/>
          <w:color w:val="000000" w:themeColor="text1"/>
          <w14:textFill>
            <w14:solidFill>
              <w14:schemeClr w14:val="tx1"/>
            </w14:solidFill>
          </w14:textFill>
        </w:rPr>
        <w:t>特征融合与归一化</w:t>
      </w:r>
      <w:r>
        <w:rPr>
          <w:rFonts w:hint="eastAsia" w:ascii="宋体" w:hAnsi="宋体" w:eastAsia="宋体"/>
          <w:b/>
          <w:bCs/>
          <w:color w:val="000000" w:themeColor="text1"/>
          <w14:textFill>
            <w14:solidFill>
              <w14:schemeClr w14:val="tx1"/>
            </w14:solidFill>
          </w14:textFill>
        </w:rPr>
        <w:t>（Feature Fusion and Normalization）：</w:t>
      </w:r>
      <w:r>
        <w:rPr>
          <w:rFonts w:hint="eastAsia" w:ascii="宋体" w:hAnsi="宋体" w:eastAsia="宋体"/>
          <w:color w:val="000000" w:themeColor="text1"/>
          <w14:textFill>
            <w14:solidFill>
              <w14:schemeClr w14:val="tx1"/>
            </w14:solidFill>
          </w14:textFill>
        </w:rPr>
        <w:t>将图像和表格特征加权融合后，使用批量归一化确保特征尺度一致，为后续处理提供统一的输入。</w:t>
      </w:r>
    </w:p>
    <w:p w14:paraId="04A0FF1E">
      <w:pPr>
        <w:jc w:val="left"/>
        <w:rPr>
          <w:rFonts w:hint="eastAsia" w:ascii="宋体" w:hAnsi="宋体" w:eastAsia="宋体"/>
          <w:color w:val="000000" w:themeColor="text1"/>
          <w14:textFill>
            <w14:solidFill>
              <w14:schemeClr w14:val="tx1"/>
            </w14:solidFill>
          </w14:textFill>
        </w:rPr>
      </w:pPr>
    </w:p>
    <w:p w14:paraId="003008C9">
      <w:pPr>
        <w:keepNext w:val="0"/>
        <w:keepLines w:val="0"/>
        <w:pageBreakBefore w:val="0"/>
        <w:widowControl w:val="0"/>
        <w:numPr>
          <w:ilvl w:val="2"/>
          <w:numId w:val="1"/>
        </w:numPr>
        <w:kinsoku/>
        <w:wordWrap/>
        <w:overflowPunct/>
        <w:topLinePunct w:val="0"/>
        <w:autoSpaceDE/>
        <w:autoSpaceDN/>
        <w:bidi w:val="0"/>
        <w:adjustRightInd/>
        <w:snapToGrid/>
        <w:ind w:left="709" w:hanging="709"/>
        <w:textAlignment w:val="auto"/>
        <w:outlineLvl w:val="2"/>
        <w:rPr>
          <w:b/>
          <w:bCs/>
          <w:color w:val="000000" w:themeColor="text1"/>
          <w:sz w:val="28"/>
          <w:szCs w:val="28"/>
          <w14:textFill>
            <w14:solidFill>
              <w14:schemeClr w14:val="tx1"/>
            </w14:solidFill>
          </w14:textFill>
        </w:rPr>
      </w:pPr>
      <w:bookmarkStart w:id="68" w:name="_Toc19958"/>
      <w:bookmarkStart w:id="69" w:name="_Toc7819"/>
      <w:bookmarkStart w:id="70" w:name="_Toc6752"/>
      <w:bookmarkStart w:id="71" w:name="_Toc23050"/>
      <w:bookmarkStart w:id="72" w:name="_Toc26869"/>
      <w:r>
        <w:rPr>
          <w:rFonts w:hint="eastAsia"/>
          <w:b/>
          <w:bCs/>
          <w:color w:val="000000" w:themeColor="text1"/>
          <w:sz w:val="28"/>
          <w:szCs w:val="28"/>
          <w14:textFill>
            <w14:solidFill>
              <w14:schemeClr w14:val="tx1"/>
            </w14:solidFill>
          </w14:textFill>
        </w:rPr>
        <w:t>特征提取模块</w:t>
      </w:r>
      <w:bookmarkEnd w:id="68"/>
      <w:bookmarkEnd w:id="69"/>
      <w:bookmarkEnd w:id="70"/>
      <w:bookmarkEnd w:id="71"/>
      <w:bookmarkEnd w:id="72"/>
    </w:p>
    <w:p w14:paraId="04F8D90F">
      <w:pPr>
        <w:numPr>
          <w:ilvl w:val="0"/>
          <w:numId w:val="0"/>
        </w:numPr>
        <w:ind w:leftChars="0"/>
        <w:rPr>
          <w:b/>
          <w:bCs/>
          <w:color w:val="000000" w:themeColor="text1"/>
          <w:sz w:val="28"/>
          <w:szCs w:val="28"/>
          <w14:textFill>
            <w14:solidFill>
              <w14:schemeClr w14:val="tx1"/>
            </w14:solidFill>
          </w14:textFill>
        </w:rPr>
      </w:pPr>
      <w:r>
        <w:rPr>
          <w:rFonts w:hint="eastAsia"/>
          <w:b/>
          <w:bCs/>
          <w:color w:val="000000" w:themeColor="text1"/>
          <w:sz w:val="28"/>
          <w:szCs w:val="28"/>
          <w14:textFill>
            <w14:solidFill>
              <w14:schemeClr w14:val="tx1"/>
            </w14:solidFill>
          </w14:textFill>
        </w:rPr>
        <w:t>图像特征编码</w:t>
      </w:r>
    </w:p>
    <w:p w14:paraId="28DFF5A2">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为了充分利用大规模视觉数据集上预训练模型所学到的通用表征，我们选用 ResNet-50作为视觉主干网络，并对其输出层结构进行如下</w:t>
      </w:r>
      <w:r>
        <w:rPr>
          <w:rFonts w:hint="eastAsia" w:ascii="宋体" w:hAnsi="宋体" w:eastAsia="宋体"/>
          <w:color w:val="000000" w:themeColor="text1"/>
          <w:lang w:val="en-US" w:eastAsia="zh-CN"/>
          <w14:textFill>
            <w14:solidFill>
              <w14:schemeClr w14:val="tx1"/>
            </w14:solidFill>
          </w14:textFill>
        </w:rPr>
        <w:t>优化设计</w:t>
      </w:r>
      <w:r>
        <w:rPr>
          <w:rFonts w:hint="eastAsia" w:ascii="宋体" w:hAnsi="宋体" w:eastAsia="宋体"/>
          <w:color w:val="000000" w:themeColor="text1"/>
          <w14:textFill>
            <w14:solidFill>
              <w14:schemeClr w14:val="tx1"/>
            </w14:solidFill>
          </w14:textFill>
        </w:rPr>
        <w:t>：</w:t>
      </w:r>
    </w:p>
    <w:p w14:paraId="628A619A">
      <w:pPr>
        <w:numPr>
          <w:ilvl w:val="0"/>
          <w:numId w:val="7"/>
        </w:numPr>
        <w:rPr>
          <w:rFonts w:hint="eastAsia"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YOLO裁剪ROI：</w:t>
      </w:r>
      <w:r>
        <w:rPr>
          <w:rFonts w:hint="eastAsia" w:ascii="宋体" w:hAnsi="宋体" w:eastAsia="宋体"/>
          <w:color w:val="000000" w:themeColor="text1"/>
          <w14:textFill>
            <w14:solidFill>
              <w14:schemeClr w14:val="tx1"/>
            </w14:solidFill>
          </w14:textFill>
        </w:rPr>
        <w:t>基于YOLO标注文件，将归一化边界框坐标转换为实际像素坐标，定位并裁剪目标区域ROI，消除背景干扰以优化特征提取效果。</w:t>
      </w:r>
    </w:p>
    <w:p w14:paraId="051E2193">
      <w:pPr>
        <w:numPr>
          <w:ilvl w:val="0"/>
          <w:numId w:val="7"/>
        </w:numPr>
        <w:rPr>
          <w:rFonts w:hint="eastAsia"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特征提取优化：</w:t>
      </w:r>
      <w:r>
        <w:rPr>
          <w:rFonts w:hint="eastAsia" w:ascii="宋体" w:hAnsi="宋体" w:eastAsia="宋体"/>
          <w:color w:val="000000" w:themeColor="text1"/>
          <w14:textFill>
            <w14:solidFill>
              <w14:schemeClr w14:val="tx1"/>
            </w14:solidFill>
          </w14:textFill>
        </w:rPr>
        <w:t>我们移除</w:t>
      </w:r>
      <w:r>
        <w:rPr>
          <w:rFonts w:hint="eastAsia" w:ascii="宋体" w:hAnsi="宋体" w:eastAsia="宋体"/>
          <w:color w:val="000000" w:themeColor="text1"/>
          <w:lang w:val="en-US" w:eastAsia="zh-CN"/>
          <w14:textFill>
            <w14:solidFill>
              <w14:schemeClr w14:val="tx1"/>
            </w14:solidFill>
          </w14:textFill>
        </w:rPr>
        <w:t>了</w:t>
      </w:r>
      <w:r>
        <w:rPr>
          <w:rFonts w:hint="eastAsia" w:ascii="宋体" w:hAnsi="宋体" w:eastAsia="宋体"/>
          <w:color w:val="000000" w:themeColor="text1"/>
          <w14:textFill>
            <w14:solidFill>
              <w14:schemeClr w14:val="tx1"/>
            </w14:solidFill>
          </w14:textFill>
        </w:rPr>
        <w:t>原有的1000维分类头，直接采用全局平均池化（GAP）输出2048维特征，从而完整保留预训练模型在大规模视觉数据上学得的层次化表征，避免降维带来的信息丢失。</w:t>
      </w:r>
    </w:p>
    <w:p w14:paraId="676DFD37">
      <w:pPr>
        <w:numPr>
          <w:ilvl w:val="0"/>
          <w:numId w:val="7"/>
        </w:numPr>
        <w:rPr>
          <w:rFonts w:hint="eastAsia"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微调策略灵活性</w:t>
      </w:r>
      <w:r>
        <w:rPr>
          <w:rFonts w:hint="eastAsia" w:ascii="宋体" w:hAnsi="宋体" w:eastAsia="宋体"/>
          <w:color w:val="000000" w:themeColor="text1"/>
          <w14:textFill>
            <w14:solidFill>
              <w14:schemeClr w14:val="tx1"/>
            </w14:solidFill>
          </w14:textFill>
        </w:rPr>
        <w:t>：整个</w:t>
      </w:r>
      <w:r>
        <w:rPr>
          <w:rFonts w:ascii="宋体" w:hAnsi="宋体" w:eastAsia="宋体" w:cs="宋体"/>
          <w:color w:val="000000" w:themeColor="text1"/>
          <w:sz w:val="24"/>
          <w:szCs w:val="24"/>
          <w14:textFill>
            <w14:solidFill>
              <w14:schemeClr w14:val="tx1"/>
            </w14:solidFill>
          </w14:textFill>
        </w:rPr>
        <w:t>编码器保留完整的前向表达能力，</w:t>
      </w:r>
      <w:r>
        <w:rPr>
          <w:rFonts w:hint="eastAsia" w:ascii="宋体" w:hAnsi="宋体" w:eastAsia="宋体" w:cs="宋体"/>
          <w:color w:val="000000" w:themeColor="text1"/>
          <w:sz w:val="24"/>
          <w:szCs w:val="24"/>
          <w:lang w:val="en-US" w:eastAsia="zh-CN"/>
          <w14:textFill>
            <w14:solidFill>
              <w14:schemeClr w14:val="tx1"/>
            </w14:solidFill>
          </w14:textFill>
        </w:rPr>
        <w:t>可以</w:t>
      </w:r>
      <w:r>
        <w:rPr>
          <w:rFonts w:ascii="宋体" w:hAnsi="宋体" w:eastAsia="宋体" w:cs="宋体"/>
          <w:color w:val="000000" w:themeColor="text1"/>
          <w:sz w:val="24"/>
          <w:szCs w:val="24"/>
          <w14:textFill>
            <w14:solidFill>
              <w14:schemeClr w14:val="tx1"/>
            </w14:solidFill>
          </w14:textFill>
        </w:rPr>
        <w:t>根据任务需要灵活选择仅微调尾部若干层或进行端到端微调，而不受原分类头参数分布的限制。</w:t>
      </w:r>
    </w:p>
    <w:p w14:paraId="059EC14E">
      <w:pPr>
        <w:numPr>
          <w:ilvl w:val="0"/>
          <w:numId w:val="7"/>
        </w:numPr>
        <w:rPr>
          <w:rFonts w:hint="eastAsia"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推理效率</w:t>
      </w:r>
      <w:r>
        <w:rPr>
          <w:rFonts w:hint="eastAsia" w:ascii="宋体" w:hAnsi="宋体" w:eastAsia="宋体"/>
          <w:color w:val="000000" w:themeColor="text1"/>
          <w14:textFill>
            <w14:solidFill>
              <w14:schemeClr w14:val="tx1"/>
            </w14:solidFill>
          </w14:textFill>
        </w:rPr>
        <w:t>：相较于重新训练一个深层卷积网络，我们的方案只需加载预训练权重并移除少量参数，显著降低训练成本，并在推理阶段保持较高的计算效率。</w:t>
      </w:r>
    </w:p>
    <w:p w14:paraId="7E3F1614">
      <w:pPr>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通过去除分类头并保留完整的2048维特征，图像编码器不仅能够最大程度地保留预训练模型在大规模视觉数据上学到的多层次语义与纹理信息，还保持了与下游模块的无缝接口对接；这种设计既避免了额外参数带来的训练负担，又支持在不同任务场景下灵活地选择局部或端到端微调策略，从而在保证高维表达能力的同时，显著提升了模型对小样本多模态融合任务的适应性和效率。</w:t>
      </w:r>
    </w:p>
    <w:p w14:paraId="4992A222">
      <w:pPr>
        <w:rPr>
          <w:b/>
          <w:bCs/>
          <w:color w:val="000000" w:themeColor="text1"/>
          <w:sz w:val="28"/>
          <w:szCs w:val="28"/>
          <w14:textFill>
            <w14:solidFill>
              <w14:schemeClr w14:val="tx1"/>
            </w14:solidFill>
          </w14:textFill>
        </w:rPr>
      </w:pPr>
      <w:r>
        <w:rPr>
          <w:rFonts w:hint="eastAsia"/>
          <w:b/>
          <w:bCs/>
          <w:color w:val="000000" w:themeColor="text1"/>
          <w:sz w:val="28"/>
          <w:szCs w:val="28"/>
          <w14:textFill>
            <w14:solidFill>
              <w14:schemeClr w14:val="tx1"/>
            </w14:solidFill>
          </w14:textFill>
        </w:rPr>
        <w:t>表格编码器</w:t>
      </w:r>
    </w:p>
    <w:p w14:paraId="29494AC6">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针对术前临床指标这一结构化数据，我们构建了一个浅层但具备充分非线性表达能力的多层感知机（MLP），其具体设计与实现如下：</w:t>
      </w:r>
    </w:p>
    <w:p w14:paraId="62DBA0E7">
      <w:pPr>
        <w:numPr>
          <w:ilvl w:val="0"/>
          <w:numId w:val="8"/>
        </w:numPr>
        <w:rPr>
          <w:rFonts w:hint="eastAsia"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预处理与缺失值处理：</w:t>
      </w:r>
      <w:r>
        <w:rPr>
          <w:rFonts w:hint="eastAsia" w:ascii="宋体" w:hAnsi="宋体" w:eastAsia="宋体"/>
          <w:color w:val="000000" w:themeColor="text1"/>
          <w14:textFill>
            <w14:solidFill>
              <w14:schemeClr w14:val="tx1"/>
            </w14:solidFill>
          </w14:textFill>
        </w:rPr>
        <w:t>在输入网络之前，对所有术前指标统一进行Z-score 标准化，确保不同量纲的指标分布均衡，避免学习速率和梯度更新受到单个变量尺度差异的影响。同时对缺失值采用中位数插补，以提升模型对真实医疗场景下不完整数据的鲁棒性。</w:t>
      </w:r>
    </w:p>
    <w:p w14:paraId="6A8A2E23">
      <w:pPr>
        <w:numPr>
          <w:ilvl w:val="0"/>
          <w:numId w:val="8"/>
        </w:numPr>
        <w:rPr>
          <w:rFonts w:hint="eastAsia"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两层非线性映射：</w:t>
      </w:r>
      <w:r>
        <w:rPr>
          <w:rFonts w:hint="eastAsia" w:ascii="宋体" w:hAnsi="宋体" w:eastAsia="宋体"/>
          <w:color w:val="000000" w:themeColor="text1"/>
          <w14:textFill>
            <w14:solidFill>
              <w14:schemeClr w14:val="tx1"/>
            </w14:solidFill>
          </w14:textFill>
        </w:rPr>
        <w:t>将原始多维临床指标先投射至128维空间以捕捉基础相关性，再在同一维度中通过第二次线性变换挖掘深层特征交互，从而在小样本条件下实现更丰富的表达能力。</w:t>
      </w:r>
    </w:p>
    <w:p w14:paraId="2C5D9449">
      <w:pPr>
        <w:numPr>
          <w:ilvl w:val="0"/>
          <w:numId w:val="8"/>
        </w:numPr>
        <w:jc w:val="left"/>
        <w:rPr>
          <w:rFonts w:hint="eastAsia" w:ascii="宋体" w:hAnsi="宋体" w:eastAsia="宋体"/>
          <w:color w:val="000000" w:themeColor="text1"/>
          <w14:textFill>
            <w14:solidFill>
              <w14:schemeClr w14:val="tx1"/>
            </w14:solidFill>
          </w14:textFill>
        </w:rPr>
      </w:pPr>
      <w:r>
        <w:rPr>
          <w:rFonts w:eastAsia="宋体" w:cs="Times New Roman"/>
          <w:b/>
          <w:bCs/>
          <w:color w:val="000000" w:themeColor="text1"/>
          <w14:textFill>
            <w14:solidFill>
              <w14:schemeClr w14:val="tx1"/>
            </w14:solidFill>
          </w14:textFill>
        </w:rPr>
        <w:t>ReLU</w:t>
      </w:r>
      <w:r>
        <w:rPr>
          <w:rFonts w:hint="eastAsia" w:ascii="宋体" w:hAnsi="宋体" w:eastAsia="宋体"/>
          <w:b/>
          <w:bCs/>
          <w:color w:val="000000" w:themeColor="text1"/>
          <w14:textFill>
            <w14:solidFill>
              <w14:schemeClr w14:val="tx1"/>
            </w14:solidFill>
          </w14:textFill>
        </w:rPr>
        <w:t>激活与</w:t>
      </w:r>
      <w:r>
        <w:rPr>
          <w:rFonts w:eastAsia="宋体" w:cs="Times New Roman"/>
          <w:b/>
          <w:bCs/>
          <w:color w:val="000000" w:themeColor="text1"/>
          <w14:textFill>
            <w14:solidFill>
              <w14:schemeClr w14:val="tx1"/>
            </w14:solidFill>
          </w14:textFill>
        </w:rPr>
        <w:t>Dropout</w:t>
      </w:r>
      <w:r>
        <w:rPr>
          <w:rFonts w:hint="eastAsia" w:ascii="宋体" w:hAnsi="宋体" w:eastAsia="宋体"/>
          <w:b/>
          <w:bCs/>
          <w:color w:val="000000" w:themeColor="text1"/>
          <w14:textFill>
            <w14:solidFill>
              <w14:schemeClr w14:val="tx1"/>
            </w14:solidFill>
          </w14:textFill>
        </w:rPr>
        <w:t>正则化：</w:t>
      </w:r>
      <w:r>
        <w:rPr>
          <w:rFonts w:hint="eastAsia" w:ascii="宋体" w:hAnsi="宋体" w:eastAsia="宋体"/>
          <w:b w:val="0"/>
          <w:bCs w:val="0"/>
          <w:color w:val="000000" w:themeColor="text1"/>
          <w14:textFill>
            <w14:solidFill>
              <w14:schemeClr w14:val="tx1"/>
            </w14:solidFill>
          </w14:textFill>
        </w:rPr>
        <w:t>每次线性映射后均采用</w:t>
      </w:r>
      <w:r>
        <w:rPr>
          <w:rFonts w:hint="default" w:ascii="Times New Roman" w:hAnsi="Times New Roman" w:eastAsia="宋体" w:cs="Times New Roman"/>
          <w:b w:val="0"/>
          <w:bCs w:val="0"/>
          <w:color w:val="000000" w:themeColor="text1"/>
          <w14:textFill>
            <w14:solidFill>
              <w14:schemeClr w14:val="tx1"/>
            </w14:solidFill>
          </w14:textFill>
        </w:rPr>
        <w:t xml:space="preserve"> ReLU </w:t>
      </w:r>
      <w:r>
        <w:rPr>
          <w:rFonts w:hint="eastAsia" w:ascii="宋体" w:hAnsi="宋体" w:eastAsia="宋体"/>
          <w:b w:val="0"/>
          <w:bCs w:val="0"/>
          <w:color w:val="000000" w:themeColor="text1"/>
          <w14:textFill>
            <w14:solidFill>
              <w14:schemeClr w14:val="tx1"/>
            </w14:solidFill>
          </w14:textFill>
        </w:rPr>
        <w:t>激活以提供非线性表达并缓解梯度消失，</w:t>
      </w:r>
      <w:r>
        <w:rPr>
          <w:rFonts w:hint="eastAsia" w:ascii="宋体" w:hAnsi="宋体" w:eastAsia="宋体"/>
          <w:color w:val="000000" w:themeColor="text1"/>
          <w14:textFill>
            <w14:solidFill>
              <w14:schemeClr w14:val="tx1"/>
            </w14:solidFill>
          </w14:textFill>
        </w:rPr>
        <w:t>随后</w:t>
      </w:r>
      <w:r>
        <w:rPr>
          <w:rFonts w:hint="eastAsia" w:ascii="宋体" w:hAnsi="宋体" w:eastAsia="宋体"/>
          <w:color w:val="000000" w:themeColor="text1"/>
          <w:lang w:val="en-US" w:eastAsia="zh-CN"/>
          <w14:textFill>
            <w14:solidFill>
              <w14:schemeClr w14:val="tx1"/>
            </w14:solidFill>
          </w14:textFill>
        </w:rPr>
        <w:t>用</w:t>
      </w:r>
      <w:r>
        <w:rPr>
          <w:rFonts w:hint="eastAsia" w:ascii="宋体" w:hAnsi="宋体" w:eastAsia="宋体"/>
          <w:color w:val="000000" w:themeColor="text1"/>
          <w14:textFill>
            <w14:solidFill>
              <w14:schemeClr w14:val="tx1"/>
            </w14:solidFill>
          </w14:textFill>
        </w:rPr>
        <w:t>Dropout</w:t>
      </w:r>
      <w:r>
        <w:rPr>
          <w:rFonts w:hint="eastAsia" w:ascii="宋体" w:hAnsi="宋体" w:eastAsia="宋体"/>
          <w:color w:val="000000" w:themeColor="text1"/>
          <w:lang w:val="en-US" w:eastAsia="zh-CN"/>
          <w14:textFill>
            <w14:solidFill>
              <w14:schemeClr w14:val="tx1"/>
            </w14:solidFill>
          </w14:textFill>
        </w:rPr>
        <w:t>正则化（丢弃率</w:t>
      </w:r>
      <w:r>
        <w:rPr>
          <w:rFonts w:hint="eastAsia" w:ascii="宋体" w:hAnsi="宋体" w:eastAsia="宋体"/>
          <w:color w:val="000000" w:themeColor="text1"/>
          <w14:textFill>
            <w14:solidFill>
              <w14:schemeClr w14:val="tx1"/>
            </w14:solidFill>
          </w14:textFill>
        </w:rPr>
        <w:t>0.2</w:t>
      </w:r>
      <w:r>
        <w:rPr>
          <w:rFonts w:hint="eastAsia" w:ascii="宋体" w:hAnsi="宋体" w:eastAsia="宋体"/>
          <w:color w:val="000000" w:themeColor="text1"/>
          <w:vertAlign w:val="superscript"/>
          <w14:textFill>
            <w14:solidFill>
              <w14:schemeClr w14:val="tx1"/>
            </w14:solidFill>
          </w14:textFill>
        </w:rPr>
        <w:fldChar w:fldCharType="begin"/>
      </w:r>
      <w:r>
        <w:rPr>
          <w:rFonts w:hint="eastAsia" w:ascii="宋体" w:hAnsi="宋体" w:eastAsia="宋体"/>
          <w:color w:val="000000" w:themeColor="text1"/>
          <w:vertAlign w:val="superscript"/>
          <w14:textFill>
            <w14:solidFill>
              <w14:schemeClr w14:val="tx1"/>
            </w14:solidFill>
          </w14:textFill>
        </w:rPr>
        <w:instrText xml:space="preserve"> REF _Ref9687 \r \h </w:instrText>
      </w:r>
      <w:r>
        <w:rPr>
          <w:rFonts w:hint="eastAsia" w:ascii="宋体" w:hAnsi="宋体" w:eastAsia="宋体"/>
          <w:color w:val="000000" w:themeColor="text1"/>
          <w:vertAlign w:val="superscript"/>
          <w14:textFill>
            <w14:solidFill>
              <w14:schemeClr w14:val="tx1"/>
            </w14:solidFill>
          </w14:textFill>
        </w:rPr>
        <w:fldChar w:fldCharType="separate"/>
      </w:r>
      <w:r>
        <w:rPr>
          <w:rFonts w:hint="eastAsia" w:ascii="宋体" w:hAnsi="宋体" w:eastAsia="宋体"/>
          <w:color w:val="000000" w:themeColor="text1"/>
          <w:vertAlign w:val="superscript"/>
          <w14:textFill>
            <w14:solidFill>
              <w14:schemeClr w14:val="tx1"/>
            </w14:solidFill>
          </w14:textFill>
        </w:rPr>
        <w:t>[37]</w:t>
      </w:r>
      <w:r>
        <w:rPr>
          <w:rFonts w:hint="eastAsia"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lang w:val="en-US" w:eastAsia="zh-CN"/>
          <w14:textFill>
            <w14:solidFill>
              <w14:schemeClr w14:val="tx1"/>
            </w14:solidFill>
          </w14:textFill>
        </w:rPr>
        <w:t>），</w:t>
      </w:r>
      <w:r>
        <w:rPr>
          <w:rFonts w:hint="eastAsia" w:ascii="宋体" w:hAnsi="宋体" w:eastAsia="宋体"/>
          <w:color w:val="000000" w:themeColor="text1"/>
          <w14:textFill>
            <w14:solidFill>
              <w14:schemeClr w14:val="tx1"/>
            </w14:solidFill>
          </w14:textFill>
        </w:rPr>
        <w:t>随机屏蔽部分神经元，防止模型过度依赖少数特征，从而在小样本环境下显著提升泛化能力。</w:t>
      </w:r>
    </w:p>
    <w:p w14:paraId="71EBD60D">
      <w:pPr>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该表格编码器通过</w:t>
      </w:r>
      <w:r>
        <w:rPr>
          <w:rFonts w:hint="eastAsia" w:ascii="宋体" w:hAnsi="宋体" w:eastAsia="宋体"/>
          <w:b/>
          <w:bCs/>
          <w:color w:val="000000" w:themeColor="text1"/>
          <w14:textFill>
            <w14:solidFill>
              <w14:schemeClr w14:val="tx1"/>
            </w14:solidFill>
          </w14:textFill>
        </w:rPr>
        <w:t>“</w:t>
      </w:r>
      <w:r>
        <w:rPr>
          <w:rFonts w:eastAsia="宋体" w:cs="Times New Roman"/>
          <w:b/>
          <w:bCs/>
          <w:color w:val="000000" w:themeColor="text1"/>
          <w14:textFill>
            <w14:solidFill>
              <w14:schemeClr w14:val="tx1"/>
            </w14:solidFill>
          </w14:textFill>
        </w:rPr>
        <w:t>两层线性映射</w:t>
      </w:r>
      <w:r>
        <w:rPr>
          <w:rFonts w:hint="eastAsia" w:ascii="宋体" w:hAnsi="宋体" w:eastAsia="宋体"/>
          <w:b/>
          <w:bCs/>
          <w:color w:val="000000" w:themeColor="text1"/>
          <w14:textFill>
            <w14:solidFill>
              <w14:schemeClr w14:val="tx1"/>
            </w14:solidFill>
          </w14:textFill>
        </w:rPr>
        <w:t>+</w:t>
      </w:r>
      <w:r>
        <w:rPr>
          <w:rFonts w:eastAsia="宋体" w:cs="Times New Roman"/>
          <w:b/>
          <w:bCs/>
          <w:color w:val="000000" w:themeColor="text1"/>
          <w14:textFill>
            <w14:solidFill>
              <w14:schemeClr w14:val="tx1"/>
            </w14:solidFill>
          </w14:textFill>
        </w:rPr>
        <w:t>ReLU激活</w:t>
      </w:r>
      <w:r>
        <w:rPr>
          <w:rFonts w:hint="eastAsia" w:ascii="宋体" w:hAnsi="宋体" w:eastAsia="宋体"/>
          <w:b/>
          <w:bCs/>
          <w:color w:val="000000" w:themeColor="text1"/>
          <w14:textFill>
            <w14:solidFill>
              <w14:schemeClr w14:val="tx1"/>
            </w14:solidFill>
          </w14:textFill>
        </w:rPr>
        <w:t>+</w:t>
      </w:r>
      <w:r>
        <w:rPr>
          <w:rFonts w:eastAsia="宋体" w:cs="Times New Roman"/>
          <w:b/>
          <w:bCs/>
          <w:color w:val="000000" w:themeColor="text1"/>
          <w14:textFill>
            <w14:solidFill>
              <w14:schemeClr w14:val="tx1"/>
            </w14:solidFill>
          </w14:textFill>
        </w:rPr>
        <w:t xml:space="preserve">Dropout </w:t>
      </w:r>
      <w:r>
        <w:rPr>
          <w:rFonts w:hint="eastAsia" w:ascii="宋体" w:hAnsi="宋体" w:eastAsia="宋体"/>
          <w:b/>
          <w:bCs/>
          <w:color w:val="000000" w:themeColor="text1"/>
          <w14:textFill>
            <w14:solidFill>
              <w14:schemeClr w14:val="tx1"/>
            </w14:solidFill>
          </w14:textFill>
        </w:rPr>
        <w:t>正则化”</w:t>
      </w:r>
      <w:r>
        <w:rPr>
          <w:rFonts w:hint="eastAsia" w:ascii="宋体" w:hAnsi="宋体" w:eastAsia="宋体"/>
          <w:color w:val="000000" w:themeColor="text1"/>
          <w14:textFill>
            <w14:solidFill>
              <w14:schemeClr w14:val="tx1"/>
            </w14:solidFill>
          </w14:textFill>
        </w:rPr>
        <w:t>的组合，不仅充分实现了对术前临床指标的非线性抽象和深层交互挖掘，还在样本量受限的情况下，有效抑制了过拟合风险，为后续多模态融合和原型学习提供了稳定且高质量的结构化特征表示。</w:t>
      </w:r>
    </w:p>
    <w:p w14:paraId="7EB1450D">
      <w:pPr>
        <w:keepNext w:val="0"/>
        <w:keepLines w:val="0"/>
        <w:pageBreakBefore w:val="0"/>
        <w:widowControl w:val="0"/>
        <w:numPr>
          <w:ilvl w:val="2"/>
          <w:numId w:val="1"/>
        </w:numPr>
        <w:kinsoku/>
        <w:wordWrap/>
        <w:overflowPunct/>
        <w:topLinePunct w:val="0"/>
        <w:autoSpaceDE/>
        <w:autoSpaceDN/>
        <w:bidi w:val="0"/>
        <w:adjustRightInd/>
        <w:snapToGrid/>
        <w:ind w:left="709" w:hanging="709"/>
        <w:textAlignment w:val="auto"/>
        <w:outlineLvl w:val="2"/>
        <w:rPr>
          <w:b/>
          <w:bCs/>
          <w:color w:val="000000" w:themeColor="text1"/>
          <w:sz w:val="28"/>
          <w:szCs w:val="28"/>
          <w14:textFill>
            <w14:solidFill>
              <w14:schemeClr w14:val="tx1"/>
            </w14:solidFill>
          </w14:textFill>
        </w:rPr>
      </w:pPr>
      <w:bookmarkStart w:id="73" w:name="_Toc1233"/>
      <w:bookmarkStart w:id="74" w:name="_Toc12612"/>
      <w:bookmarkStart w:id="75" w:name="_Toc17219"/>
      <w:bookmarkStart w:id="76" w:name="_Toc13729"/>
      <w:bookmarkStart w:id="77" w:name="_Toc11209"/>
      <w:r>
        <w:rPr>
          <w:rFonts w:hint="eastAsia"/>
          <w:b/>
          <w:bCs/>
          <w:color w:val="000000" w:themeColor="text1"/>
          <w:sz w:val="28"/>
          <w:szCs w:val="28"/>
          <w14:textFill>
            <w14:solidFill>
              <w14:schemeClr w14:val="tx1"/>
            </w14:solidFill>
          </w14:textFill>
        </w:rPr>
        <w:t>动态门控融合机制</w:t>
      </w:r>
      <w:bookmarkEnd w:id="73"/>
      <w:bookmarkEnd w:id="74"/>
      <w:bookmarkEnd w:id="75"/>
      <w:bookmarkEnd w:id="76"/>
      <w:bookmarkEnd w:id="77"/>
    </w:p>
    <w:p w14:paraId="3E82E902">
      <w:pPr>
        <w:ind w:firstLine="420"/>
        <w:rPr>
          <w:rFonts w:hint="eastAsia" w:eastAsia="宋体"/>
          <w:b/>
          <w:bCs/>
          <w:color w:val="000000" w:themeColor="text1"/>
          <w:sz w:val="28"/>
          <w:szCs w:val="28"/>
          <w:lang w:val="en-US" w:eastAsia="zh-CN"/>
          <w14:textFill>
            <w14:solidFill>
              <w14:schemeClr w14:val="tx1"/>
            </w14:solidFill>
          </w14:textFill>
        </w:rPr>
      </w:pPr>
      <w:r>
        <w:rPr>
          <w:rFonts w:hint="eastAsia" w:ascii="宋体" w:hAnsi="宋体" w:eastAsia="宋体"/>
          <w:color w:val="000000" w:themeColor="text1"/>
          <w14:textFill>
            <w14:solidFill>
              <w14:schemeClr w14:val="tx1"/>
            </w14:solidFill>
          </w14:textFill>
        </w:rPr>
        <w:t>为了在有限样本条件下有效整合视觉与结构化信息，我们引入了一种</w:t>
      </w:r>
      <w:r>
        <w:rPr>
          <w:rFonts w:hint="eastAsia" w:ascii="宋体" w:hAnsi="宋体" w:eastAsia="宋体"/>
          <w:b/>
          <w:bCs/>
          <w:color w:val="000000" w:themeColor="text1"/>
          <w14:textFill>
            <w14:solidFill>
              <w14:schemeClr w14:val="tx1"/>
            </w14:solidFill>
          </w14:textFill>
        </w:rPr>
        <w:t>动态门控融合机制</w:t>
      </w:r>
      <w:r>
        <w:rPr>
          <w:rFonts w:hint="eastAsia" w:ascii="宋体" w:hAnsi="宋体" w:eastAsia="宋体"/>
          <w:color w:val="000000" w:themeColor="text1"/>
          <w14:textFill>
            <w14:solidFill>
              <w14:schemeClr w14:val="tx1"/>
            </w14:solidFill>
          </w14:textFill>
        </w:rPr>
        <w:t>，它能够根据每个样本的特征分布，自适应地分配两路模态的贡献权重。这种机制的实现能够保证在跨模态深度交互的同时，通过样本自适应权重分配，有效缓解了信息不平衡与过拟合问题。</w:t>
      </w:r>
      <w:r>
        <w:rPr>
          <w:rFonts w:hint="eastAsia" w:ascii="宋体" w:hAnsi="宋体" w:eastAsia="宋体"/>
          <w:color w:val="000000" w:themeColor="text1"/>
          <w:lang w:val="en-US" w:eastAsia="zh-CN"/>
          <w14:textFill>
            <w14:solidFill>
              <w14:schemeClr w14:val="tx1"/>
            </w14:solidFill>
          </w14:textFill>
        </w:rPr>
        <w:t>整体的</w:t>
      </w:r>
      <w:r>
        <w:rPr>
          <w:rFonts w:hint="eastAsia" w:ascii="宋体" w:hAnsi="宋体" w:eastAsia="宋体"/>
          <w:color w:val="000000" w:themeColor="text1"/>
          <w14:textFill>
            <w14:solidFill>
              <w14:schemeClr w14:val="tx1"/>
            </w14:solidFill>
          </w14:textFill>
        </w:rPr>
        <w:t>模块架构</w:t>
      </w:r>
      <w:r>
        <w:rPr>
          <w:rFonts w:hint="eastAsia" w:ascii="宋体" w:hAnsi="宋体" w:eastAsia="宋体"/>
          <w:color w:val="000000" w:themeColor="text1"/>
          <w:lang w:val="en-US" w:eastAsia="zh-CN"/>
          <w14:textFill>
            <w14:solidFill>
              <w14:schemeClr w14:val="tx1"/>
            </w14:solidFill>
          </w14:textFill>
        </w:rPr>
        <w:t>如下：</w:t>
      </w:r>
    </w:p>
    <w:p w14:paraId="42BC4A45">
      <w:pPr>
        <w:numPr>
          <w:ilvl w:val="0"/>
          <w:numId w:val="9"/>
        </w:numPr>
        <w:rPr>
          <w:rFonts w:hint="eastAsia"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特征拼接：</w:t>
      </w:r>
      <w:r>
        <w:rPr>
          <w:rFonts w:hint="eastAsia" w:ascii="宋体" w:hAnsi="宋体" w:eastAsia="宋体"/>
          <w:color w:val="000000" w:themeColor="text1"/>
          <w14:textFill>
            <w14:solidFill>
              <w14:schemeClr w14:val="tx1"/>
            </w14:solidFill>
          </w14:textFill>
        </w:rPr>
        <w:t>将图像编码器输出的2048维视觉特征</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f</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img</m:t>
            </m:r>
            <m:ctrlPr>
              <w:rPr>
                <w:rFonts w:hint="eastAsia" w:ascii="Cambria Math" w:hAnsi="Cambria Math" w:eastAsia="宋体"/>
                <w:color w:val="000000" w:themeColor="text1"/>
                <w14:textFill>
                  <w14:solidFill>
                    <w14:schemeClr w14:val="tx1"/>
                  </w14:solidFill>
                </w14:textFill>
              </w:rPr>
            </m:ctrlPr>
          </m:sub>
        </m:sSub>
      </m:oMath>
      <w:r>
        <w:rPr>
          <w:rFonts w:hint="eastAsia" w:ascii="宋体" w:hAnsi="宋体" w:eastAsia="宋体"/>
          <w:color w:val="000000" w:themeColor="text1"/>
          <w14:textFill>
            <w14:solidFill>
              <w14:schemeClr w14:val="tx1"/>
            </w14:solidFill>
          </w14:textFill>
        </w:rPr>
        <w:t>与表格编码器输出的128维结构化特征</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f</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tab</m:t>
            </m:r>
            <m:ctrlPr>
              <w:rPr>
                <w:rFonts w:hint="eastAsia" w:ascii="Cambria Math" w:hAnsi="Cambria Math" w:eastAsia="宋体"/>
                <w:color w:val="000000" w:themeColor="text1"/>
                <w14:textFill>
                  <w14:solidFill>
                    <w14:schemeClr w14:val="tx1"/>
                  </w14:solidFill>
                </w14:textFill>
              </w:rPr>
            </m:ctrlPr>
          </m:sub>
        </m:sSub>
      </m:oMath>
      <w:r>
        <w:rPr>
          <w:rFonts w:hint="eastAsia" w:ascii="宋体" w:hAnsi="宋体" w:eastAsia="宋体"/>
          <w:color w:val="000000" w:themeColor="text1"/>
          <w14:textFill>
            <w14:solidFill>
              <w14:schemeClr w14:val="tx1"/>
            </w14:solidFill>
          </w14:textFill>
        </w:rPr>
        <w:t>在特征维度上进行拼接，得到一个</w:t>
      </w:r>
      <m:oMath>
        <m:d>
          <m:dPr>
            <m:ctrlPr>
              <w:rPr>
                <w:rFonts w:hint="eastAsia" w:ascii="Cambria Math" w:hAnsi="Cambria Math" w:eastAsia="宋体"/>
                <w:color w:val="000000" w:themeColor="text1"/>
                <w14:textFill>
                  <w14:solidFill>
                    <w14:schemeClr w14:val="tx1"/>
                  </w14:solidFill>
                </w14:textFill>
              </w:rPr>
            </m:ctrlPr>
          </m:dPr>
          <m:e>
            <m:r>
              <m:rPr>
                <m:sty m:val="p"/>
              </m:rPr>
              <w:rPr>
                <w:rFonts w:hint="eastAsia" w:ascii="Cambria Math" w:hAnsi="Cambria Math" w:eastAsia="宋体"/>
                <w:color w:val="000000" w:themeColor="text1"/>
                <w14:textFill>
                  <w14:solidFill>
                    <w14:schemeClr w14:val="tx1"/>
                  </w14:solidFill>
                </w14:textFill>
              </w:rPr>
              <m:t>2048+128</m:t>
            </m:r>
            <m:ctrlPr>
              <w:rPr>
                <w:rFonts w:hint="eastAsia" w:ascii="Cambria Math" w:hAnsi="Cambria Math" w:eastAsia="宋体"/>
                <w:color w:val="000000" w:themeColor="text1"/>
                <w14:textFill>
                  <w14:solidFill>
                    <w14:schemeClr w14:val="tx1"/>
                  </w14:solidFill>
                </w14:textFill>
              </w:rPr>
            </m:ctrlPr>
          </m:e>
        </m:d>
      </m:oMath>
      <w:r>
        <w:rPr>
          <w:rFonts w:hint="eastAsia" w:ascii="宋体" w:hAnsi="宋体" w:eastAsia="宋体"/>
          <w:color w:val="000000" w:themeColor="text1"/>
          <w14:textFill>
            <w14:solidFill>
              <w14:schemeClr w14:val="tx1"/>
            </w14:solidFill>
          </w14:textFill>
        </w:rPr>
        <w:t>维的联合向量：</w:t>
      </w:r>
      <w:r>
        <w:rPr>
          <w:rFonts w:hint="eastAsia" w:ascii="宋体" w:hAnsi="宋体" w:eastAsia="宋体"/>
          <w:color w:val="000000" w:themeColor="text1"/>
          <w14:textFill>
            <w14:solidFill>
              <w14:schemeClr w14:val="tx1"/>
            </w14:solidFill>
          </w14:textFill>
        </w:rPr>
        <w:br w:type="textWrapping"/>
      </w:r>
      <m:oMathPara>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f</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concat</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d>
            <m:dPr>
              <m:begChr m:val="["/>
              <m:endChr m:val="]"/>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f</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img</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b>
                <m:sSubPr>
                  <m:ctrlPr>
                    <w:rPr>
                      <w:rFonts w:hint="eastAsia" w:ascii="Cambria Math" w:hAnsi="Cambria Math" w:eastAsia="宋体"/>
                      <w:color w:val="000000" w:themeColor="text1"/>
                      <w14:textFill>
                        <w14:solidFill>
                          <w14:schemeClr w14:val="tx1"/>
                        </w14:solidFill>
                      </w14:textFill>
                    </w:rPr>
                  </m:ctrlPr>
                </m:sSubPr>
                <m:e>
                  <m:r>
                    <m:rPr>
                      <m:sty m:val="p"/>
                    </m:rPr>
                    <w:rPr>
                      <w:rFonts w:ascii="Cambria Math" w:hAnsi="Cambria Math" w:eastAsia="宋体"/>
                      <w:color w:val="000000" w:themeColor="text1"/>
                      <w14:textFill>
                        <w14:solidFill>
                          <w14:schemeClr w14:val="tx1"/>
                        </w14:solidFill>
                      </w14:textFill>
                    </w:rPr>
                    <m:t>f</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tab</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r>
            <m:rPr>
              <m:sty m:val="p"/>
            </m:rPr>
            <w:rPr>
              <w:rFonts w:hint="eastAsia" w:ascii="Cambria Math" w:hAnsi="Cambria Math" w:eastAsia="宋体"/>
              <w:color w:val="000000" w:themeColor="text1"/>
              <w14:textFill>
                <w14:solidFill>
                  <w14:schemeClr w14:val="tx1"/>
                </w14:solidFill>
              </w14:textFill>
            </w:rPr>
            <m:t>∈</m:t>
          </m:r>
          <m:sSup>
            <m:sSupPr>
              <m:ctrlPr>
                <w:rPr>
                  <w:rFonts w:hint="eastAsia" w:ascii="Cambria Math" w:hAnsi="Cambria Math" w:eastAsia="宋体"/>
                  <w:color w:val="000000" w:themeColor="text1"/>
                  <w14:textFill>
                    <w14:solidFill>
                      <w14:schemeClr w14:val="tx1"/>
                    </w14:solidFill>
                  </w14:textFill>
                </w:rPr>
              </m:ctrlPr>
            </m:sSupPr>
            <m:e>
              <m:r>
                <m:rPr>
                  <m:sty m:val="p"/>
                </m:rPr>
                <w:rPr>
                  <w:rFonts w:hint="eastAsia" w:ascii="Cambria Math" w:hAnsi="Cambria Math" w:eastAsia="宋体"/>
                  <w:color w:val="000000" w:themeColor="text1"/>
                  <w14:textFill>
                    <w14:solidFill>
                      <w14:schemeClr w14:val="tx1"/>
                    </w14:solidFill>
                  </w14:textFill>
                </w:rPr>
                <m:t>R</m:t>
              </m:r>
              <m:ctrlPr>
                <w:rPr>
                  <w:rFonts w:hint="eastAsia" w:ascii="Cambria Math" w:hAnsi="Cambria Math" w:eastAsia="宋体"/>
                  <w:color w:val="000000" w:themeColor="text1"/>
                  <w14:textFill>
                    <w14:solidFill>
                      <w14:schemeClr w14:val="tx1"/>
                    </w14:solidFill>
                  </w14:textFill>
                </w:rPr>
              </m:ctrlPr>
            </m:e>
            <m:sup>
              <m:r>
                <m:rPr>
                  <m:sty m:val="p"/>
                </m:rPr>
                <w:rPr>
                  <w:rFonts w:hint="eastAsia" w:ascii="Cambria Math" w:hAnsi="Cambria Math" w:eastAsia="宋体"/>
                  <w:color w:val="000000" w:themeColor="text1"/>
                  <w14:textFill>
                    <w14:solidFill>
                      <w14:schemeClr w14:val="tx1"/>
                    </w14:solidFill>
                  </w14:textFill>
                </w:rPr>
                <m:t>2176</m:t>
              </m:r>
              <m:ctrlPr>
                <w:rPr>
                  <w:rFonts w:hint="eastAsia" w:ascii="Cambria Math" w:hAnsi="Cambria Math" w:eastAsia="宋体"/>
                  <w:color w:val="000000" w:themeColor="text1"/>
                  <w14:textFill>
                    <w14:solidFill>
                      <w14:schemeClr w14:val="tx1"/>
                    </w14:solidFill>
                  </w14:textFill>
                </w:rPr>
              </m:ctrlPr>
            </m:sup>
          </m:sSup>
        </m:oMath>
      </m:oMathPara>
    </w:p>
    <w:p w14:paraId="35219E0C">
      <w:pPr>
        <w:numPr>
          <w:ilvl w:val="0"/>
          <w:numId w:val="9"/>
        </w:numPr>
        <w:rPr>
          <w:rFonts w:hint="eastAsia"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双层全连接：</w:t>
      </w:r>
      <w:r>
        <w:rPr>
          <w:rFonts w:hint="eastAsia" w:ascii="宋体" w:hAnsi="宋体" w:eastAsia="宋体"/>
          <w:color w:val="000000" w:themeColor="text1"/>
          <w14:textFill>
            <w14:solidFill>
              <w14:schemeClr w14:val="tx1"/>
            </w14:solidFill>
          </w14:textFill>
        </w:rPr>
        <w:t>将拼接后的向量依次通过两层全连接网络，每层均配合ReLU激活，以捕捉跨模态的高阶交互：</w:t>
      </w:r>
      <w:r>
        <w:rPr>
          <w:rFonts w:hint="eastAsia" w:ascii="宋体" w:hAnsi="宋体" w:eastAsia="宋体"/>
          <w:color w:val="000000" w:themeColor="text1"/>
          <w14:textFill>
            <w14:solidFill>
              <w14:schemeClr w14:val="tx1"/>
            </w14:solidFill>
          </w14:textFill>
        </w:rPr>
        <w:br w:type="textWrapping"/>
      </w:r>
      <m:oMathPara>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h</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1</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=ReLU</m:t>
          </m:r>
          <m:d>
            <m:dPr>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W</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1</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f</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concat</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b</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1</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r>
            <m:rPr>
              <m:sty m:val="p"/>
            </m:rPr>
            <w:rPr>
              <w:rFonts w:hint="eastAsia" w:ascii="Cambria Math" w:hAnsi="Cambria Math" w:eastAsia="宋体"/>
              <w:color w:val="000000" w:themeColor="text1"/>
              <w14:textFill>
                <w14:solidFill>
                  <w14:schemeClr w14:val="tx1"/>
                </w14:solidFill>
              </w14:textFill>
            </w:rPr>
            <m:t xml:space="preserve"> , </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 xml:space="preserve"> </m:t>
              </m:r>
              <m:r>
                <m:rPr>
                  <m:sty m:val="p"/>
                </m:rPr>
                <w:rPr>
                  <w:rFonts w:ascii="Cambria Math" w:hAnsi="Cambria Math"/>
                  <w:color w:val="000000" w:themeColor="text1"/>
                  <w14:textFill>
                    <w14:solidFill>
                      <w14:schemeClr w14:val="tx1"/>
                    </w14:solidFill>
                  </w14:textFill>
                </w:rPr>
                <m:t>h</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2</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=ReLU</m:t>
          </m:r>
          <m:d>
            <m:dPr>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W</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2</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b>
                <m:sSubPr>
                  <m:ctrlPr>
                    <w:rPr>
                      <w:rFonts w:hint="eastAsia" w:ascii="Cambria Math" w:hAnsi="Cambria Math" w:eastAsia="宋体"/>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h</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1</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b</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2</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r>
            <m:rPr>
              <m:sty m:val="p"/>
            </m:rPr>
            <w:rPr>
              <w:rFonts w:hint="eastAsia" w:ascii="Cambria Math" w:hAnsi="Cambria Math" w:eastAsia="宋体"/>
              <w:color w:val="000000" w:themeColor="text1"/>
              <w14:textFill>
                <w14:solidFill>
                  <w14:schemeClr w14:val="tx1"/>
                </w14:solidFill>
              </w14:textFill>
            </w:rPr>
            <m:t>,</m:t>
          </m:r>
        </m:oMath>
      </m:oMathPara>
    </w:p>
    <w:p w14:paraId="405AD0A0">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其中</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 xml:space="preserve"> W</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1</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p>
          <m:sSupPr>
            <m:ctrlPr>
              <w:rPr>
                <w:rFonts w:hint="eastAsia" w:ascii="Cambria Math" w:hAnsi="Cambria Math" w:eastAsia="宋体"/>
                <w:color w:val="000000" w:themeColor="text1"/>
                <w14:textFill>
                  <w14:solidFill>
                    <w14:schemeClr w14:val="tx1"/>
                  </w14:solidFill>
                </w14:textFill>
              </w:rPr>
            </m:ctrlPr>
          </m:sSupPr>
          <m:e>
            <m:r>
              <m:rPr>
                <m:sty m:val="p"/>
              </m:rPr>
              <w:rPr>
                <w:rFonts w:hint="eastAsia" w:ascii="Cambria Math" w:hAnsi="Cambria Math" w:eastAsia="宋体"/>
                <w:color w:val="000000" w:themeColor="text1"/>
                <w14:textFill>
                  <w14:solidFill>
                    <w14:schemeClr w14:val="tx1"/>
                  </w14:solidFill>
                </w14:textFill>
              </w:rPr>
              <m:t>R</m:t>
            </m:r>
            <m:ctrlPr>
              <w:rPr>
                <w:rFonts w:hint="eastAsia" w:ascii="Cambria Math" w:hAnsi="Cambria Math" w:eastAsia="宋体"/>
                <w:color w:val="000000" w:themeColor="text1"/>
                <w14:textFill>
                  <w14:solidFill>
                    <w14:schemeClr w14:val="tx1"/>
                  </w14:solidFill>
                </w14:textFill>
              </w:rPr>
            </m:ctrlPr>
          </m:e>
          <m:sup>
            <m:r>
              <m:rPr>
                <m:sty m:val="p"/>
              </m:rPr>
              <w:rPr>
                <w:rFonts w:hint="eastAsia" w:ascii="Cambria Math" w:hAnsi="Cambria Math" w:eastAsia="宋体"/>
                <w:color w:val="000000" w:themeColor="text1"/>
                <w14:textFill>
                  <w14:solidFill>
                    <w14:schemeClr w14:val="tx1"/>
                  </w14:solidFill>
                </w14:textFill>
              </w:rPr>
              <m:t>128×2176</m:t>
            </m:r>
            <m:ctrlPr>
              <w:rPr>
                <w:rFonts w:hint="eastAsia" w:ascii="Cambria Math" w:hAnsi="Cambria Math" w:eastAsia="宋体"/>
                <w:color w:val="000000" w:themeColor="text1"/>
                <w14:textFill>
                  <w14:solidFill>
                    <w14:schemeClr w14:val="tx1"/>
                  </w14:solidFill>
                </w14:textFill>
              </w:rPr>
            </m:ctrlPr>
          </m:sup>
        </m:sSup>
        <m:r>
          <m:rPr>
            <m:sty m:val="p"/>
          </m:rPr>
          <w:rPr>
            <w:rFonts w:hint="eastAsia" w:ascii="Cambria Math" w:hAnsi="Cambria Math" w:eastAsia="宋体"/>
            <w:color w:val="000000" w:themeColor="text1"/>
            <w14:textFill>
              <w14:solidFill>
                <w14:schemeClr w14:val="tx1"/>
              </w14:solidFill>
            </w14:textFill>
          </w:rPr>
          <m:t>,</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W</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2</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p>
          <m:sSupPr>
            <m:ctrlPr>
              <w:rPr>
                <w:rFonts w:hint="eastAsia" w:ascii="Cambria Math" w:hAnsi="Cambria Math" w:eastAsia="宋体"/>
                <w:color w:val="000000" w:themeColor="text1"/>
                <w14:textFill>
                  <w14:solidFill>
                    <w14:schemeClr w14:val="tx1"/>
                  </w14:solidFill>
                </w14:textFill>
              </w:rPr>
            </m:ctrlPr>
          </m:sSupPr>
          <m:e>
            <m:r>
              <m:rPr>
                <m:sty m:val="p"/>
              </m:rPr>
              <w:rPr>
                <w:rFonts w:hint="eastAsia" w:ascii="Cambria Math" w:hAnsi="Cambria Math" w:eastAsia="宋体"/>
                <w:color w:val="000000" w:themeColor="text1"/>
                <w14:textFill>
                  <w14:solidFill>
                    <w14:schemeClr w14:val="tx1"/>
                  </w14:solidFill>
                </w14:textFill>
              </w:rPr>
              <m:t>R</m:t>
            </m:r>
            <m:ctrlPr>
              <w:rPr>
                <w:rFonts w:hint="eastAsia" w:ascii="Cambria Math" w:hAnsi="Cambria Math" w:eastAsia="宋体"/>
                <w:color w:val="000000" w:themeColor="text1"/>
                <w14:textFill>
                  <w14:solidFill>
                    <w14:schemeClr w14:val="tx1"/>
                  </w14:solidFill>
                </w14:textFill>
              </w:rPr>
            </m:ctrlPr>
          </m:e>
          <m:sup>
            <m:r>
              <m:rPr>
                <m:sty m:val="p"/>
              </m:rPr>
              <w:rPr>
                <w:rFonts w:hint="eastAsia" w:ascii="Cambria Math" w:hAnsi="Cambria Math" w:eastAsia="宋体"/>
                <w:color w:val="000000" w:themeColor="text1"/>
                <w14:textFill>
                  <w14:solidFill>
                    <w14:schemeClr w14:val="tx1"/>
                  </w14:solidFill>
                </w14:textFill>
              </w:rPr>
              <m:t>2×128</m:t>
            </m:r>
            <m:ctrlPr>
              <w:rPr>
                <w:rFonts w:hint="eastAsia" w:ascii="Cambria Math" w:hAnsi="Cambria Math" w:eastAsia="宋体"/>
                <w:color w:val="000000" w:themeColor="text1"/>
                <w14:textFill>
                  <w14:solidFill>
                    <w14:schemeClr w14:val="tx1"/>
                  </w14:solidFill>
                </w14:textFill>
              </w:rPr>
            </m:ctrlPr>
          </m:sup>
        </m:sSup>
      </m:oMath>
    </w:p>
    <w:p w14:paraId="36FABC6C">
      <w:pPr>
        <w:numPr>
          <w:ilvl w:val="0"/>
          <w:numId w:val="9"/>
        </w:numPr>
        <w:rPr>
          <w:rFonts w:hint="eastAsia"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Sigmoid输出双通道权重：</w:t>
      </w:r>
      <w:r>
        <w:rPr>
          <w:rFonts w:hint="eastAsia" w:ascii="宋体" w:hAnsi="宋体" w:eastAsia="宋体"/>
          <w:color w:val="000000" w:themeColor="text1"/>
          <w14:textFill>
            <w14:solidFill>
              <w14:schemeClr w14:val="tx1"/>
            </w14:solidFill>
          </w14:textFill>
        </w:rPr>
        <w:t>用独立的sigmoid门控替代传统softmax注意力机制，独立加权多模态特征融合,直接对两路输出通道应用sigmoid：</w:t>
      </w:r>
      <w:r>
        <w:rPr>
          <w:rFonts w:hint="eastAsia" w:ascii="宋体" w:hAnsi="宋体" w:eastAsia="宋体"/>
          <w:color w:val="000000" w:themeColor="text1"/>
          <w14:textFill>
            <w14:solidFill>
              <w14:schemeClr w14:val="tx1"/>
            </w14:solidFill>
          </w14:textFill>
        </w:rPr>
        <w:br w:type="textWrapping"/>
      </w:r>
      <m:oMathPara>
        <m:oMath>
          <m:d>
            <m:dPr>
              <m:begChr m:val="["/>
              <m:endChr m:val="]"/>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g</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img</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 xml:space="preserve"> ,</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g</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tab</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 xml:space="preserve"> </m:t>
              </m:r>
              <m:ctrlPr>
                <w:rPr>
                  <w:rFonts w:hint="eastAsia" w:ascii="Cambria Math" w:hAnsi="Cambria Math" w:eastAsia="宋体"/>
                  <w:color w:val="000000" w:themeColor="text1"/>
                  <w14:textFill>
                    <w14:solidFill>
                      <w14:schemeClr w14:val="tx1"/>
                    </w14:solidFill>
                  </w14:textFill>
                </w:rPr>
              </m:ctrlPr>
            </m:e>
          </m:d>
          <m:r>
            <m:rPr>
              <m:sty m:val="p"/>
            </m:rPr>
            <w:rPr>
              <w:rFonts w:hint="eastAsia" w:ascii="Cambria Math" w:hAnsi="Cambria Math" w:eastAsia="宋体"/>
              <w:color w:val="000000" w:themeColor="text1"/>
              <w14:textFill>
                <w14:solidFill>
                  <w14:schemeClr w14:val="tx1"/>
                </w14:solidFill>
              </w14:textFill>
            </w:rPr>
            <m:t>=σ</m:t>
          </m:r>
          <m:d>
            <m:dPr>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W</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3</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h</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2</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b</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3</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r>
            <m:rPr>
              <m:sty m:val="p"/>
            </m:rPr>
            <w:rPr>
              <w:rFonts w:hint="eastAsia" w:ascii="Cambria Math" w:hAnsi="Cambria Math" w:eastAsia="宋体"/>
              <w:color w:val="000000" w:themeColor="text1"/>
              <w14:textFill>
                <w14:solidFill>
                  <w14:schemeClr w14:val="tx1"/>
                </w14:solidFill>
              </w14:textFill>
            </w:rPr>
            <m:t xml:space="preserve">,  </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g</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img</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 xml:space="preserve"> ,</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g</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tab</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d>
            <m:dPr>
              <m:ctrlPr>
                <w:rPr>
                  <w:rFonts w:hint="eastAsia" w:ascii="Cambria Math" w:hAnsi="Cambria Math" w:eastAsia="宋体"/>
                  <w:color w:val="000000" w:themeColor="text1"/>
                  <w14:textFill>
                    <w14:solidFill>
                      <w14:schemeClr w14:val="tx1"/>
                    </w14:solidFill>
                  </w14:textFill>
                </w:rPr>
              </m:ctrlPr>
            </m:dPr>
            <m:e>
              <m:r>
                <m:rPr>
                  <m:sty m:val="p"/>
                </m:rPr>
                <w:rPr>
                  <w:rFonts w:hint="eastAsia" w:ascii="Cambria Math" w:hAnsi="Cambria Math" w:eastAsia="宋体"/>
                  <w:color w:val="000000" w:themeColor="text1"/>
                  <w14:textFill>
                    <w14:solidFill>
                      <w14:schemeClr w14:val="tx1"/>
                    </w14:solidFill>
                  </w14:textFill>
                </w:rPr>
                <m:t>0,1</m:t>
              </m:r>
              <m:ctrlPr>
                <w:rPr>
                  <w:rFonts w:hint="eastAsia" w:ascii="Cambria Math" w:hAnsi="Cambria Math" w:eastAsia="宋体"/>
                  <w:color w:val="000000" w:themeColor="text1"/>
                  <w14:textFill>
                    <w14:solidFill>
                      <w14:schemeClr w14:val="tx1"/>
                    </w14:solidFill>
                  </w14:textFill>
                </w:rPr>
              </m:ctrlPr>
            </m:e>
          </m:d>
        </m:oMath>
      </m:oMathPara>
    </w:p>
    <w:p w14:paraId="509C0858">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其中</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g</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img</m:t>
            </m:r>
            <m:ctrlPr>
              <w:rPr>
                <w:rFonts w:hint="eastAsia" w:ascii="Cambria Math" w:hAnsi="Cambria Math" w:eastAsia="宋体"/>
                <w:color w:val="000000" w:themeColor="text1"/>
                <w14:textFill>
                  <w14:solidFill>
                    <w14:schemeClr w14:val="tx1"/>
                  </w14:solidFill>
                </w14:textFill>
              </w:rPr>
            </m:ctrlPr>
          </m:sub>
        </m:sSub>
      </m:oMath>
      <w:r>
        <w:rPr>
          <w:rFonts w:hint="eastAsia" w:ascii="宋体" w:hAnsi="宋体" w:eastAsia="宋体"/>
          <w:color w:val="000000" w:themeColor="text1"/>
          <w14:textFill>
            <w14:solidFill>
              <w14:schemeClr w14:val="tx1"/>
            </w14:solidFill>
          </w14:textFill>
        </w:rPr>
        <w:t>用于加权视觉特征，</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g</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tab</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 xml:space="preserve"> </m:t>
        </m:r>
      </m:oMath>
      <w:r>
        <w:rPr>
          <w:rFonts w:hint="eastAsia" w:ascii="宋体" w:hAnsi="宋体" w:eastAsia="宋体"/>
          <w:color w:val="000000" w:themeColor="text1"/>
          <w14:textFill>
            <w14:solidFill>
              <w14:schemeClr w14:val="tx1"/>
            </w14:solidFill>
          </w14:textFill>
        </w:rPr>
        <w:t>用于加权结构化特征。</w:t>
      </w:r>
    </w:p>
    <w:p w14:paraId="496F0AFF">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传统多模态融合方法如多头注意力或 Softmax 融合要求各通道权重之和为 1，当某一路信息贡献较小时，其权重会被过度压制，导致有价值信息难以利用。相比之下，我们采用</w:t>
      </w:r>
      <w:r>
        <w:rPr>
          <w:rFonts w:hint="eastAsia" w:ascii="宋体" w:hAnsi="宋体" w:eastAsia="宋体"/>
          <w:b/>
          <w:bCs/>
          <w:color w:val="000000" w:themeColor="text1"/>
          <w14:textFill>
            <w14:solidFill>
              <w14:schemeClr w14:val="tx1"/>
            </w14:solidFill>
          </w14:textFill>
        </w:rPr>
        <w:t>Sigmoid</w:t>
      </w:r>
      <w:r>
        <w:rPr>
          <w:rFonts w:hint="eastAsia" w:ascii="宋体" w:hAnsi="宋体" w:eastAsia="宋体"/>
          <w:color w:val="000000" w:themeColor="text1"/>
          <w14:textFill>
            <w14:solidFill>
              <w14:schemeClr w14:val="tx1"/>
            </w14:solidFill>
          </w14:textFill>
        </w:rPr>
        <w:t>门控对每个模态通道进行独立加权，无需和为1的约束，可根据样本特性动态调整融合比例：当两路信息都重要时可同时放大，某一路不可靠时其 Sigmoid 输出接近 0，自动屏蔽噪声。该策略无需额外超参数调优，能够灵活应对小样本或异常数据，帮助模型聚焦最具诊断价值的特征，从而提升预测性能。</w:t>
      </w:r>
    </w:p>
    <w:p w14:paraId="33FC5513">
      <w:pPr>
        <w:ind w:firstLine="420"/>
        <w:rPr>
          <w:rFonts w:hint="eastAsia" w:ascii="宋体" w:hAnsi="宋体" w:eastAsia="宋体"/>
          <w:color w:val="000000" w:themeColor="text1"/>
          <w14:textFill>
            <w14:solidFill>
              <w14:schemeClr w14:val="tx1"/>
            </w14:solidFill>
          </w14:textFill>
        </w:rPr>
      </w:pPr>
    </w:p>
    <w:p w14:paraId="7A4435F8">
      <w:pPr>
        <w:keepNext w:val="0"/>
        <w:keepLines w:val="0"/>
        <w:pageBreakBefore w:val="0"/>
        <w:widowControl w:val="0"/>
        <w:numPr>
          <w:ilvl w:val="2"/>
          <w:numId w:val="1"/>
        </w:numPr>
        <w:kinsoku/>
        <w:wordWrap/>
        <w:overflowPunct/>
        <w:topLinePunct w:val="0"/>
        <w:autoSpaceDE/>
        <w:autoSpaceDN/>
        <w:bidi w:val="0"/>
        <w:adjustRightInd/>
        <w:snapToGrid/>
        <w:ind w:left="709" w:hanging="709"/>
        <w:textAlignment w:val="auto"/>
        <w:outlineLvl w:val="2"/>
        <w:rPr>
          <w:b/>
          <w:bCs/>
          <w:color w:val="000000" w:themeColor="text1"/>
          <w:sz w:val="28"/>
          <w:szCs w:val="28"/>
          <w14:textFill>
            <w14:solidFill>
              <w14:schemeClr w14:val="tx1"/>
            </w14:solidFill>
          </w14:textFill>
        </w:rPr>
      </w:pPr>
      <w:bookmarkStart w:id="78" w:name="_Toc25554"/>
      <w:bookmarkStart w:id="79" w:name="_Toc4214"/>
      <w:bookmarkStart w:id="80" w:name="_Toc14734"/>
      <w:bookmarkStart w:id="81" w:name="_Toc13472"/>
      <w:bookmarkStart w:id="82" w:name="_Toc20757"/>
      <w:r>
        <w:rPr>
          <w:rFonts w:hint="eastAsia"/>
          <w:b/>
          <w:bCs/>
          <w:color w:val="000000" w:themeColor="text1"/>
          <w:sz w:val="28"/>
          <w:szCs w:val="28"/>
          <w14:textFill>
            <w14:solidFill>
              <w14:schemeClr w14:val="tx1"/>
            </w14:solidFill>
          </w14:textFill>
        </w:rPr>
        <w:t>多模态</w:t>
      </w:r>
      <w:r>
        <w:rPr>
          <w:rFonts w:hint="eastAsia"/>
          <w:b/>
          <w:bCs/>
          <w:color w:val="000000" w:themeColor="text1"/>
          <w:sz w:val="28"/>
          <w:szCs w:val="28"/>
          <w:lang w:val="en-US" w:eastAsia="zh-CN"/>
          <w14:textFill>
            <w14:solidFill>
              <w14:schemeClr w14:val="tx1"/>
            </w14:solidFill>
          </w14:textFill>
        </w:rPr>
        <w:t>特征</w:t>
      </w:r>
      <w:r>
        <w:rPr>
          <w:rFonts w:hint="eastAsia"/>
          <w:b/>
          <w:bCs/>
          <w:color w:val="000000" w:themeColor="text1"/>
          <w:sz w:val="28"/>
          <w:szCs w:val="28"/>
          <w14:textFill>
            <w14:solidFill>
              <w14:schemeClr w14:val="tx1"/>
            </w14:solidFill>
          </w14:textFill>
        </w:rPr>
        <w:t>融合</w:t>
      </w:r>
      <w:r>
        <w:rPr>
          <w:rFonts w:hint="eastAsia"/>
          <w:b/>
          <w:bCs/>
          <w:color w:val="000000" w:themeColor="text1"/>
          <w:sz w:val="28"/>
          <w:szCs w:val="28"/>
          <w:lang w:val="en-US" w:eastAsia="zh-CN"/>
          <w14:textFill>
            <w14:solidFill>
              <w14:schemeClr w14:val="tx1"/>
            </w14:solidFill>
          </w14:textFill>
        </w:rPr>
        <w:t>与</w:t>
      </w:r>
      <w:r>
        <w:rPr>
          <w:rFonts w:hint="eastAsia"/>
          <w:b/>
          <w:bCs/>
          <w:color w:val="000000" w:themeColor="text1"/>
          <w:sz w:val="28"/>
          <w:szCs w:val="28"/>
          <w14:textFill>
            <w14:solidFill>
              <w14:schemeClr w14:val="tx1"/>
            </w14:solidFill>
          </w14:textFill>
        </w:rPr>
        <w:t>降维</w:t>
      </w:r>
      <w:bookmarkEnd w:id="78"/>
      <w:bookmarkEnd w:id="79"/>
      <w:bookmarkEnd w:id="80"/>
      <w:bookmarkEnd w:id="81"/>
      <w:bookmarkEnd w:id="82"/>
    </w:p>
    <w:p w14:paraId="09F80A24">
      <w:pPr>
        <w:ind w:firstLine="420"/>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在获得了图像分支与表格分支的自适应门控权重后，接下来则需对两路特征进行重构和融合，以生成低维且富含跨模态信息的最终嵌入。</w:t>
      </w:r>
    </w:p>
    <w:p w14:paraId="1848B5D6">
      <w:pPr>
        <w:numPr>
          <w:ilvl w:val="0"/>
          <w:numId w:val="10"/>
        </w:numPr>
        <w:jc w:val="left"/>
        <w:rPr>
          <w:rFonts w:hint="eastAsia"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加权特征重构（Weighted Feature Recalibration）：</w:t>
      </w:r>
      <w:r>
        <w:rPr>
          <w:rFonts w:hint="eastAsia" w:ascii="宋体" w:hAnsi="宋体" w:eastAsia="宋体"/>
          <w:color w:val="000000" w:themeColor="text1"/>
          <w14:textFill>
            <w14:solidFill>
              <w14:schemeClr w14:val="tx1"/>
            </w14:solidFill>
          </w14:textFill>
        </w:rPr>
        <w:t>对特征进行动态调整，使得重要的特征更加突出，而不重要的特征被压制。这里对于单个样本，设其视觉特征向量为</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 xml:space="preserve"> f</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img</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p>
          <m:sSupPr>
            <m:ctrlPr>
              <w:rPr>
                <w:rFonts w:hint="eastAsia" w:ascii="Cambria Math" w:hAnsi="Cambria Math" w:eastAsia="宋体"/>
                <w:color w:val="000000" w:themeColor="text1"/>
                <w14:textFill>
                  <w14:solidFill>
                    <w14:schemeClr w14:val="tx1"/>
                  </w14:solidFill>
                </w14:textFill>
              </w:rPr>
            </m:ctrlPr>
          </m:sSupPr>
          <m:e>
            <m:r>
              <m:rPr>
                <m:sty m:val="p"/>
              </m:rPr>
              <w:rPr>
                <w:rFonts w:hint="eastAsia" w:ascii="Cambria Math" w:hAnsi="Cambria Math" w:eastAsia="宋体"/>
                <w:color w:val="000000" w:themeColor="text1"/>
                <w14:textFill>
                  <w14:solidFill>
                    <w14:schemeClr w14:val="tx1"/>
                  </w14:solidFill>
                </w14:textFill>
              </w:rPr>
              <m:t>R</m:t>
            </m:r>
            <m:ctrlPr>
              <w:rPr>
                <w:rFonts w:hint="eastAsia" w:ascii="Cambria Math" w:hAnsi="Cambria Math" w:eastAsia="宋体"/>
                <w:color w:val="000000" w:themeColor="text1"/>
                <w14:textFill>
                  <w14:solidFill>
                    <w14:schemeClr w14:val="tx1"/>
                  </w14:solidFill>
                </w14:textFill>
              </w:rPr>
            </m:ctrlPr>
          </m:e>
          <m:sup>
            <m:r>
              <m:rPr>
                <m:sty m:val="p"/>
              </m:rPr>
              <w:rPr>
                <w:rFonts w:hint="eastAsia" w:ascii="Cambria Math" w:hAnsi="Cambria Math" w:eastAsia="宋体"/>
                <w:color w:val="000000" w:themeColor="text1"/>
                <w14:textFill>
                  <w14:solidFill>
                    <w14:schemeClr w14:val="tx1"/>
                  </w14:solidFill>
                </w14:textFill>
              </w:rPr>
              <m:t>2048</m:t>
            </m:r>
            <m:ctrlPr>
              <w:rPr>
                <w:rFonts w:hint="eastAsia" w:ascii="Cambria Math" w:hAnsi="Cambria Math" w:eastAsia="宋体"/>
                <w:color w:val="000000" w:themeColor="text1"/>
                <w14:textFill>
                  <w14:solidFill>
                    <w14:schemeClr w14:val="tx1"/>
                  </w14:solidFill>
                </w14:textFill>
              </w:rPr>
            </m:ctrlPr>
          </m:sup>
        </m:sSup>
      </m:oMath>
      <w:r>
        <w:rPr>
          <w:rFonts w:hint="eastAsia" w:ascii="宋体" w:hAnsi="宋体" w:eastAsia="宋体"/>
          <w:color w:val="000000" w:themeColor="text1"/>
          <w14:textFill>
            <w14:solidFill>
              <w14:schemeClr w14:val="tx1"/>
            </w14:solidFill>
          </w14:textFill>
        </w:rPr>
        <w:t>，结构化特征向量为</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 xml:space="preserve"> f</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tab</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p>
          <m:sSupPr>
            <m:ctrlPr>
              <w:rPr>
                <w:rFonts w:hint="eastAsia" w:ascii="Cambria Math" w:hAnsi="Cambria Math" w:eastAsia="宋体"/>
                <w:color w:val="000000" w:themeColor="text1"/>
                <w14:textFill>
                  <w14:solidFill>
                    <w14:schemeClr w14:val="tx1"/>
                  </w14:solidFill>
                </w14:textFill>
              </w:rPr>
            </m:ctrlPr>
          </m:sSupPr>
          <m:e>
            <m:r>
              <m:rPr>
                <m:sty m:val="p"/>
              </m:rPr>
              <w:rPr>
                <w:rFonts w:hint="eastAsia" w:ascii="Cambria Math" w:hAnsi="Cambria Math" w:eastAsia="宋体"/>
                <w:color w:val="000000" w:themeColor="text1"/>
                <w14:textFill>
                  <w14:solidFill>
                    <w14:schemeClr w14:val="tx1"/>
                  </w14:solidFill>
                </w14:textFill>
              </w:rPr>
              <m:t>R</m:t>
            </m:r>
            <m:ctrlPr>
              <w:rPr>
                <w:rFonts w:hint="eastAsia" w:ascii="Cambria Math" w:hAnsi="Cambria Math" w:eastAsia="宋体"/>
                <w:color w:val="000000" w:themeColor="text1"/>
                <w14:textFill>
                  <w14:solidFill>
                    <w14:schemeClr w14:val="tx1"/>
                  </w14:solidFill>
                </w14:textFill>
              </w:rPr>
            </m:ctrlPr>
          </m:e>
          <m:sup>
            <m:r>
              <m:rPr>
                <m:sty m:val="p"/>
              </m:rPr>
              <w:rPr>
                <w:rFonts w:hint="eastAsia" w:ascii="Cambria Math" w:hAnsi="Cambria Math" w:eastAsia="宋体"/>
                <w:color w:val="000000" w:themeColor="text1"/>
                <w14:textFill>
                  <w14:solidFill>
                    <w14:schemeClr w14:val="tx1"/>
                  </w14:solidFill>
                </w14:textFill>
              </w:rPr>
              <m:t>128</m:t>
            </m:r>
            <m:ctrlPr>
              <w:rPr>
                <w:rFonts w:hint="eastAsia" w:ascii="Cambria Math" w:hAnsi="Cambria Math" w:eastAsia="宋体"/>
                <w:color w:val="000000" w:themeColor="text1"/>
                <w14:textFill>
                  <w14:solidFill>
                    <w14:schemeClr w14:val="tx1"/>
                  </w14:solidFill>
                </w14:textFill>
              </w:rPr>
            </m:ctrlPr>
          </m:sup>
        </m:sSup>
      </m:oMath>
      <w:r>
        <w:rPr>
          <w:rFonts w:hint="eastAsia" w:ascii="宋体" w:hAnsi="宋体" w:eastAsia="宋体"/>
          <w:color w:val="000000" w:themeColor="text1"/>
          <w14:textFill>
            <w14:solidFill>
              <w14:schemeClr w14:val="tx1"/>
            </w14:solidFill>
          </w14:textFill>
        </w:rPr>
        <w:t>，对应门控输出为标量</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g</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img</m:t>
            </m:r>
            <m:ctrlPr>
              <w:rPr>
                <w:rFonts w:hint="eastAsia" w:ascii="Cambria Math" w:hAnsi="Cambria Math" w:eastAsia="宋体"/>
                <w:color w:val="000000" w:themeColor="text1"/>
                <w14:textFill>
                  <w14:solidFill>
                    <w14:schemeClr w14:val="tx1"/>
                  </w14:solidFill>
                </w14:textFill>
              </w:rPr>
            </m:ctrlPr>
          </m:sub>
        </m:sSub>
      </m:oMath>
      <w:r>
        <w:rPr>
          <w:rFonts w:hint="eastAsia" w:ascii="宋体" w:hAnsi="宋体" w:eastAsia="宋体"/>
          <w:color w:val="000000" w:themeColor="text1"/>
          <w14:textFill>
            <w14:solidFill>
              <w14:schemeClr w14:val="tx1"/>
            </w14:solidFill>
          </w14:textFill>
        </w:rPr>
        <w:t>和</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g</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tab</m:t>
            </m:r>
            <m:ctrlPr>
              <w:rPr>
                <w:rFonts w:hint="eastAsia" w:ascii="Cambria Math" w:hAnsi="Cambria Math" w:eastAsia="宋体"/>
                <w:color w:val="000000" w:themeColor="text1"/>
                <w14:textFill>
                  <w14:solidFill>
                    <w14:schemeClr w14:val="tx1"/>
                  </w14:solidFill>
                </w14:textFill>
              </w:rPr>
            </m:ctrlPr>
          </m:sub>
        </m:sSub>
      </m:oMath>
      <w:r>
        <w:rPr>
          <w:rFonts w:hint="eastAsia" w:ascii="宋体" w:hAnsi="宋体" w:eastAsia="宋体"/>
          <w:color w:val="000000" w:themeColor="text1"/>
          <w14:textFill>
            <w14:solidFill>
              <w14:schemeClr w14:val="tx1"/>
            </w14:solidFill>
          </w14:textFill>
        </w:rPr>
        <w:t>，先分别应用：</w:t>
      </w:r>
      <w:r>
        <w:rPr>
          <w:rFonts w:hint="eastAsia" w:ascii="宋体" w:hAnsi="宋体" w:eastAsia="宋体"/>
          <w:color w:val="000000" w:themeColor="text1"/>
          <w14:textFill>
            <w14:solidFill>
              <w14:schemeClr w14:val="tx1"/>
            </w14:solidFill>
          </w14:textFill>
        </w:rPr>
        <w:br w:type="textWrapping"/>
      </w:r>
      <m:oMathPara>
        <m:oMath>
          <m:sSub>
            <m:sSubPr>
              <m:ctrlPr>
                <w:rPr>
                  <w:rFonts w:hint="eastAsia" w:ascii="Cambria Math" w:hAnsi="Cambria Math" w:eastAsia="宋体"/>
                  <w:color w:val="000000" w:themeColor="text1"/>
                  <w14:textFill>
                    <w14:solidFill>
                      <w14:schemeClr w14:val="tx1"/>
                    </w14:solidFill>
                  </w14:textFill>
                </w:rPr>
              </m:ctrlPr>
            </m:sSubPr>
            <m:e>
              <m:acc>
                <m:accPr>
                  <m:chr m:val="̃"/>
                  <m:ctrlPr>
                    <w:rPr>
                      <w:rFonts w:hint="eastAsia" w:ascii="Cambria Math" w:hAnsi="Cambria Math" w:eastAsia="宋体"/>
                      <w:color w:val="000000" w:themeColor="text1"/>
                      <w14:textFill>
                        <w14:solidFill>
                          <w14:schemeClr w14:val="tx1"/>
                        </w14:solidFill>
                      </w14:textFill>
                    </w:rPr>
                  </m:ctrlPr>
                </m:accPr>
                <m:e>
                  <m:r>
                    <m:rPr>
                      <m:sty m:val="p"/>
                    </m:rPr>
                    <w:rPr>
                      <w:rFonts w:hint="eastAsia" w:ascii="Cambria Math" w:hAnsi="Cambria Math" w:eastAsia="宋体"/>
                      <w:color w:val="000000" w:themeColor="text1"/>
                      <w14:textFill>
                        <w14:solidFill>
                          <w14:schemeClr w14:val="tx1"/>
                        </w14:solidFill>
                      </w14:textFill>
                    </w:rPr>
                    <m:t>f</m:t>
                  </m:r>
                  <m:ctrlPr>
                    <w:rPr>
                      <w:rFonts w:hint="eastAsia" w:ascii="Cambria Math" w:hAnsi="Cambria Math" w:eastAsia="宋体"/>
                      <w:color w:val="000000" w:themeColor="text1"/>
                      <w14:textFill>
                        <w14:solidFill>
                          <w14:schemeClr w14:val="tx1"/>
                        </w14:solidFill>
                      </w14:textFill>
                    </w:rPr>
                  </m:ctrlPr>
                </m:e>
              </m:acc>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img</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g</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img</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 xml:space="preserve"> f</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img</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 xml:space="preserve"> ，</m:t>
          </m:r>
          <m:sSub>
            <m:sSubPr>
              <m:ctrlPr>
                <w:rPr>
                  <w:rFonts w:hint="eastAsia" w:ascii="Cambria Math" w:hAnsi="Cambria Math" w:eastAsia="宋体"/>
                  <w:color w:val="000000" w:themeColor="text1"/>
                  <w14:textFill>
                    <w14:solidFill>
                      <w14:schemeClr w14:val="tx1"/>
                    </w14:solidFill>
                  </w14:textFill>
                </w:rPr>
              </m:ctrlPr>
            </m:sSubPr>
            <m:e>
              <m:acc>
                <m:accPr>
                  <m:chr m:val="̃"/>
                  <m:ctrlPr>
                    <w:rPr>
                      <w:rFonts w:hint="eastAsia" w:ascii="Cambria Math" w:hAnsi="Cambria Math" w:eastAsia="宋体"/>
                      <w:color w:val="000000" w:themeColor="text1"/>
                      <w14:textFill>
                        <w14:solidFill>
                          <w14:schemeClr w14:val="tx1"/>
                        </w14:solidFill>
                      </w14:textFill>
                    </w:rPr>
                  </m:ctrlPr>
                </m:accPr>
                <m:e>
                  <m:r>
                    <m:rPr>
                      <m:sty m:val="p"/>
                    </m:rPr>
                    <w:rPr>
                      <w:rFonts w:hint="eastAsia" w:ascii="Cambria Math" w:hAnsi="Cambria Math" w:eastAsia="宋体"/>
                      <w:color w:val="000000" w:themeColor="text1"/>
                      <w14:textFill>
                        <w14:solidFill>
                          <w14:schemeClr w14:val="tx1"/>
                        </w14:solidFill>
                      </w14:textFill>
                    </w:rPr>
                    <m:t>f</m:t>
                  </m:r>
                  <m:ctrlPr>
                    <w:rPr>
                      <w:rFonts w:hint="eastAsia" w:ascii="Cambria Math" w:hAnsi="Cambria Math" w:eastAsia="宋体"/>
                      <w:color w:val="000000" w:themeColor="text1"/>
                      <w14:textFill>
                        <w14:solidFill>
                          <w14:schemeClr w14:val="tx1"/>
                        </w14:solidFill>
                      </w14:textFill>
                    </w:rPr>
                  </m:ctrlPr>
                </m:e>
              </m:acc>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tab</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g</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tab</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 xml:space="preserve"> f</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tab</m:t>
              </m:r>
              <m:ctrlPr>
                <w:rPr>
                  <w:rFonts w:hint="eastAsia" w:ascii="Cambria Math" w:hAnsi="Cambria Math" w:eastAsia="宋体"/>
                  <w:color w:val="000000" w:themeColor="text1"/>
                  <w14:textFill>
                    <w14:solidFill>
                      <w14:schemeClr w14:val="tx1"/>
                    </w14:solidFill>
                  </w14:textFill>
                </w:rPr>
              </m:ctrlPr>
            </m:sub>
          </m:sSub>
          <m:r>
            <w:rPr>
              <w:rFonts w:hint="eastAsia" w:ascii="宋体" w:hAnsi="宋体" w:eastAsia="宋体"/>
              <w:color w:val="000000" w:themeColor="text1"/>
              <w14:textFill>
                <w14:solidFill>
                  <w14:schemeClr w14:val="tx1"/>
                </w14:solidFill>
              </w14:textFill>
            </w:rPr>
            <w:br w:type="textWrapping"/>
          </m:r>
        </m:oMath>
      </m:oMathPara>
      <w:r>
        <w:rPr>
          <w:rFonts w:hint="eastAsia" w:ascii="宋体" w:hAnsi="宋体" w:eastAsia="宋体"/>
          <w:color w:val="000000" w:themeColor="text1"/>
          <w14:textFill>
            <w14:solidFill>
              <w14:schemeClr w14:val="tx1"/>
            </w14:solidFill>
          </w14:textFill>
        </w:rPr>
        <w:t>这样就可以依照样本去自适应地放大或抑制某一路信息，防止噪声模态影响最终的表示。</w:t>
      </w:r>
    </w:p>
    <w:p w14:paraId="5FE024ED">
      <w:pPr>
        <w:numPr>
          <w:ilvl w:val="0"/>
          <w:numId w:val="10"/>
        </w:numPr>
        <w:jc w:val="left"/>
        <w:rPr>
          <w:rFonts w:hint="eastAsia"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融合特征归一化（Fused Feature Normalization）：</w:t>
      </w:r>
      <w:r>
        <w:rPr>
          <w:rFonts w:hint="eastAsia" w:ascii="宋体" w:hAnsi="宋体" w:eastAsia="宋体"/>
          <w:color w:val="000000" w:themeColor="text1"/>
          <w14:textFill>
            <w14:solidFill>
              <w14:schemeClr w14:val="tx1"/>
            </w14:solidFill>
          </w14:textFill>
        </w:rPr>
        <w:t>为避免融合后某个特征的数值范围很大时，主导模型的学习，我们将加权后的两路向量按维度拼接，得到</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 xml:space="preserve"> f</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used</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p>
          <m:sSupPr>
            <m:ctrlPr>
              <w:rPr>
                <w:rFonts w:hint="eastAsia" w:ascii="Cambria Math" w:hAnsi="Cambria Math" w:eastAsia="宋体"/>
                <w:color w:val="000000" w:themeColor="text1"/>
                <w14:textFill>
                  <w14:solidFill>
                    <w14:schemeClr w14:val="tx1"/>
                  </w14:solidFill>
                </w14:textFill>
              </w:rPr>
            </m:ctrlPr>
          </m:sSupPr>
          <m:e>
            <m:r>
              <m:rPr>
                <m:sty m:val="p"/>
              </m:rPr>
              <w:rPr>
                <w:rFonts w:hint="eastAsia" w:ascii="Cambria Math" w:hAnsi="Cambria Math" w:eastAsia="宋体"/>
                <w:color w:val="000000" w:themeColor="text1"/>
                <w14:textFill>
                  <w14:solidFill>
                    <w14:schemeClr w14:val="tx1"/>
                  </w14:solidFill>
                </w14:textFill>
              </w:rPr>
              <m:t>R</m:t>
            </m:r>
            <m:ctrlPr>
              <w:rPr>
                <w:rFonts w:hint="eastAsia" w:ascii="Cambria Math" w:hAnsi="Cambria Math" w:eastAsia="宋体"/>
                <w:color w:val="000000" w:themeColor="text1"/>
                <w14:textFill>
                  <w14:solidFill>
                    <w14:schemeClr w14:val="tx1"/>
                  </w14:solidFill>
                </w14:textFill>
              </w:rPr>
            </m:ctrlPr>
          </m:e>
          <m:sup>
            <m:r>
              <m:rPr>
                <m:sty m:val="p"/>
              </m:rPr>
              <w:rPr>
                <w:rFonts w:hint="eastAsia" w:ascii="Cambria Math" w:hAnsi="Cambria Math" w:eastAsia="宋体"/>
                <w:color w:val="000000" w:themeColor="text1"/>
                <w14:textFill>
                  <w14:solidFill>
                    <w14:schemeClr w14:val="tx1"/>
                  </w14:solidFill>
                </w14:textFill>
              </w:rPr>
              <m:t>2176</m:t>
            </m:r>
            <m:ctrlPr>
              <w:rPr>
                <w:rFonts w:hint="eastAsia" w:ascii="Cambria Math" w:hAnsi="Cambria Math" w:eastAsia="宋体"/>
                <w:color w:val="000000" w:themeColor="text1"/>
                <w14:textFill>
                  <w14:solidFill>
                    <w14:schemeClr w14:val="tx1"/>
                  </w14:solidFill>
                </w14:textFill>
              </w:rPr>
            </m:ctrlPr>
          </m:sup>
        </m:sSup>
      </m:oMath>
      <w:r>
        <w:rPr>
          <w:rFonts w:hint="eastAsia" w:ascii="宋体" w:hAnsi="宋体" w:eastAsia="宋体"/>
          <w:color w:val="000000" w:themeColor="text1"/>
          <w14:textFill>
            <w14:solidFill>
              <w14:schemeClr w14:val="tx1"/>
            </w14:solidFill>
          </w14:textFill>
        </w:rPr>
        <w:t>，随后应用BatchNorm对拼接向量进行归一化处理：</w:t>
      </w:r>
      <w:r>
        <w:rPr>
          <w:rFonts w:hint="eastAsia" w:ascii="宋体" w:hAnsi="宋体" w:eastAsia="宋体"/>
          <w:color w:val="000000" w:themeColor="text1"/>
          <w14:textFill>
            <w14:solidFill>
              <w14:schemeClr w14:val="tx1"/>
            </w14:solidFill>
          </w14:textFill>
        </w:rPr>
        <w:br w:type="textWrapping"/>
      </w:r>
      <m:oMathPara>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 xml:space="preserve"> f</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norm</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=Batc</m:t>
          </m:r>
          <m:r>
            <m:rPr>
              <m:sty m:val="p"/>
            </m:rPr>
            <w:rPr>
              <w:rFonts w:ascii="Cambria Math" w:hAnsi="Cambria Math" w:eastAsia="宋体"/>
              <w:color w:val="000000" w:themeColor="text1"/>
              <w14:textFill>
                <w14:solidFill>
                  <w14:schemeClr w14:val="tx1"/>
                </w14:solidFill>
              </w14:textFill>
            </w:rPr>
            <m:t xml:space="preserve">h </m:t>
          </m:r>
          <m:r>
            <m:rPr>
              <m:sty m:val="p"/>
            </m:rPr>
            <w:rPr>
              <w:rFonts w:hint="eastAsia" w:ascii="Cambria Math" w:hAnsi="Cambria Math" w:eastAsia="宋体"/>
              <w:color w:val="000000" w:themeColor="text1"/>
              <w14:textFill>
                <w14:solidFill>
                  <w14:schemeClr w14:val="tx1"/>
                </w14:solidFill>
              </w14:textFill>
            </w:rPr>
            <m:t>Norm(</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 xml:space="preserve"> f</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used</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oMath>
      </m:oMathPara>
    </w:p>
    <w:p w14:paraId="32D59E99">
      <w:pPr>
        <w:ind w:firstLine="420"/>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以消除两路特征在数值尺度上的差异，并缓解跨模态内部协变量偏移。</w:t>
      </w:r>
    </w:p>
    <w:p w14:paraId="35381ACE">
      <w:pPr>
        <w:numPr>
          <w:ilvl w:val="0"/>
          <w:numId w:val="10"/>
        </w:numPr>
        <w:jc w:val="left"/>
        <w:rPr>
          <w:rFonts w:hint="eastAsia"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特征降维投影（Dimensionality Reduction Projection）：</w:t>
      </w:r>
      <w:r>
        <w:rPr>
          <w:rFonts w:hint="eastAsia" w:ascii="宋体" w:hAnsi="宋体" w:eastAsia="宋体"/>
          <w:color w:val="000000" w:themeColor="text1"/>
          <w14:textFill>
            <w14:solidFill>
              <w14:schemeClr w14:val="tx1"/>
            </w14:solidFill>
          </w14:textFill>
        </w:rPr>
        <w:t>归一化后的特征先通过</w:t>
      </w:r>
      <w:r>
        <w:rPr>
          <w:rFonts w:eastAsia="宋体" w:cs="Times New Roman"/>
          <w:color w:val="000000" w:themeColor="text1"/>
          <w14:textFill>
            <w14:solidFill>
              <w14:schemeClr w14:val="tx1"/>
            </w14:solidFill>
          </w14:textFill>
        </w:rPr>
        <w:t>LeakyReLU</w:t>
      </w:r>
      <w:r>
        <w:rPr>
          <w:rFonts w:hint="eastAsia" w:ascii="宋体" w:hAnsi="宋体" w:eastAsia="宋体"/>
          <w:color w:val="000000" w:themeColor="text1"/>
          <w14:textFill>
            <w14:solidFill>
              <w14:schemeClr w14:val="tx1"/>
            </w14:solidFill>
          </w14:textFill>
        </w:rPr>
        <w:t>激活，再做Dropout正则化，最后映射到低维空间：</w:t>
      </w:r>
      <w:r>
        <w:rPr>
          <w:rFonts w:hint="eastAsia" w:ascii="宋体" w:hAnsi="宋体" w:eastAsia="宋体"/>
          <w:color w:val="000000" w:themeColor="text1"/>
          <w14:textFill>
            <w14:solidFill>
              <w14:schemeClr w14:val="tx1"/>
            </w14:solidFill>
          </w14:textFill>
        </w:rPr>
        <w:br w:type="textWrapping"/>
      </w:r>
      <m:oMathPara>
        <m:oMath>
          <m:r>
            <m:rPr>
              <m:sty m:val="p"/>
            </m:rPr>
            <w:rPr>
              <w:rFonts w:hint="eastAsia" w:ascii="Cambria Math" w:hAnsi="Cambria Math" w:eastAsia="宋体"/>
              <w:color w:val="000000" w:themeColor="text1"/>
              <w14:textFill>
                <w14:solidFill>
                  <w14:schemeClr w14:val="tx1"/>
                </w14:solidFill>
              </w14:textFill>
            </w:rPr>
            <m:t>h=LeakyReLU(</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 xml:space="preserve"> f</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norm</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p>
            <m:sSupPr>
              <m:ctrlPr>
                <w:rPr>
                  <w:rFonts w:hint="eastAsia" w:ascii="Cambria Math" w:hAnsi="Cambria Math" w:eastAsia="宋体"/>
                  <w:color w:val="000000" w:themeColor="text1"/>
                  <w14:textFill>
                    <w14:solidFill>
                      <w14:schemeClr w14:val="tx1"/>
                    </w14:solidFill>
                  </w14:textFill>
                </w:rPr>
              </m:ctrlPr>
            </m:sSupPr>
            <m:e>
              <m:r>
                <m:rPr>
                  <m:sty m:val="p"/>
                </m:rPr>
                <w:rPr>
                  <w:rFonts w:hint="eastAsia" w:ascii="Cambria Math" w:hAnsi="Cambria Math" w:eastAsia="宋体"/>
                  <w:color w:val="000000" w:themeColor="text1"/>
                  <w14:textFill>
                    <w14:solidFill>
                      <w14:schemeClr w14:val="tx1"/>
                    </w14:solidFill>
                  </w14:textFill>
                </w:rPr>
                <m:t>h</m:t>
              </m:r>
              <m:ctrlPr>
                <w:rPr>
                  <w:rFonts w:hint="eastAsia" w:ascii="Cambria Math" w:hAnsi="Cambria Math" w:eastAsia="宋体"/>
                  <w:color w:val="000000" w:themeColor="text1"/>
                  <w14:textFill>
                    <w14:solidFill>
                      <w14:schemeClr w14:val="tx1"/>
                    </w14:solidFill>
                  </w14:textFill>
                </w:rPr>
              </m:ctrlPr>
            </m:e>
            <m:sup>
              <m:r>
                <m:rPr>
                  <m:sty m:val="p"/>
                </m:rPr>
                <w:rPr>
                  <w:rFonts w:hint="eastAsia" w:ascii="Cambria Math" w:hAnsi="Cambria Math" w:eastAsia="宋体"/>
                  <w:color w:val="000000" w:themeColor="text1"/>
                  <w14:textFill>
                    <w14:solidFill>
                      <w14:schemeClr w14:val="tx1"/>
                    </w14:solidFill>
                  </w14:textFill>
                </w:rPr>
                <m:t>‘</m:t>
              </m:r>
              <m:ctrlPr>
                <w:rPr>
                  <w:rFonts w:hint="eastAsia" w:ascii="Cambria Math" w:hAnsi="Cambria Math" w:eastAsia="宋体"/>
                  <w:color w:val="000000" w:themeColor="text1"/>
                  <w14:textFill>
                    <w14:solidFill>
                      <w14:schemeClr w14:val="tx1"/>
                    </w14:solidFill>
                  </w14:textFill>
                </w:rPr>
              </m:ctrlPr>
            </m:sup>
          </m:sSup>
          <m:r>
            <m:rPr>
              <m:sty m:val="p"/>
            </m:rPr>
            <w:rPr>
              <w:rFonts w:hint="eastAsia" w:ascii="Cambria Math" w:hAnsi="Cambria Math" w:eastAsia="宋体"/>
              <w:color w:val="000000" w:themeColor="text1"/>
              <w14:textFill>
                <w14:solidFill>
                  <w14:schemeClr w14:val="tx1"/>
                </w14:solidFill>
              </w14:textFill>
            </w:rPr>
            <m:t>=Dropout（h,p=0.2）,z=</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W</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proj</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p>
            <m:sSupPr>
              <m:ctrlPr>
                <w:rPr>
                  <w:rFonts w:hint="eastAsia" w:ascii="Cambria Math" w:hAnsi="Cambria Math" w:eastAsia="宋体"/>
                  <w:color w:val="000000" w:themeColor="text1"/>
                  <w14:textFill>
                    <w14:solidFill>
                      <w14:schemeClr w14:val="tx1"/>
                    </w14:solidFill>
                  </w14:textFill>
                </w:rPr>
              </m:ctrlPr>
            </m:sSupPr>
            <m:e>
              <m:r>
                <m:rPr>
                  <m:sty m:val="p"/>
                </m:rPr>
                <w:rPr>
                  <w:rFonts w:hint="eastAsia" w:ascii="Cambria Math" w:hAnsi="Cambria Math" w:eastAsia="宋体"/>
                  <w:color w:val="000000" w:themeColor="text1"/>
                  <w14:textFill>
                    <w14:solidFill>
                      <w14:schemeClr w14:val="tx1"/>
                    </w14:solidFill>
                  </w14:textFill>
                </w:rPr>
                <m:t>h</m:t>
              </m:r>
              <m:ctrlPr>
                <w:rPr>
                  <w:rFonts w:hint="eastAsia" w:ascii="Cambria Math" w:hAnsi="Cambria Math" w:eastAsia="宋体"/>
                  <w:color w:val="000000" w:themeColor="text1"/>
                  <w14:textFill>
                    <w14:solidFill>
                      <w14:schemeClr w14:val="tx1"/>
                    </w14:solidFill>
                  </w14:textFill>
                </w:rPr>
              </m:ctrlPr>
            </m:e>
            <m:sup>
              <m:r>
                <m:rPr>
                  <m:sty m:val="p"/>
                </m:rPr>
                <w:rPr>
                  <w:rFonts w:hint="eastAsia" w:ascii="Cambria Math" w:hAnsi="Cambria Math" w:eastAsia="宋体"/>
                  <w:color w:val="000000" w:themeColor="text1"/>
                  <w14:textFill>
                    <w14:solidFill>
                      <w14:schemeClr w14:val="tx1"/>
                    </w14:solidFill>
                  </w14:textFill>
                </w:rPr>
                <m:t>‘</m:t>
              </m:r>
              <m:ctrlPr>
                <w:rPr>
                  <w:rFonts w:hint="eastAsia" w:ascii="Cambria Math" w:hAnsi="Cambria Math" w:eastAsia="宋体"/>
                  <w:color w:val="000000" w:themeColor="text1"/>
                  <w14:textFill>
                    <w14:solidFill>
                      <w14:schemeClr w14:val="tx1"/>
                    </w14:solidFill>
                  </w14:textFill>
                </w:rPr>
              </m:ctrlPr>
            </m:sup>
          </m:sSup>
          <m:r>
            <m:rPr>
              <m:sty m:val="p"/>
            </m:rPr>
            <w:rPr>
              <w:rFonts w:hint="eastAsia" w:ascii="Cambria Math" w:hAnsi="Cambria Math" w:eastAsia="宋体"/>
              <w:color w:val="000000" w:themeColor="text1"/>
              <w14:textFill>
                <w14:solidFill>
                  <w14:schemeClr w14:val="tx1"/>
                </w14:solidFill>
              </w14:textFill>
            </w:rPr>
            <m:t>+</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b</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proj</m:t>
              </m:r>
              <m:ctrlPr>
                <w:rPr>
                  <w:rFonts w:hint="eastAsia" w:ascii="Cambria Math" w:hAnsi="Cambria Math" w:eastAsia="宋体"/>
                  <w:color w:val="000000" w:themeColor="text1"/>
                  <w14:textFill>
                    <w14:solidFill>
                      <w14:schemeClr w14:val="tx1"/>
                    </w14:solidFill>
                  </w14:textFill>
                </w:rPr>
              </m:ctrlPr>
            </m:sub>
          </m:sSub>
        </m:oMath>
      </m:oMathPara>
    </w:p>
    <w:p w14:paraId="3DF20E9A">
      <w:pPr>
        <w:ind w:firstLine="420"/>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其中</w:t>
      </w:r>
      <m:oMath>
        <m:r>
          <m:rPr>
            <m:sty m:val="p"/>
          </m:rPr>
          <w:rPr>
            <w:rFonts w:hint="eastAsia" w:ascii="Cambria Math" w:hAnsi="Cambria Math" w:eastAsia="宋体"/>
            <w:color w:val="000000" w:themeColor="text1"/>
            <w14:textFill>
              <w14:solidFill>
                <w14:schemeClr w14:val="tx1"/>
              </w14:solidFill>
            </w14:textFill>
          </w:rPr>
          <m:t>z∈</m:t>
        </m:r>
        <m:sSup>
          <m:sSupPr>
            <m:ctrlPr>
              <w:rPr>
                <w:rFonts w:hint="eastAsia" w:ascii="Cambria Math" w:hAnsi="Cambria Math" w:eastAsia="宋体"/>
                <w:color w:val="000000" w:themeColor="text1"/>
                <w14:textFill>
                  <w14:solidFill>
                    <w14:schemeClr w14:val="tx1"/>
                  </w14:solidFill>
                </w14:textFill>
              </w:rPr>
            </m:ctrlPr>
          </m:sSupPr>
          <m:e>
            <m:r>
              <m:rPr>
                <m:sty m:val="p"/>
              </m:rPr>
              <w:rPr>
                <w:rFonts w:hint="eastAsia" w:ascii="Cambria Math" w:hAnsi="Cambria Math" w:eastAsia="宋体"/>
                <w:color w:val="000000" w:themeColor="text1"/>
                <w14:textFill>
                  <w14:solidFill>
                    <w14:schemeClr w14:val="tx1"/>
                  </w14:solidFill>
                </w14:textFill>
              </w:rPr>
              <m:t>R</m:t>
            </m:r>
            <m:ctrlPr>
              <w:rPr>
                <w:rFonts w:hint="eastAsia" w:ascii="Cambria Math" w:hAnsi="Cambria Math" w:eastAsia="宋体"/>
                <w:color w:val="000000" w:themeColor="text1"/>
                <w14:textFill>
                  <w14:solidFill>
                    <w14:schemeClr w14:val="tx1"/>
                  </w14:solidFill>
                </w14:textFill>
              </w:rPr>
            </m:ctrlPr>
          </m:e>
          <m:sup>
            <m:r>
              <m:rPr>
                <m:sty m:val="p"/>
              </m:rPr>
              <w:rPr>
                <w:rFonts w:hint="eastAsia" w:ascii="Cambria Math" w:hAnsi="Cambria Math" w:eastAsia="宋体"/>
                <w:color w:val="000000" w:themeColor="text1"/>
                <w14:textFill>
                  <w14:solidFill>
                    <w14:schemeClr w14:val="tx1"/>
                  </w14:solidFill>
                </w14:textFill>
              </w:rPr>
              <m:t>128</m:t>
            </m:r>
            <m:ctrlPr>
              <w:rPr>
                <w:rFonts w:hint="eastAsia" w:ascii="Cambria Math" w:hAnsi="Cambria Math" w:eastAsia="宋体"/>
                <w:color w:val="000000" w:themeColor="text1"/>
                <w14:textFill>
                  <w14:solidFill>
                    <w14:schemeClr w14:val="tx1"/>
                  </w14:solidFill>
                </w14:textFill>
              </w:rPr>
            </m:ctrlPr>
          </m:sup>
        </m:sSup>
      </m:oMath>
      <w:r>
        <w:rPr>
          <w:rFonts w:hint="eastAsia" w:ascii="宋体" w:hAnsi="宋体" w:eastAsia="宋体"/>
          <w:color w:val="000000" w:themeColor="text1"/>
          <w14:textFill>
            <w14:solidFill>
              <w14:schemeClr w14:val="tx1"/>
            </w14:solidFill>
          </w14:textFill>
        </w:rPr>
        <w:t xml:space="preserve"> 即为最终的多模态嵌入。LeakyReLU的负斜率保证了对负向特</w:t>
      </w:r>
      <w:r>
        <w:rPr>
          <w:rFonts w:hint="eastAsia" w:ascii="宋体" w:hAnsi="宋体" w:eastAsia="宋体"/>
          <w:color w:val="000000" w:themeColor="text1"/>
          <w14:textFill>
            <w14:solidFill>
              <w14:schemeClr w14:val="tx1"/>
            </w14:solidFill>
          </w14:textFill>
        </w:rPr>
        <w:tab/>
      </w:r>
      <w:r>
        <w:rPr>
          <w:rFonts w:hint="eastAsia" w:ascii="宋体" w:hAnsi="宋体" w:eastAsia="宋体"/>
          <w:color w:val="000000" w:themeColor="text1"/>
          <w14:textFill>
            <w14:solidFill>
              <w14:schemeClr w14:val="tx1"/>
            </w14:solidFill>
          </w14:textFill>
        </w:rPr>
        <w:t>征的保留，Dropout则在小样本场景下提供了额外正则化。</w:t>
      </w:r>
    </w:p>
    <w:p w14:paraId="6F8726F6">
      <w:pPr>
        <w:ind w:firstLine="420"/>
        <w:jc w:val="left"/>
        <w:rPr>
          <w:b/>
          <w:bCs/>
          <w:color w:val="000000" w:themeColor="text1"/>
          <w:sz w:val="28"/>
          <w:szCs w:val="28"/>
          <w14:textFill>
            <w14:solidFill>
              <w14:schemeClr w14:val="tx1"/>
            </w14:solidFill>
          </w14:textFill>
        </w:rPr>
      </w:pPr>
      <w:r>
        <w:rPr>
          <w:rFonts w:hint="eastAsia" w:ascii="宋体" w:hAnsi="宋体" w:eastAsia="宋体"/>
          <w:color w:val="000000" w:themeColor="text1"/>
          <w14:textFill>
            <w14:solidFill>
              <w14:schemeClr w14:val="tx1"/>
            </w14:solidFill>
          </w14:textFill>
        </w:rPr>
        <w:t>在我们的多模态融合层中，仅使用两层全连接来完成特征维度从2176到512再到128的压缩与整合，极大地减少了参数规模，相比多头注意力等复杂结构更加轻量。批量归一化（BatchNorm）则进一步确保了视觉与结构化特征在数值尺度上的一致性，并加速了训练收敛；LeakyReLU激活则保留了负向特征信息，增强了表达能力；Dropout以0.2的丢弃率提供了双重正则化，有效抑制了小样本场景下的过拟合风险。整个融合过程既保持了跨模态信息的深度交互，又兼顾了模型的训练稳定性和推理效率，使得MultiModalFewShotNet在样本稀缺的临床任务中能够更可靠地学习到富表达且鲁棒的多模态嵌入。</w:t>
      </w:r>
    </w:p>
    <w:p w14:paraId="5591D4B7">
      <w:pPr>
        <w:ind w:firstLine="420"/>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在多模态融合并得到低维嵌入向量后，我们对该向量进行L2归一化，将其映射至单位球面。</w:t>
      </w:r>
      <w:r>
        <w:rPr>
          <w:rFonts w:hint="eastAsia" w:ascii="宋体" w:hAnsi="宋体" w:eastAsia="宋体"/>
          <w:color w:val="000000" w:themeColor="text1"/>
          <w:lang w:val="en-US" w:eastAsia="zh-CN"/>
          <w14:textFill>
            <w14:solidFill>
              <w14:schemeClr w14:val="tx1"/>
            </w14:solidFill>
          </w14:textFill>
        </w:rPr>
        <w:t>这样</w:t>
      </w:r>
      <w:r>
        <w:rPr>
          <w:rFonts w:hint="eastAsia" w:ascii="宋体" w:hAnsi="宋体" w:eastAsia="宋体"/>
          <w:color w:val="000000" w:themeColor="text1"/>
          <w14:textFill>
            <w14:solidFill>
              <w14:schemeClr w14:val="tx1"/>
            </w14:solidFill>
          </w14:textFill>
        </w:rPr>
        <w:t>不仅消除了不同样本向量幅度的差异，使欧氏距离与余弦相似度能够在同一度量空间内直接比较，还简化了基于原型的少样本分类流程：在</w:t>
      </w:r>
      <w:r>
        <w:rPr>
          <w:rFonts w:eastAsia="宋体" w:cs="Times New Roman"/>
          <w:color w:val="000000" w:themeColor="text1"/>
          <w14:textFill>
            <w14:solidFill>
              <w14:schemeClr w14:val="tx1"/>
            </w14:solidFill>
          </w14:textFill>
        </w:rPr>
        <w:t>Prototypical Networks</w:t>
      </w:r>
      <w:r>
        <w:rPr>
          <w:rFonts w:hint="eastAsia" w:ascii="宋体" w:hAnsi="宋体" w:eastAsia="宋体"/>
          <w:color w:val="000000" w:themeColor="text1"/>
          <w14:textFill>
            <w14:solidFill>
              <w14:schemeClr w14:val="tx1"/>
            </w14:solidFill>
          </w14:textFill>
        </w:rPr>
        <w:t>中，各类别原型可通过支持集中归一化后嵌入向量的简单均值计算获得，</w:t>
      </w:r>
      <w:r>
        <w:rPr>
          <w:rFonts w:hint="eastAsia" w:ascii="宋体" w:hAnsi="宋体" w:eastAsia="宋体"/>
          <w:color w:val="000000" w:themeColor="text1"/>
          <w14:textFill>
            <w14:solidFill>
              <w14:schemeClr w14:val="tx1"/>
            </w14:solidFill>
          </w14:textFill>
        </w:rPr>
        <w:t>并且归一化后所得原型同样位于单位球面上，确保类别间距离度量的一致性与可解释性</w:t>
      </w:r>
      <w:r>
        <w:rPr>
          <w:rFonts w:hint="eastAsia" w:ascii="宋体" w:hAnsi="宋体" w:eastAsia="宋体"/>
          <w:color w:val="000000" w:themeColor="text1"/>
          <w:vertAlign w:val="superscript"/>
          <w14:textFill>
            <w14:solidFill>
              <w14:schemeClr w14:val="tx1"/>
            </w14:solidFill>
          </w14:textFill>
        </w:rPr>
        <w:fldChar w:fldCharType="begin"/>
      </w:r>
      <w:r>
        <w:rPr>
          <w:rFonts w:hint="eastAsia" w:ascii="宋体" w:hAnsi="宋体" w:eastAsia="宋体"/>
          <w:color w:val="000000" w:themeColor="text1"/>
          <w:vertAlign w:val="superscript"/>
          <w14:textFill>
            <w14:solidFill>
              <w14:schemeClr w14:val="tx1"/>
            </w14:solidFill>
          </w14:textFill>
        </w:rPr>
        <w:instrText xml:space="preserve"> REF _Ref9902 \r \h </w:instrText>
      </w:r>
      <w:r>
        <w:rPr>
          <w:rFonts w:hint="eastAsia" w:ascii="宋体" w:hAnsi="宋体" w:eastAsia="宋体"/>
          <w:color w:val="000000" w:themeColor="text1"/>
          <w:vertAlign w:val="superscript"/>
          <w14:textFill>
            <w14:solidFill>
              <w14:schemeClr w14:val="tx1"/>
            </w14:solidFill>
          </w14:textFill>
        </w:rPr>
        <w:fldChar w:fldCharType="separate"/>
      </w:r>
      <w:r>
        <w:rPr>
          <w:rFonts w:hint="eastAsia" w:ascii="宋体" w:hAnsi="宋体" w:eastAsia="宋体"/>
          <w:color w:val="000000" w:themeColor="text1"/>
          <w:vertAlign w:val="superscript"/>
          <w14:textFill>
            <w14:solidFill>
              <w14:schemeClr w14:val="tx1"/>
            </w14:solidFill>
          </w14:textFill>
        </w:rPr>
        <w:t>[38]</w:t>
      </w:r>
      <w:r>
        <w:rPr>
          <w:rFonts w:hint="eastAsia"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w:t>
      </w:r>
    </w:p>
    <w:p w14:paraId="0B094F70">
      <w:pPr>
        <w:ind w:firstLine="420"/>
        <w:jc w:val="left"/>
        <w:rPr>
          <w:rFonts w:hint="eastAsia" w:ascii="宋体" w:hAnsi="宋体" w:eastAsia="宋体"/>
          <w:color w:val="000000" w:themeColor="text1"/>
          <w14:textFill>
            <w14:solidFill>
              <w14:schemeClr w14:val="tx1"/>
            </w14:solidFill>
          </w14:textFill>
        </w:rPr>
      </w:pPr>
    </w:p>
    <w:p w14:paraId="51513B06">
      <w:pPr>
        <w:keepNext w:val="0"/>
        <w:keepLines w:val="0"/>
        <w:pageBreakBefore w:val="0"/>
        <w:widowControl w:val="0"/>
        <w:numPr>
          <w:ilvl w:val="1"/>
          <w:numId w:val="1"/>
        </w:numPr>
        <w:kinsoku/>
        <w:wordWrap/>
        <w:overflowPunct/>
        <w:topLinePunct w:val="0"/>
        <w:autoSpaceDE/>
        <w:autoSpaceDN/>
        <w:bidi w:val="0"/>
        <w:adjustRightInd/>
        <w:snapToGrid/>
        <w:ind w:left="567" w:hanging="567"/>
        <w:textAlignment w:val="auto"/>
        <w:outlineLvl w:val="1"/>
        <w:rPr>
          <w:b/>
          <w:bCs/>
          <w:color w:val="000000" w:themeColor="text1"/>
          <w:sz w:val="28"/>
          <w:szCs w:val="28"/>
          <w14:textFill>
            <w14:solidFill>
              <w14:schemeClr w14:val="tx1"/>
            </w14:solidFill>
          </w14:textFill>
        </w:rPr>
      </w:pPr>
      <w:bookmarkStart w:id="83" w:name="_Toc16236"/>
      <w:bookmarkStart w:id="84" w:name="_Toc18074"/>
      <w:bookmarkStart w:id="85" w:name="_Toc31720"/>
      <w:bookmarkStart w:id="86" w:name="_Toc18445"/>
      <w:bookmarkStart w:id="87" w:name="_Toc18582"/>
      <w:r>
        <w:rPr>
          <w:b/>
          <w:bCs/>
          <w:color w:val="000000" w:themeColor="text1"/>
          <w:sz w:val="30"/>
          <w:szCs w:val="30"/>
          <w14:textFill>
            <w14:solidFill>
              <w14:schemeClr w14:val="tx1"/>
            </w14:solidFill>
          </w14:textFill>
        </w:rPr>
        <w:t>小样本学习策略（原型网络增强方法）</w:t>
      </w:r>
      <w:bookmarkEnd w:id="83"/>
      <w:bookmarkEnd w:id="84"/>
      <w:bookmarkEnd w:id="85"/>
      <w:bookmarkEnd w:id="86"/>
      <w:bookmarkEnd w:id="87"/>
    </w:p>
    <w:p w14:paraId="01FD0A95">
      <w:pPr>
        <w:keepNext w:val="0"/>
        <w:keepLines w:val="0"/>
        <w:pageBreakBefore w:val="0"/>
        <w:widowControl w:val="0"/>
        <w:numPr>
          <w:ilvl w:val="2"/>
          <w:numId w:val="1"/>
        </w:numPr>
        <w:kinsoku/>
        <w:wordWrap/>
        <w:overflowPunct/>
        <w:topLinePunct w:val="0"/>
        <w:autoSpaceDE/>
        <w:autoSpaceDN/>
        <w:bidi w:val="0"/>
        <w:adjustRightInd/>
        <w:snapToGrid/>
        <w:ind w:left="709" w:hanging="709"/>
        <w:textAlignment w:val="auto"/>
        <w:outlineLvl w:val="2"/>
        <w:rPr>
          <w:b/>
          <w:bCs/>
          <w:color w:val="000000" w:themeColor="text1"/>
          <w:sz w:val="28"/>
          <w:szCs w:val="28"/>
          <w14:textFill>
            <w14:solidFill>
              <w14:schemeClr w14:val="tx1"/>
            </w14:solidFill>
          </w14:textFill>
        </w:rPr>
      </w:pPr>
      <w:bookmarkStart w:id="88" w:name="_Toc29071"/>
      <w:bookmarkStart w:id="89" w:name="_Toc1422"/>
      <w:bookmarkStart w:id="90" w:name="_Toc8035"/>
      <w:bookmarkStart w:id="91" w:name="_Toc26147"/>
      <w:bookmarkStart w:id="92" w:name="_Toc22950"/>
      <w:r>
        <w:rPr>
          <w:rFonts w:hint="eastAsia"/>
          <w:b/>
          <w:bCs/>
          <w:color w:val="000000" w:themeColor="text1"/>
          <w:sz w:val="28"/>
          <w:szCs w:val="28"/>
          <w14:textFill>
            <w14:solidFill>
              <w14:schemeClr w14:val="tx1"/>
            </w14:solidFill>
          </w14:textFill>
        </w:rPr>
        <w:t>多原型构建</w:t>
      </w:r>
      <w:bookmarkEnd w:id="88"/>
      <w:bookmarkEnd w:id="89"/>
      <w:bookmarkEnd w:id="90"/>
      <w:bookmarkEnd w:id="91"/>
      <w:bookmarkEnd w:id="92"/>
    </w:p>
    <w:p w14:paraId="11697526">
      <w:pPr>
        <w:ind w:firstLine="420"/>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传统的原型网络（Prototypical Network），每个类别通常只构建一个单一的原型向量，即</w:t>
      </w:r>
      <w:r>
        <w:rPr>
          <w:rFonts w:hint="eastAsia" w:ascii="宋体" w:hAnsi="宋体" w:eastAsia="宋体"/>
          <w:color w:val="000000" w:themeColor="text1"/>
          <w14:textFill>
            <w14:solidFill>
              <w14:schemeClr w14:val="tx1"/>
            </w14:solidFill>
          </w14:textFill>
        </w:rPr>
        <w:t>通过将支持集（Support set）中特定类别的所有特征取均值得到的类别代表向量</w:t>
      </w:r>
      <w:r>
        <w:rPr>
          <w:rFonts w:hint="eastAsia" w:ascii="宋体" w:hAnsi="宋体" w:eastAsia="宋体"/>
          <w:color w:val="000000" w:themeColor="text1"/>
          <w:vertAlign w:val="superscript"/>
          <w14:textFill>
            <w14:solidFill>
              <w14:schemeClr w14:val="tx1"/>
            </w14:solidFill>
          </w14:textFill>
        </w:rPr>
        <w:fldChar w:fldCharType="begin"/>
      </w:r>
      <w:r>
        <w:rPr>
          <w:rFonts w:hint="eastAsia" w:ascii="宋体" w:hAnsi="宋体" w:eastAsia="宋体"/>
          <w:color w:val="000000" w:themeColor="text1"/>
          <w:vertAlign w:val="superscript"/>
          <w14:textFill>
            <w14:solidFill>
              <w14:schemeClr w14:val="tx1"/>
            </w14:solidFill>
          </w14:textFill>
        </w:rPr>
        <w:instrText xml:space="preserve"> REF _Ref9902 \r \h </w:instrText>
      </w:r>
      <w:r>
        <w:rPr>
          <w:rFonts w:hint="eastAsia" w:ascii="宋体" w:hAnsi="宋体" w:eastAsia="宋体"/>
          <w:color w:val="000000" w:themeColor="text1"/>
          <w:vertAlign w:val="superscript"/>
          <w14:textFill>
            <w14:solidFill>
              <w14:schemeClr w14:val="tx1"/>
            </w14:solidFill>
          </w14:textFill>
        </w:rPr>
        <w:fldChar w:fldCharType="separate"/>
      </w:r>
      <w:r>
        <w:rPr>
          <w:rFonts w:hint="eastAsia" w:ascii="宋体" w:hAnsi="宋体" w:eastAsia="宋体"/>
          <w:color w:val="000000" w:themeColor="text1"/>
          <w:vertAlign w:val="superscript"/>
          <w14:textFill>
            <w14:solidFill>
              <w14:schemeClr w14:val="tx1"/>
            </w14:solidFill>
          </w14:textFill>
        </w:rPr>
        <w:t>[38]</w:t>
      </w:r>
      <w:r>
        <w:rPr>
          <w:rFonts w:hint="eastAsia"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。然而，</w:t>
      </w:r>
      <w:r>
        <w:rPr>
          <w:rFonts w:hint="eastAsia" w:ascii="宋体" w:hAnsi="宋体" w:eastAsia="宋体"/>
          <w:color w:val="000000" w:themeColor="text1"/>
          <w14:textFill>
            <w14:solidFill>
              <w14:schemeClr w14:val="tx1"/>
            </w14:solidFill>
          </w14:textFill>
        </w:rPr>
        <w:t>这种单一原型的方法在实际复杂数据场景中往往难以有效表征类别内的多模态或亚类特征差异，可能导致类别区分效果欠佳</w:t>
      </w:r>
      <w:r>
        <w:rPr>
          <w:rFonts w:hint="eastAsia" w:ascii="宋体" w:hAnsi="宋体" w:eastAsia="宋体"/>
          <w:color w:val="000000" w:themeColor="text1"/>
          <w:vertAlign w:val="superscript"/>
          <w14:textFill>
            <w14:solidFill>
              <w14:schemeClr w14:val="tx1"/>
            </w14:solidFill>
          </w14:textFill>
        </w:rPr>
        <w:fldChar w:fldCharType="begin"/>
      </w:r>
      <w:r>
        <w:rPr>
          <w:rFonts w:hint="eastAsia" w:ascii="宋体" w:hAnsi="宋体" w:eastAsia="宋体"/>
          <w:color w:val="000000" w:themeColor="text1"/>
          <w:vertAlign w:val="superscript"/>
          <w14:textFill>
            <w14:solidFill>
              <w14:schemeClr w14:val="tx1"/>
            </w14:solidFill>
          </w14:textFill>
        </w:rPr>
        <w:instrText xml:space="preserve"> REF _Ref9974 \r \h </w:instrText>
      </w:r>
      <w:r>
        <w:rPr>
          <w:rFonts w:hint="eastAsia" w:ascii="宋体" w:hAnsi="宋体" w:eastAsia="宋体"/>
          <w:color w:val="000000" w:themeColor="text1"/>
          <w:vertAlign w:val="superscript"/>
          <w14:textFill>
            <w14:solidFill>
              <w14:schemeClr w14:val="tx1"/>
            </w14:solidFill>
          </w14:textFill>
        </w:rPr>
        <w:fldChar w:fldCharType="separate"/>
      </w:r>
      <w:r>
        <w:rPr>
          <w:rFonts w:hint="eastAsia" w:ascii="宋体" w:hAnsi="宋体" w:eastAsia="宋体"/>
          <w:color w:val="000000" w:themeColor="text1"/>
          <w:vertAlign w:val="superscript"/>
          <w14:textFill>
            <w14:solidFill>
              <w14:schemeClr w14:val="tx1"/>
            </w14:solidFill>
          </w14:textFill>
        </w:rPr>
        <w:t>[39]</w:t>
      </w:r>
      <w:r>
        <w:rPr>
          <w:rFonts w:hint="eastAsia"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w:t>
      </w:r>
      <w:r>
        <w:rPr>
          <w:rFonts w:hint="eastAsia" w:ascii="宋体" w:hAnsi="宋体" w:eastAsia="宋体"/>
          <w:color w:val="000000" w:themeColor="text1"/>
          <w:lang w:val="en-US" w:eastAsia="zh-CN"/>
          <w14:textFill>
            <w14:solidFill>
              <w14:schemeClr w14:val="tx1"/>
            </w14:solidFill>
          </w14:textFill>
        </w:rPr>
        <w:t>因此</w:t>
      </w:r>
      <w:r>
        <w:rPr>
          <w:rFonts w:hint="eastAsia" w:ascii="宋体" w:hAnsi="宋体" w:eastAsia="宋体"/>
          <w:color w:val="000000" w:themeColor="text1"/>
          <w14:textFill>
            <w14:solidFill>
              <w14:schemeClr w14:val="tx1"/>
            </w14:solidFill>
          </w14:textFill>
        </w:rPr>
        <w:t>，我们提出了一种基于KMeans聚类的多原型构建策略（如图</w:t>
      </w:r>
      <w:r>
        <w:rPr>
          <w:rFonts w:hint="eastAsia" w:ascii="宋体" w:hAnsi="宋体" w:eastAsia="宋体"/>
          <w:color w:val="000000" w:themeColor="text1"/>
          <w:lang w:val="en-US" w:eastAsia="zh-CN"/>
          <w14:textFill>
            <w14:solidFill>
              <w14:schemeClr w14:val="tx1"/>
            </w14:solidFill>
          </w14:textFill>
        </w:rPr>
        <w:t>4</w:t>
      </w:r>
      <w:r>
        <w:rPr>
          <w:rFonts w:hint="eastAsia" w:ascii="宋体" w:hAnsi="宋体" w:eastAsia="宋体"/>
          <w:color w:val="000000" w:themeColor="text1"/>
          <w14:textFill>
            <w14:solidFill>
              <w14:schemeClr w14:val="tx1"/>
            </w14:solidFill>
          </w14:textFill>
        </w:rPr>
        <w:t>所示），即每个类别不再由单一原型表示，而是使用多个原型向量联合表示类别特征的分布。</w:t>
      </w:r>
    </w:p>
    <w:p w14:paraId="27317539">
      <w:pPr>
        <w:jc w:val="left"/>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7960" cy="3602355"/>
            <wp:effectExtent l="19050" t="19050" r="21590" b="2349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tretch>
                      <a:fillRect/>
                    </a:stretch>
                  </pic:blipFill>
                  <pic:spPr>
                    <a:xfrm>
                      <a:off x="0" y="0"/>
                      <a:ext cx="5267960" cy="3602355"/>
                    </a:xfrm>
                    <a:prstGeom prst="rect">
                      <a:avLst/>
                    </a:prstGeom>
                    <a:noFill/>
                    <a:ln w="19050">
                      <a:solidFill>
                        <a:srgbClr val="002060"/>
                      </a:solidFill>
                    </a:ln>
                  </pic:spPr>
                </pic:pic>
              </a:graphicData>
            </a:graphic>
          </wp:inline>
        </w:drawing>
      </w:r>
    </w:p>
    <w:p w14:paraId="532BCE0D">
      <w:pPr>
        <w:jc w:val="left"/>
        <w:rPr>
          <w:rFonts w:hint="eastAsia" w:ascii="黑体" w:hAnsi="黑体" w:eastAsia="黑体" w:cs="黑体"/>
          <w:color w:val="000000" w:themeColor="text1"/>
          <w:sz w:val="21"/>
          <w:szCs w:val="21"/>
          <w:lang w:val="en-US" w:eastAsia="zh-CN"/>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图</w:t>
      </w:r>
      <w:r>
        <w:rPr>
          <w:rFonts w:hint="eastAsia" w:ascii="黑体" w:hAnsi="黑体" w:eastAsia="黑体" w:cs="黑体"/>
          <w:color w:val="000000" w:themeColor="text1"/>
          <w:sz w:val="21"/>
          <w:szCs w:val="21"/>
          <w:lang w:val="en-US" w:eastAsia="zh-CN"/>
          <w14:textFill>
            <w14:solidFill>
              <w14:schemeClr w14:val="tx1"/>
            </w14:solidFill>
          </w14:textFill>
        </w:rPr>
        <w:t>4：生成多个原型的过程：按类别对样本进行分组，然后使用KMeans聚类计算每个类别的聚类中心。若样本不足，使用均值插补。最后，对聚类中心进行L2归一化，得到多个原型集。</w:t>
      </w:r>
    </w:p>
    <w:p w14:paraId="56D8A311">
      <w:pPr>
        <w:jc w:val="left"/>
        <w:rPr>
          <w:rFonts w:hint="eastAsia" w:ascii="黑体" w:hAnsi="黑体" w:eastAsia="黑体" w:cs="黑体"/>
          <w:color w:val="000000" w:themeColor="text1"/>
          <w:sz w:val="21"/>
          <w:szCs w:val="21"/>
          <w:lang w:val="en-US" w:eastAsia="zh-CN"/>
          <w14:textFill>
            <w14:solidFill>
              <w14:schemeClr w14:val="tx1"/>
            </w14:solidFill>
          </w14:textFill>
        </w:rPr>
      </w:pPr>
    </w:p>
    <w:p w14:paraId="13530ABD">
      <w:pPr>
        <w:ind w:firstLine="420"/>
        <w:jc w:val="left"/>
        <w:rPr>
          <w:rFonts w:hAnsi="Cambria Math"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具体实现流程如下</w:t>
      </w:r>
      <w:r>
        <w:rPr>
          <w:rFonts w:hint="eastAsia" w:ascii="宋体" w:hAnsi="宋体" w:eastAsia="宋体"/>
          <w:color w:val="000000" w:themeColor="text1"/>
          <w:lang w:eastAsia="zh-CN"/>
          <w14:textFill>
            <w14:solidFill>
              <w14:schemeClr w14:val="tx1"/>
            </w14:solidFill>
          </w14:textFill>
        </w:rPr>
        <w:t>：</w:t>
      </w:r>
      <w:r>
        <w:rPr>
          <w:rFonts w:hint="eastAsia" w:ascii="宋体" w:hAnsi="宋体" w:eastAsia="宋体"/>
          <w:color w:val="000000" w:themeColor="text1"/>
          <w14:textFill>
            <w14:solidFill>
              <w14:schemeClr w14:val="tx1"/>
            </w14:solidFill>
          </w14:textFill>
        </w:rPr>
        <w:t>我们首先在支持集中提取每个类别的特征表示，并采用</w:t>
      </w:r>
      <w:r>
        <w:rPr>
          <w:rFonts w:eastAsia="宋体" w:cs="Times New Roman"/>
          <w:color w:val="000000" w:themeColor="text1"/>
          <w14:textFill>
            <w14:solidFill>
              <w14:schemeClr w14:val="tx1"/>
            </w14:solidFill>
          </w14:textFill>
        </w:rPr>
        <w:t>KMeans</w:t>
      </w:r>
      <w:r>
        <w:rPr>
          <w:rFonts w:hint="eastAsia" w:ascii="宋体" w:hAnsi="宋体" w:eastAsia="宋体"/>
          <w:color w:val="000000" w:themeColor="text1"/>
          <w14:textFill>
            <w14:solidFill>
              <w14:schemeClr w14:val="tx1"/>
            </w14:solidFill>
          </w14:textFill>
        </w:rPr>
        <w:t>算法为每个类别构建多个原型中心</w:t>
      </w:r>
      <w:r>
        <w:rPr>
          <w:rFonts w:eastAsia="宋体" w:cs="Times New Roman"/>
          <w:color w:val="000000" w:themeColor="text1"/>
          <w14:textFill>
            <w14:solidFill>
              <w14:schemeClr w14:val="tx1"/>
            </w14:solidFill>
          </w14:textFill>
        </w:rPr>
        <w:t>（Multi-Prototypes）</w:t>
      </w:r>
      <w:r>
        <w:rPr>
          <w:rFonts w:hint="eastAsia" w:ascii="宋体" w:hAnsi="宋体" w:eastAsia="宋体"/>
          <w:color w:val="000000" w:themeColor="text1"/>
          <w14:textFill>
            <w14:solidFill>
              <w14:schemeClr w14:val="tx1"/>
            </w14:solidFill>
          </w14:textFill>
        </w:rPr>
        <w:t>。</w:t>
      </w:r>
      <w:r>
        <w:rPr>
          <w:rFonts w:eastAsia="宋体" w:cs="Times New Roman"/>
          <w:color w:val="000000" w:themeColor="text1"/>
          <w14:textFill>
            <w14:solidFill>
              <w14:schemeClr w14:val="tx1"/>
            </w14:solidFill>
          </w14:textFill>
        </w:rPr>
        <w:t>KMeans</w:t>
      </w:r>
      <w:r>
        <w:rPr>
          <w:rFonts w:hint="eastAsia" w:ascii="宋体" w:hAnsi="宋体" w:eastAsia="宋体"/>
          <w:color w:val="000000" w:themeColor="text1"/>
          <w14:textFill>
            <w14:solidFill>
              <w14:schemeClr w14:val="tx1"/>
            </w14:solidFill>
          </w14:textFill>
        </w:rPr>
        <w:t>算法的目标函数为：</w:t>
      </w:r>
      <w:r>
        <w:rPr>
          <w:rFonts w:hint="eastAsia" w:ascii="宋体" w:hAnsi="宋体" w:eastAsia="宋体"/>
          <w:color w:val="000000" w:themeColor="text1"/>
          <w14:textFill>
            <w14:solidFill>
              <w14:schemeClr w14:val="tx1"/>
            </w14:solidFill>
          </w14:textFill>
        </w:rPr>
        <w:br w:type="textWrapping"/>
      </w:r>
      <m:oMathPara>
        <m:oMath>
          <m:r>
            <m:rPr>
              <m:sty m:val="p"/>
            </m:rPr>
            <w:rPr>
              <w:rFonts w:hint="eastAsia" w:ascii="Cambria Math" w:hAnsi="Cambria Math" w:eastAsia="宋体"/>
              <w:color w:val="000000" w:themeColor="text1"/>
              <w14:textFill>
                <w14:solidFill>
                  <w14:schemeClr w14:val="tx1"/>
                </w14:solidFill>
              </w14:textFill>
            </w:rPr>
            <m:t>arg min</m:t>
          </m:r>
          <m:sSubSup>
            <m:sSubSupPr>
              <m:ctrlPr>
                <w:rPr>
                  <w:rFonts w:hint="eastAsia" w:ascii="Cambria Math" w:hAnsi="Cambria Math" w:eastAsia="宋体"/>
                  <w:color w:val="000000" w:themeColor="text1"/>
                  <w14:textFill>
                    <w14:solidFill>
                      <w14:schemeClr w14:val="tx1"/>
                    </w14:solidFill>
                  </w14:textFill>
                </w:rPr>
              </m:ctrlPr>
            </m:sSubSupPr>
            <m:e>
              <m:d>
                <m:dPr>
                  <m:begChr m:val="{"/>
                  <m:endChr m:val="}"/>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C</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k</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k=1</m:t>
              </m:r>
              <m:ctrlPr>
                <w:rPr>
                  <w:rFonts w:hint="eastAsia" w:ascii="Cambria Math" w:hAnsi="Cambria Math" w:eastAsia="宋体"/>
                  <w:color w:val="000000" w:themeColor="text1"/>
                  <w14:textFill>
                    <w14:solidFill>
                      <w14:schemeClr w14:val="tx1"/>
                    </w14:solidFill>
                  </w14:textFill>
                </w:rPr>
              </m:ctrlPr>
            </m:sub>
            <m:sup>
              <m:r>
                <m:rPr>
                  <m:sty m:val="p"/>
                </m:rPr>
                <w:rPr>
                  <w:rFonts w:hint="eastAsia" w:ascii="Cambria Math" w:hAnsi="Cambria Math" w:eastAsia="宋体"/>
                  <w:color w:val="000000" w:themeColor="text1"/>
                  <w14:textFill>
                    <w14:solidFill>
                      <w14:schemeClr w14:val="tx1"/>
                    </w14:solidFill>
                  </w14:textFill>
                </w:rPr>
                <m:t>K</m:t>
              </m:r>
              <m:ctrlPr>
                <w:rPr>
                  <w:rFonts w:hint="eastAsia" w:ascii="Cambria Math" w:hAnsi="Cambria Math" w:eastAsia="宋体"/>
                  <w:color w:val="000000" w:themeColor="text1"/>
                  <w14:textFill>
                    <w14:solidFill>
                      <w14:schemeClr w14:val="tx1"/>
                    </w14:solidFill>
                  </w14:textFill>
                </w:rPr>
              </m:ctrlPr>
            </m:sup>
          </m:sSubSup>
          <m:nary>
            <m:naryPr>
              <m:chr m:val="∑"/>
              <m:limLoc m:val="undOvr"/>
              <m:ctrlPr>
                <w:rPr>
                  <w:rFonts w:hint="eastAsia" w:ascii="Cambria Math" w:hAnsi="Cambria Math" w:eastAsia="宋体"/>
                  <w:color w:val="000000" w:themeColor="text1"/>
                  <w14:textFill>
                    <w14:solidFill>
                      <w14:schemeClr w14:val="tx1"/>
                    </w14:solidFill>
                  </w14:textFill>
                </w:rPr>
              </m:ctrlPr>
            </m:naryPr>
            <m:sub>
              <m:r>
                <m:rPr>
                  <m:sty m:val="p"/>
                </m:rPr>
                <w:rPr>
                  <w:rFonts w:hint="eastAsia" w:ascii="Cambria Math" w:hAnsi="Cambria Math" w:eastAsia="宋体"/>
                  <w:color w:val="000000" w:themeColor="text1"/>
                  <w14:textFill>
                    <w14:solidFill>
                      <w14:schemeClr w14:val="tx1"/>
                    </w14:solidFill>
                  </w14:textFill>
                </w:rPr>
                <m:t>k=1</m:t>
              </m:r>
              <m:ctrlPr>
                <w:rPr>
                  <w:rFonts w:hint="eastAsia" w:ascii="Cambria Math" w:hAnsi="Cambria Math" w:eastAsia="宋体"/>
                  <w:color w:val="000000" w:themeColor="text1"/>
                  <w14:textFill>
                    <w14:solidFill>
                      <w14:schemeClr w14:val="tx1"/>
                    </w14:solidFill>
                  </w14:textFill>
                </w:rPr>
              </m:ctrlPr>
            </m:sub>
            <m:sup>
              <m:r>
                <m:rPr>
                  <m:sty m:val="p"/>
                </m:rPr>
                <w:rPr>
                  <w:rFonts w:hint="eastAsia" w:ascii="Cambria Math" w:hAnsi="Cambria Math" w:eastAsia="宋体"/>
                  <w:color w:val="000000" w:themeColor="text1"/>
                  <w14:textFill>
                    <w14:solidFill>
                      <w14:schemeClr w14:val="tx1"/>
                    </w14:solidFill>
                  </w14:textFill>
                </w:rPr>
                <m:t>K</m:t>
              </m:r>
              <m:ctrlPr>
                <w:rPr>
                  <w:rFonts w:hint="eastAsia" w:ascii="Cambria Math" w:hAnsi="Cambria Math" w:eastAsia="宋体"/>
                  <w:color w:val="000000" w:themeColor="text1"/>
                  <w14:textFill>
                    <w14:solidFill>
                      <w14:schemeClr w14:val="tx1"/>
                    </w14:solidFill>
                  </w14:textFill>
                </w:rPr>
              </m:ctrlPr>
            </m:sup>
            <m:e>
              <m:nary>
                <m:naryPr>
                  <m:chr m:val="∑"/>
                  <m:limLoc m:val="undOvr"/>
                  <m:supHide m:val="1"/>
                  <m:ctrlPr>
                    <w:rPr>
                      <w:rFonts w:hint="eastAsia" w:ascii="Cambria Math" w:hAnsi="Cambria Math" w:eastAsia="宋体"/>
                      <w:color w:val="000000" w:themeColor="text1"/>
                      <w14:textFill>
                        <w14:solidFill>
                          <w14:schemeClr w14:val="tx1"/>
                        </w14:solidFill>
                      </w14:textFill>
                    </w:rPr>
                  </m:ctrlPr>
                </m:naryPr>
                <m:sub>
                  <m:r>
                    <m:rPr>
                      <m:sty m:val="p"/>
                    </m:rPr>
                    <w:rPr>
                      <w:rFonts w:hint="eastAsia" w:ascii="Cambria Math" w:hAnsi="Cambria Math" w:eastAsia="宋体"/>
                      <w:color w:val="000000" w:themeColor="text1"/>
                      <w14:textFill>
                        <w14:solidFill>
                          <w14:schemeClr w14:val="tx1"/>
                        </w14:solidFill>
                      </w14:textFill>
                    </w:rPr>
                    <m:t>x∈</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C</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k</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sub>
                <m:sup>
                  <m:ctrlPr>
                    <w:rPr>
                      <w:rFonts w:hint="eastAsia" w:ascii="Cambria Math" w:hAnsi="Cambria Math" w:eastAsia="宋体"/>
                      <w:color w:val="000000" w:themeColor="text1"/>
                      <w14:textFill>
                        <w14:solidFill>
                          <w14:schemeClr w14:val="tx1"/>
                        </w14:solidFill>
                      </w14:textFill>
                    </w:rPr>
                  </m:ctrlPr>
                </m:sup>
                <m:e>
                  <m:sSup>
                    <m:sSupPr>
                      <m:ctrlPr>
                        <w:rPr>
                          <w:rFonts w:hint="eastAsia" w:ascii="Cambria Math" w:hAnsi="Cambria Math" w:eastAsia="宋体"/>
                          <w:color w:val="000000" w:themeColor="text1"/>
                          <w14:textFill>
                            <w14:solidFill>
                              <w14:schemeClr w14:val="tx1"/>
                            </w14:solidFill>
                          </w14:textFill>
                        </w:rPr>
                      </m:ctrlPr>
                    </m:sSupPr>
                    <m:e>
                      <m:d>
                        <m:dPr>
                          <m:begChr m:val="‖"/>
                          <m:endChr m:val=""/>
                          <m:ctrlPr>
                            <w:rPr>
                              <w:rFonts w:hint="eastAsia" w:ascii="Cambria Math" w:hAnsi="Cambria Math" w:eastAsia="宋体"/>
                              <w:color w:val="000000" w:themeColor="text1"/>
                              <w14:textFill>
                                <w14:solidFill>
                                  <w14:schemeClr w14:val="tx1"/>
                                </w14:solidFill>
                              </w14:textFill>
                            </w:rPr>
                          </m:ctrlPr>
                        </m:dPr>
                        <m:e>
                          <m:r>
                            <m:rPr>
                              <m:sty m:val="p"/>
                            </m:rPr>
                            <w:rPr>
                              <w:rFonts w:hint="eastAsia" w:ascii="Cambria Math" w:hAnsi="Cambria Math" w:eastAsia="宋体"/>
                              <w:color w:val="000000" w:themeColor="text1"/>
                              <w14:textFill>
                                <w14:solidFill>
                                  <w14:schemeClr w14:val="tx1"/>
                                </w14:solidFill>
                              </w14:textFill>
                            </w:rPr>
                            <m:t>x</m:t>
                          </m:r>
                          <m:ctrlPr>
                            <w:rPr>
                              <w:rFonts w:hint="eastAsia" w:ascii="Cambria Math" w:hAnsi="Cambria Math" w:eastAsia="宋体"/>
                              <w:color w:val="000000" w:themeColor="text1"/>
                              <w14:textFill>
                                <w14:solidFill>
                                  <w14:schemeClr w14:val="tx1"/>
                                </w14:solidFill>
                              </w14:textFill>
                            </w:rPr>
                          </m:ctrlPr>
                        </m:e>
                      </m:d>
                      <m:r>
                        <m:rPr>
                          <m:sty m:val="p"/>
                        </m:rPr>
                        <w:rPr>
                          <w:rFonts w:hint="eastAsia" w:ascii="Cambria Math" w:hAnsi="Cambria Math" w:eastAsia="宋体"/>
                          <w:color w:val="000000" w:themeColor="text1"/>
                          <w14:textFill>
                            <w14:solidFill>
                              <w14:schemeClr w14:val="tx1"/>
                            </w14:solidFill>
                          </w14:textFill>
                        </w:rPr>
                        <m:t>−</m:t>
                      </m:r>
                      <m:d>
                        <m:dPr>
                          <m:begChr m:val=""/>
                          <m:endChr m:val="‖"/>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μ</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k</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ctrlPr>
                        <w:rPr>
                          <w:rFonts w:hint="eastAsia" w:ascii="Cambria Math" w:hAnsi="Cambria Math" w:eastAsia="宋体"/>
                          <w:color w:val="000000" w:themeColor="text1"/>
                          <w14:textFill>
                            <w14:solidFill>
                              <w14:schemeClr w14:val="tx1"/>
                            </w14:solidFill>
                          </w14:textFill>
                        </w:rPr>
                      </m:ctrlPr>
                    </m:e>
                    <m:sup>
                      <m:r>
                        <m:rPr>
                          <m:sty m:val="p"/>
                        </m:rPr>
                        <w:rPr>
                          <w:rFonts w:hint="eastAsia" w:ascii="Cambria Math" w:hAnsi="Cambria Math" w:eastAsia="宋体"/>
                          <w:color w:val="000000" w:themeColor="text1"/>
                          <w14:textFill>
                            <w14:solidFill>
                              <w14:schemeClr w14:val="tx1"/>
                            </w14:solidFill>
                          </w14:textFill>
                        </w:rPr>
                        <m:t>2</m:t>
                      </m:r>
                      <m:ctrlPr>
                        <w:rPr>
                          <w:rFonts w:hint="eastAsia" w:ascii="Cambria Math" w:hAnsi="Cambria Math" w:eastAsia="宋体"/>
                          <w:color w:val="000000" w:themeColor="text1"/>
                          <w14:textFill>
                            <w14:solidFill>
                              <w14:schemeClr w14:val="tx1"/>
                            </w14:solidFill>
                          </w14:textFill>
                        </w:rPr>
                      </m:ctrlPr>
                    </m:sup>
                  </m:sSup>
                  <m:ctrlPr>
                    <w:rPr>
                      <w:rFonts w:hint="eastAsia" w:ascii="Cambria Math" w:hAnsi="Cambria Math" w:eastAsia="宋体"/>
                      <w:color w:val="000000" w:themeColor="text1"/>
                      <w14:textFill>
                        <w14:solidFill>
                          <w14:schemeClr w14:val="tx1"/>
                        </w14:solidFill>
                      </w14:textFill>
                    </w:rPr>
                  </m:ctrlPr>
                </m:e>
              </m:nary>
              <m:ctrlPr>
                <w:rPr>
                  <w:rFonts w:hint="eastAsia" w:ascii="Cambria Math" w:hAnsi="Cambria Math" w:eastAsia="宋体"/>
                  <w:color w:val="000000" w:themeColor="text1"/>
                  <w14:textFill>
                    <w14:solidFill>
                      <w14:schemeClr w14:val="tx1"/>
                    </w14:solidFill>
                  </w14:textFill>
                </w:rPr>
              </m:ctrlPr>
            </m:e>
          </m:nary>
        </m:oMath>
      </m:oMathPara>
    </w:p>
    <w:p w14:paraId="08DE98E1">
      <w:pPr>
        <w:ind w:firstLine="420"/>
        <w:jc w:val="left"/>
        <w:rPr>
          <w:rFonts w:hAnsi="Cambria Math" w:eastAsia="宋体"/>
          <w:color w:val="000000" w:themeColor="text1"/>
          <w14:textFill>
            <w14:solidFill>
              <w14:schemeClr w14:val="tx1"/>
            </w14:solidFill>
          </w14:textFill>
        </w:rPr>
      </w:pPr>
    </w:p>
    <w:p w14:paraId="2AD26C5B">
      <w:pPr>
        <w:ind w:firstLine="420"/>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其中，</w:t>
      </w:r>
      <w:r>
        <w:rPr>
          <w:rFonts w:eastAsia="宋体" w:cs="Times New Roman"/>
          <w:color w:val="000000" w:themeColor="text1"/>
          <w14:textFill>
            <w14:solidFill>
              <w14:schemeClr w14:val="tx1"/>
            </w14:solidFill>
          </w14:textFill>
        </w:rPr>
        <w:t>K</w:t>
      </w:r>
      <w:r>
        <w:rPr>
          <w:rFonts w:hint="eastAsia" w:ascii="宋体" w:hAnsi="宋体" w:eastAsia="宋体"/>
          <w:color w:val="000000" w:themeColor="text1"/>
          <w14:textFill>
            <w14:solidFill>
              <w14:schemeClr w14:val="tx1"/>
            </w14:solidFill>
          </w14:textFill>
        </w:rPr>
        <w:t>表示为每个类别构造的原型个数（本文中取</w:t>
      </w:r>
      <w:r>
        <w:rPr>
          <w:rFonts w:eastAsia="宋体" w:cs="Times New Roman"/>
          <w:color w:val="000000" w:themeColor="text1"/>
          <w14:textFill>
            <w14:solidFill>
              <w14:schemeClr w14:val="tx1"/>
            </w14:solidFill>
          </w14:textFill>
        </w:rPr>
        <w:t>K=</w:t>
      </w:r>
      <w:r>
        <w:rPr>
          <w:rFonts w:hint="eastAsia" w:eastAsia="宋体" w:cs="Times New Roman"/>
          <w:color w:val="000000" w:themeColor="text1"/>
          <w14:textFill>
            <w14:solidFill>
              <w14:schemeClr w14:val="tx1"/>
            </w14:solidFill>
          </w14:textFill>
        </w:rPr>
        <w:t>3</w:t>
      </w:r>
      <w:r>
        <w:rPr>
          <w:rFonts w:hint="eastAsia" w:ascii="宋体" w:hAnsi="宋体" w:eastAsia="宋体"/>
          <w:color w:val="000000" w:themeColor="text1"/>
          <w14:textFill>
            <w14:solidFill>
              <w14:schemeClr w14:val="tx1"/>
            </w14:solidFill>
          </w14:textFill>
        </w:rPr>
        <w:t>）,</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C</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k</m:t>
            </m:r>
            <m:ctrlPr>
              <w:rPr>
                <w:rFonts w:hint="eastAsia" w:ascii="Cambria Math" w:hAnsi="Cambria Math" w:eastAsia="宋体"/>
                <w:color w:val="000000" w:themeColor="text1"/>
                <w14:textFill>
                  <w14:solidFill>
                    <w14:schemeClr w14:val="tx1"/>
                  </w14:solidFill>
                </w14:textFill>
              </w:rPr>
            </m:ctrlPr>
          </m:sub>
        </m:sSub>
      </m:oMath>
      <w:r>
        <w:rPr>
          <w:rFonts w:hint="eastAsia" w:ascii="宋体" w:hAnsi="宋体" w:eastAsia="宋体"/>
          <w:color w:val="000000" w:themeColor="text1"/>
          <w14:textFill>
            <w14:solidFill>
              <w14:schemeClr w14:val="tx1"/>
            </w14:solidFill>
          </w14:textFill>
        </w:rPr>
        <w:t>为第k个簇内的特征集合，</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μ</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k</m:t>
            </m:r>
            <m:ctrlPr>
              <w:rPr>
                <w:rFonts w:hint="eastAsia" w:ascii="Cambria Math" w:hAnsi="Cambria Math" w:eastAsia="宋体"/>
                <w:color w:val="000000" w:themeColor="text1"/>
                <w14:textFill>
                  <w14:solidFill>
                    <w14:schemeClr w14:val="tx1"/>
                  </w14:solidFill>
                </w14:textFill>
              </w:rPr>
            </m:ctrlPr>
          </m:sub>
        </m:sSub>
      </m:oMath>
      <w:r>
        <w:rPr>
          <w:rFonts w:hint="eastAsia" w:ascii="宋体" w:hAnsi="宋体" w:eastAsia="宋体"/>
          <w:color w:val="000000" w:themeColor="text1"/>
          <w14:textFill>
            <w14:solidFill>
              <w14:schemeClr w14:val="tx1"/>
            </w14:solidFill>
          </w14:textFill>
        </w:rPr>
        <w:t>为该簇特征的均值向量，即对应的原型中心。通过计算每个样本点到其所属簇中心的距离平方和，</w:t>
      </w:r>
      <w:r>
        <w:rPr>
          <w:rFonts w:eastAsia="宋体" w:cs="Times New Roman"/>
          <w:color w:val="000000" w:themeColor="text1"/>
          <w14:textFill>
            <w14:solidFill>
              <w14:schemeClr w14:val="tx1"/>
            </w14:solidFill>
          </w14:textFill>
        </w:rPr>
        <w:t>KMeans</w:t>
      </w:r>
      <w:r>
        <w:rPr>
          <w:rFonts w:hint="eastAsia" w:ascii="宋体" w:hAnsi="宋体" w:eastAsia="宋体"/>
          <w:color w:val="000000" w:themeColor="text1"/>
          <w14:textFill>
            <w14:solidFill>
              <w14:schemeClr w14:val="tx1"/>
            </w14:solidFill>
          </w14:textFill>
        </w:rPr>
        <w:t>算法实现了将数据分成簇，并确定每个簇的中心，使得簇内样本尽可能集中在一起。</w:t>
      </w:r>
      <w:r>
        <w:rPr>
          <w:rFonts w:hint="eastAsia" w:ascii="宋体" w:hAnsi="宋体" w:eastAsia="宋体"/>
          <w:b/>
          <w:bCs/>
          <w:color w:val="000000" w:themeColor="text1"/>
          <w14:textFill>
            <w14:solidFill>
              <w14:schemeClr w14:val="tx1"/>
            </w14:solidFill>
          </w14:textFill>
        </w:rPr>
        <w:t>值得注意的是，KMeans 算法作为一种离线的无监督聚类工具，仅用于辅助挖掘类别内部的多样性，不会干扰主分类任务的有标签监督训练流程</w:t>
      </w:r>
      <w:r>
        <w:rPr>
          <w:rFonts w:hint="eastAsia" w:ascii="宋体" w:hAnsi="宋体" w:eastAsia="宋体"/>
          <w:color w:val="000000" w:themeColor="text1"/>
          <w14:textFill>
            <w14:solidFill>
              <w14:schemeClr w14:val="tx1"/>
            </w14:solidFill>
          </w14:textFill>
        </w:rPr>
        <w:t>，</w:t>
      </w:r>
      <w:r>
        <w:rPr>
          <w:rFonts w:hint="eastAsia" w:ascii="宋体" w:hAnsi="宋体" w:eastAsia="宋体"/>
          <w:color w:val="000000" w:themeColor="text1"/>
          <w14:textFill>
            <w14:solidFill>
              <w14:schemeClr w14:val="tx1"/>
            </w14:solidFill>
          </w14:textFill>
        </w:rPr>
        <w:t>反而通过丰富原型中心的结构信息，提升了距离度量与分类的鲁棒性与精度。</w:t>
      </w:r>
    </w:p>
    <w:p w14:paraId="64C60617">
      <w:pPr>
        <w:ind w:firstLine="420"/>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在样本数量较少的场景下，某类别可能无法产生足够数量的聚类中心，此时我们通过类别特征的均值进行补偿，以确保每个类别均具有稳定数量的原型中心。近年来已有研究表明，多原型方法相较单一原型方法在类别内部特征差异较大时可显著提升分类性能</w:t>
      </w:r>
      <w:r>
        <w:rPr>
          <w:rFonts w:hint="eastAsia" w:ascii="宋体" w:hAnsi="宋体" w:eastAsia="宋体"/>
          <w:color w:val="000000" w:themeColor="text1"/>
          <w14:textFill>
            <w14:solidFill>
              <w14:schemeClr w14:val="tx1"/>
            </w14:solidFill>
          </w14:textFill>
        </w:rPr>
        <w:t>，Zhu</w:t>
      </w:r>
      <w:r>
        <w:rPr>
          <w:rFonts w:hint="eastAsia" w:ascii="宋体" w:hAnsi="宋体" w:eastAsia="宋体"/>
          <w:color w:val="000000" w:themeColor="text1"/>
          <w:vertAlign w:val="superscript"/>
          <w:lang w:eastAsia="zh-CN"/>
          <w14:textFill>
            <w14:solidFill>
              <w14:schemeClr w14:val="tx1"/>
            </w14:solidFill>
          </w14:textFill>
        </w:rPr>
        <w:fldChar w:fldCharType="begin"/>
      </w:r>
      <w:r>
        <w:rPr>
          <w:rFonts w:hint="eastAsia" w:ascii="宋体" w:hAnsi="宋体" w:eastAsia="宋体"/>
          <w:color w:val="000000" w:themeColor="text1"/>
          <w:vertAlign w:val="superscript"/>
          <w:lang w:eastAsia="zh-CN"/>
          <w14:textFill>
            <w14:solidFill>
              <w14:schemeClr w14:val="tx1"/>
            </w14:solidFill>
          </w14:textFill>
        </w:rPr>
        <w:instrText xml:space="preserve"> REF _Ref10105 \r \h </w:instrText>
      </w:r>
      <w:r>
        <w:rPr>
          <w:rFonts w:hint="eastAsia" w:ascii="宋体" w:hAnsi="宋体" w:eastAsia="宋体"/>
          <w:color w:val="000000" w:themeColor="text1"/>
          <w:vertAlign w:val="superscript"/>
          <w:lang w:eastAsia="zh-CN"/>
          <w14:textFill>
            <w14:solidFill>
              <w14:schemeClr w14:val="tx1"/>
            </w14:solidFill>
          </w14:textFill>
        </w:rPr>
        <w:fldChar w:fldCharType="separate"/>
      </w:r>
      <w:r>
        <w:rPr>
          <w:rFonts w:hint="eastAsia" w:ascii="宋体" w:hAnsi="宋体" w:eastAsia="宋体"/>
          <w:color w:val="000000" w:themeColor="text1"/>
          <w:vertAlign w:val="superscript"/>
          <w:lang w:eastAsia="zh-CN"/>
          <w14:textFill>
            <w14:solidFill>
              <w14:schemeClr w14:val="tx1"/>
            </w14:solidFill>
          </w14:textFill>
        </w:rPr>
        <w:t>[40]</w:t>
      </w:r>
      <w:r>
        <w:rPr>
          <w:rFonts w:hint="eastAsia" w:ascii="宋体" w:hAnsi="宋体" w:eastAsia="宋体"/>
          <w:color w:val="000000" w:themeColor="text1"/>
          <w:vertAlign w:val="superscript"/>
          <w:lang w:eastAsia="zh-CN"/>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等人提出的</w:t>
      </w:r>
      <w:r>
        <w:rPr>
          <w:rFonts w:eastAsia="宋体" w:cs="Times New Roman"/>
          <w:color w:val="000000" w:themeColor="text1"/>
          <w14:textFill>
            <w14:solidFill>
              <w14:schemeClr w14:val="tx1"/>
            </w14:solidFill>
          </w14:textFill>
        </w:rPr>
        <w:t>Multi-Prototype PrototypicalNetwork</w:t>
      </w:r>
      <w:r>
        <w:rPr>
          <w:rFonts w:hint="eastAsia" w:ascii="宋体" w:hAnsi="宋体" w:eastAsia="宋体"/>
          <w:color w:val="000000" w:themeColor="text1"/>
          <w14:textFill>
            <w14:solidFill>
              <w14:schemeClr w14:val="tx1"/>
            </w14:solidFill>
          </w14:textFill>
        </w:rPr>
        <w:t>在细粒度图像识别任务中取得了良好效果，这进一步支持了我们方法的合理性与有效性。</w:t>
      </w:r>
    </w:p>
    <w:p w14:paraId="3CA711D4">
      <w:pPr>
        <w:jc w:val="left"/>
        <w:rPr>
          <w:rFonts w:hint="eastAsia" w:ascii="宋体" w:hAnsi="宋体" w:eastAsia="宋体"/>
          <w:color w:val="000000" w:themeColor="text1"/>
          <w14:textFill>
            <w14:solidFill>
              <w14:schemeClr w14:val="tx1"/>
            </w14:solidFill>
          </w14:textFill>
        </w:rPr>
      </w:pPr>
    </w:p>
    <w:p w14:paraId="10EA0286">
      <w:pPr>
        <w:keepNext w:val="0"/>
        <w:keepLines w:val="0"/>
        <w:pageBreakBefore w:val="0"/>
        <w:widowControl w:val="0"/>
        <w:numPr>
          <w:ilvl w:val="2"/>
          <w:numId w:val="1"/>
        </w:numPr>
        <w:kinsoku/>
        <w:wordWrap/>
        <w:overflowPunct/>
        <w:topLinePunct w:val="0"/>
        <w:autoSpaceDE/>
        <w:autoSpaceDN/>
        <w:bidi w:val="0"/>
        <w:adjustRightInd/>
        <w:snapToGrid/>
        <w:ind w:left="709" w:hanging="709"/>
        <w:textAlignment w:val="auto"/>
        <w:outlineLvl w:val="2"/>
        <w:rPr>
          <w:b/>
          <w:bCs/>
          <w:color w:val="000000" w:themeColor="text1"/>
          <w:sz w:val="28"/>
          <w:szCs w:val="28"/>
          <w14:textFill>
            <w14:solidFill>
              <w14:schemeClr w14:val="tx1"/>
            </w14:solidFill>
          </w14:textFill>
        </w:rPr>
      </w:pPr>
      <w:bookmarkStart w:id="93" w:name="_Toc26080"/>
      <w:bookmarkStart w:id="94" w:name="_Toc13830"/>
      <w:bookmarkStart w:id="95" w:name="_Toc28841"/>
      <w:bookmarkStart w:id="96" w:name="_Toc2670"/>
      <w:bookmarkStart w:id="97" w:name="_Toc15100"/>
      <w:r>
        <w:rPr>
          <w:rFonts w:hint="eastAsia"/>
          <w:b/>
          <w:bCs/>
          <w:color w:val="000000" w:themeColor="text1"/>
          <w:sz w:val="28"/>
          <w:szCs w:val="28"/>
          <w14:textFill>
            <w14:solidFill>
              <w14:schemeClr w14:val="tx1"/>
            </w14:solidFill>
          </w14:textFill>
        </w:rPr>
        <w:t>原型归一化与最小距离选取</w:t>
      </w:r>
      <w:bookmarkEnd w:id="93"/>
      <w:bookmarkEnd w:id="94"/>
      <w:bookmarkEnd w:id="95"/>
      <w:bookmarkEnd w:id="96"/>
      <w:bookmarkEnd w:id="97"/>
    </w:p>
    <w:p w14:paraId="20086475">
      <w:pPr>
        <w:ind w:firstLine="420"/>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在构建原型之后，我们对所有原型进行L2归一化处理，以消除特征尺度差异对后续距离计算的影响。对于每个原型</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μ</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k</m:t>
            </m:r>
            <m:ctrlPr>
              <w:rPr>
                <w:rFonts w:hint="eastAsia" w:ascii="Cambria Math" w:hAnsi="Cambria Math" w:eastAsia="宋体"/>
                <w:color w:val="000000" w:themeColor="text1"/>
                <w14:textFill>
                  <w14:solidFill>
                    <w14:schemeClr w14:val="tx1"/>
                  </w14:solidFill>
                </w14:textFill>
              </w:rPr>
            </m:ctrlPr>
          </m:sub>
        </m:sSub>
      </m:oMath>
      <w:r>
        <w:rPr>
          <w:rFonts w:hint="eastAsia" w:ascii="宋体" w:hAnsi="宋体" w:eastAsia="宋体"/>
          <w:color w:val="000000" w:themeColor="text1"/>
          <w14:textFill>
            <w14:solidFill>
              <w14:schemeClr w14:val="tx1"/>
            </w14:solidFill>
          </w14:textFill>
        </w:rPr>
        <w:t>，归一化后的原型表示如下：</w:t>
      </w:r>
      <w:r>
        <w:rPr>
          <w:rFonts w:hint="eastAsia" w:ascii="宋体" w:hAnsi="宋体" w:eastAsia="宋体"/>
          <w:color w:val="000000" w:themeColor="text1"/>
          <w14:textFill>
            <w14:solidFill>
              <w14:schemeClr w14:val="tx1"/>
            </w14:solidFill>
          </w14:textFill>
        </w:rPr>
        <w:br w:type="textWrapping"/>
      </w:r>
      <m:oMathPara>
        <m:oMath>
          <m:sSub>
            <m:sSubPr>
              <m:ctrlPr>
                <w:rPr>
                  <w:rFonts w:hint="eastAsia" w:ascii="Cambria Math" w:hAnsi="宋体" w:eastAsia="宋体"/>
                  <w:color w:val="000000" w:themeColor="text1"/>
                  <w14:textFill>
                    <w14:solidFill>
                      <w14:schemeClr w14:val="tx1"/>
                    </w14:solidFill>
                  </w14:textFill>
                </w:rPr>
              </m:ctrlPr>
            </m:sSubPr>
            <m:e>
              <m:acc>
                <m:accPr>
                  <m:ctrlPr>
                    <w:rPr>
                      <w:rFonts w:hint="eastAsia" w:ascii="Cambria Math" w:hAnsi="Cambria Math" w:eastAsia="宋体"/>
                      <w:color w:val="000000" w:themeColor="text1"/>
                      <w14:textFill>
                        <w14:solidFill>
                          <w14:schemeClr w14:val="tx1"/>
                        </w14:solidFill>
                      </w14:textFill>
                    </w:rPr>
                  </m:ctrlPr>
                </m:accPr>
                <m:e>
                  <m:r>
                    <m:rPr>
                      <m:sty m:val="p"/>
                    </m:rPr>
                    <w:rPr>
                      <w:rFonts w:ascii="Cambria Math" w:hAnsi="Cambria Math"/>
                      <w:color w:val="000000" w:themeColor="text1"/>
                      <w14:textFill>
                        <w14:solidFill>
                          <w14:schemeClr w14:val="tx1"/>
                        </w14:solidFill>
                      </w14:textFill>
                    </w:rPr>
                    <m:t>μ</m:t>
                  </m:r>
                  <m:ctrlPr>
                    <w:rPr>
                      <w:rFonts w:hint="eastAsia" w:ascii="Cambria Math" w:hAnsi="宋体" w:eastAsia="宋体"/>
                      <w:color w:val="000000" w:themeColor="text1"/>
                      <w14:textFill>
                        <w14:solidFill>
                          <w14:schemeClr w14:val="tx1"/>
                        </w14:solidFill>
                      </w14:textFill>
                    </w:rPr>
                  </m:ctrlPr>
                </m:e>
              </m:acc>
              <m:ctrlPr>
                <w:rPr>
                  <w:rFonts w:hint="eastAsia" w:ascii="Cambria Math" w:hAnsi="宋体" w:eastAsia="宋体"/>
                  <w:color w:val="000000" w:themeColor="text1"/>
                  <w14:textFill>
                    <w14:solidFill>
                      <w14:schemeClr w14:val="tx1"/>
                    </w14:solidFill>
                  </w14:textFill>
                </w:rPr>
              </m:ctrlPr>
            </m:e>
            <m:sub>
              <m:r>
                <m:rPr>
                  <m:sty m:val="p"/>
                </m:rPr>
                <w:rPr>
                  <w:rFonts w:hint="eastAsia" w:ascii="Cambria Math" w:hAnsi="宋体" w:eastAsia="宋体"/>
                  <w:color w:val="000000" w:themeColor="text1"/>
                  <w14:textFill>
                    <w14:solidFill>
                      <w14:schemeClr w14:val="tx1"/>
                    </w14:solidFill>
                  </w14:textFill>
                </w:rPr>
                <m:t>k</m:t>
              </m:r>
              <m:ctrlPr>
                <w:rPr>
                  <w:rFonts w:hint="eastAsia" w:ascii="Cambria Math" w:hAnsi="宋体"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f>
            <m:fPr>
              <m:ctrlPr>
                <w:rPr>
                  <w:rFonts w:hint="eastAsia" w:ascii="Cambria Math" w:hAnsi="Cambria Math" w:eastAsia="宋体"/>
                  <w:color w:val="000000" w:themeColor="text1"/>
                  <w14:textFill>
                    <w14:solidFill>
                      <w14:schemeClr w14:val="tx1"/>
                    </w14:solidFill>
                  </w14:textFill>
                </w:rPr>
              </m:ctrlPr>
            </m:fPr>
            <m:num>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μ</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k</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num>
            <m:den>
              <m:sSub>
                <m:sSubPr>
                  <m:ctrlPr>
                    <w:rPr>
                      <w:rFonts w:hint="eastAsia" w:ascii="Cambria Math" w:hAnsi="Cambria Math" w:eastAsia="宋体"/>
                      <w:color w:val="000000" w:themeColor="text1"/>
                      <w14:textFill>
                        <w14:solidFill>
                          <w14:schemeClr w14:val="tx1"/>
                        </w14:solidFill>
                      </w14:textFill>
                    </w:rPr>
                  </m:ctrlPr>
                </m:sSubPr>
                <m:e>
                  <m:d>
                    <m:dPr>
                      <m:begChr m:val="‖"/>
                      <m:endChr m:val="‖"/>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μ</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k</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2</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den>
          </m:f>
        </m:oMath>
      </m:oMathPara>
    </w:p>
    <w:p w14:paraId="7F2940AB">
      <w:pPr>
        <w:ind w:firstLine="420"/>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随后，在进行查询集</w:t>
      </w:r>
      <w:r>
        <w:rPr>
          <w:rFonts w:eastAsia="宋体" w:cs="Times New Roman"/>
          <w:color w:val="000000" w:themeColor="text1"/>
          <w14:textFill>
            <w14:solidFill>
              <w14:schemeClr w14:val="tx1"/>
            </w14:solidFill>
          </w14:textFill>
        </w:rPr>
        <w:t>（Query set）</w:t>
      </w:r>
      <w:r>
        <w:rPr>
          <w:rFonts w:hint="eastAsia" w:ascii="宋体" w:hAnsi="宋体" w:eastAsia="宋体"/>
          <w:color w:val="000000" w:themeColor="text1"/>
          <w14:textFill>
            <w14:solidFill>
              <w14:schemeClr w14:val="tx1"/>
            </w14:solidFill>
          </w14:textFill>
        </w:rPr>
        <w:t>样本分类时，我们将每个查询样本特征与对应类别的多个原型分别计算欧氏距离，并选择其中最小的距离作为该查询样本与该类别的距离：</w:t>
      </w:r>
      <w:r>
        <w:rPr>
          <w:rFonts w:hint="eastAsia" w:ascii="宋体" w:hAnsi="宋体" w:eastAsia="宋体"/>
          <w:color w:val="000000" w:themeColor="text1"/>
          <w14:textFill>
            <w14:solidFill>
              <w14:schemeClr w14:val="tx1"/>
            </w14:solidFill>
          </w14:textFill>
        </w:rPr>
        <w:br w:type="textWrapping"/>
      </w:r>
      <m:oMathPara>
        <m:oMath>
          <m:r>
            <m:rPr>
              <m:sty m:val="p"/>
            </m:rPr>
            <w:rPr>
              <w:rFonts w:hint="eastAsia" w:ascii="Cambria Math" w:hAnsi="Cambria Math" w:eastAsia="宋体"/>
              <w:color w:val="000000" w:themeColor="text1"/>
              <w14:textFill>
                <w14:solidFill>
                  <w14:schemeClr w14:val="tx1"/>
                </w14:solidFill>
              </w14:textFill>
            </w:rPr>
            <m:t>d</m:t>
          </m:r>
          <m:d>
            <m:dPr>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ascii="Cambria Math" w:hAnsi="Cambria Math" w:eastAsia="宋体"/>
                      <w:color w:val="000000" w:themeColor="text1"/>
                      <w14:textFill>
                        <w14:solidFill>
                          <w14:schemeClr w14:val="tx1"/>
                        </w14:solidFill>
                      </w14:textFill>
                    </w:rPr>
                    <m:t>x</m:t>
                  </m:r>
                  <m:ctrlPr>
                    <w:rPr>
                      <w:rFonts w:hint="eastAsia" w:ascii="Cambria Math" w:hAnsi="Cambria Math" w:eastAsia="宋体"/>
                      <w:color w:val="000000" w:themeColor="text1"/>
                      <w14:textFill>
                        <w14:solidFill>
                          <w14:schemeClr w14:val="tx1"/>
                        </w14:solidFill>
                      </w14:textFill>
                    </w:rPr>
                  </m:ctrlPr>
                </m:e>
                <m:sub>
                  <m:r>
                    <m:rPr>
                      <m:sty m:val="p"/>
                    </m:rPr>
                    <w:rPr>
                      <w:rFonts w:ascii="Cambria Math" w:hAnsi="Cambria Math" w:eastAsia="宋体"/>
                      <w:color w:val="000000" w:themeColor="text1"/>
                      <w14:textFill>
                        <w14:solidFill>
                          <w14:schemeClr w14:val="tx1"/>
                        </w14:solidFill>
                      </w14:textFill>
                    </w:rPr>
                    <m:t>q</m:t>
                  </m:r>
                  <m:ctrlPr>
                    <w:rPr>
                      <w:rFonts w:hint="eastAsia" w:ascii="Cambria Math" w:hAnsi="Cambria Math" w:eastAsia="宋体"/>
                      <w:color w:val="000000" w:themeColor="text1"/>
                      <w14:textFill>
                        <w14:solidFill>
                          <w14:schemeClr w14:val="tx1"/>
                        </w14:solidFill>
                      </w14:textFill>
                    </w:rPr>
                  </m:ctrlPr>
                </m:sub>
              </m:sSub>
              <m:r>
                <m:rPr>
                  <m:sty m:val="p"/>
                </m:rPr>
                <w:rPr>
                  <w:rFonts w:ascii="Cambria Math" w:hAnsi="Cambria Math" w:eastAsia="宋体"/>
                  <w:color w:val="000000" w:themeColor="text1"/>
                  <w14:textFill>
                    <w14:solidFill>
                      <w14:schemeClr w14:val="tx1"/>
                    </w14:solidFill>
                  </w14:textFill>
                </w:rPr>
                <m:t>,C</m:t>
              </m:r>
              <m:ctrlPr>
                <w:rPr>
                  <w:rFonts w:hint="eastAsia" w:ascii="Cambria Math" w:hAnsi="Cambria Math" w:eastAsia="宋体"/>
                  <w:color w:val="000000" w:themeColor="text1"/>
                  <w14:textFill>
                    <w14:solidFill>
                      <w14:schemeClr w14:val="tx1"/>
                    </w14:solidFill>
                  </w14:textFill>
                </w:rPr>
              </m:ctrlPr>
            </m:e>
          </m:d>
          <m:r>
            <m:rPr>
              <m:sty m:val="p"/>
            </m:rPr>
            <w:rPr>
              <w:rFonts w:hint="eastAsia" w:ascii="Cambria Math" w:hAnsi="Cambria Math" w:eastAsia="宋体"/>
              <w:color w:val="000000" w:themeColor="text1"/>
              <w14:textFill>
                <w14:solidFill>
                  <w14:schemeClr w14:val="tx1"/>
                </w14:solidFill>
              </w14:textFill>
            </w:rPr>
            <m:t>=</m:t>
          </m:r>
          <m:func>
            <m:funcPr>
              <m:ctrlPr>
                <w:rPr>
                  <w:rFonts w:hint="eastAsia" w:ascii="Cambria Math" w:hAnsi="Cambria Math" w:eastAsia="宋体"/>
                  <w:color w:val="000000" w:themeColor="text1"/>
                  <w14:textFill>
                    <w14:solidFill>
                      <w14:schemeClr w14:val="tx1"/>
                    </w14:solidFill>
                  </w14:textFill>
                </w:rPr>
              </m:ctrlPr>
            </m:funcPr>
            <m:fName>
              <m:limLow>
                <m:limLowPr>
                  <m:ctrlPr>
                    <w:rPr>
                      <w:rFonts w:hint="eastAsia" w:ascii="Cambria Math" w:hAnsi="Cambria Math" w:eastAsia="宋体"/>
                      <w:color w:val="000000" w:themeColor="text1"/>
                      <w14:textFill>
                        <w14:solidFill>
                          <w14:schemeClr w14:val="tx1"/>
                        </w14:solidFill>
                      </w14:textFill>
                    </w:rPr>
                  </m:ctrlPr>
                </m:limLowPr>
                <m:e>
                  <m:r>
                    <m:rPr>
                      <m:sty m:val="p"/>
                    </m:rPr>
                    <w:rPr>
                      <w:rFonts w:hint="eastAsia" w:ascii="Cambria Math" w:hAnsi="Cambria Math" w:eastAsia="宋体"/>
                      <w:color w:val="000000" w:themeColor="text1"/>
                      <w14:textFill>
                        <w14:solidFill>
                          <w14:schemeClr w14:val="tx1"/>
                        </w14:solidFill>
                      </w14:textFill>
                    </w:rPr>
                    <m:t>min</m:t>
                  </m:r>
                  <m:ctrlPr>
                    <w:rPr>
                      <w:rFonts w:hint="eastAsia" w:ascii="Cambria Math" w:hAnsi="Cambria Math" w:eastAsia="宋体"/>
                      <w:color w:val="000000" w:themeColor="text1"/>
                      <w14:textFill>
                        <w14:solidFill>
                          <w14:schemeClr w14:val="tx1"/>
                        </w14:solidFill>
                      </w14:textFill>
                    </w:rPr>
                  </m:ctrlPr>
                </m:e>
                <m:lim>
                  <m:r>
                    <m:rPr>
                      <m:sty m:val="p"/>
                    </m:rPr>
                    <w:rPr>
                      <w:rFonts w:ascii="Cambria Math" w:hAnsi="Cambria Math" w:eastAsia="宋体"/>
                      <w:color w:val="000000" w:themeColor="text1"/>
                      <w14:textFill>
                        <w14:solidFill>
                          <w14:schemeClr w14:val="tx1"/>
                        </w14:solidFill>
                      </w14:textFill>
                    </w:rPr>
                    <m:t>k=1,...,K</m:t>
                  </m:r>
                  <m:ctrlPr>
                    <w:rPr>
                      <w:rFonts w:hint="eastAsia" w:ascii="Cambria Math" w:hAnsi="Cambria Math" w:eastAsia="宋体"/>
                      <w:color w:val="000000" w:themeColor="text1"/>
                      <w14:textFill>
                        <w14:solidFill>
                          <w14:schemeClr w14:val="tx1"/>
                        </w14:solidFill>
                      </w14:textFill>
                    </w:rPr>
                  </m:ctrlPr>
                </m:lim>
              </m:limLow>
              <m:ctrlPr>
                <w:rPr>
                  <w:rFonts w:hint="eastAsia" w:ascii="Cambria Math" w:hAnsi="Cambria Math" w:eastAsia="宋体"/>
                  <w:color w:val="000000" w:themeColor="text1"/>
                  <w14:textFill>
                    <w14:solidFill>
                      <w14:schemeClr w14:val="tx1"/>
                    </w14:solidFill>
                  </w14:textFill>
                </w:rPr>
              </m:ctrlPr>
            </m:fName>
            <m:e>
              <m:sSub>
                <m:sSubPr>
                  <m:ctrlPr>
                    <w:rPr>
                      <w:rFonts w:hint="eastAsia" w:ascii="Cambria Math" w:hAnsi="Cambria Math" w:eastAsia="宋体"/>
                      <w:color w:val="000000" w:themeColor="text1"/>
                      <w14:textFill>
                        <w14:solidFill>
                          <w14:schemeClr w14:val="tx1"/>
                        </w14:solidFill>
                      </w14:textFill>
                    </w:rPr>
                  </m:ctrlPr>
                </m:sSubPr>
                <m:e>
                  <m:d>
                    <m:dPr>
                      <m:begChr m:val="‖"/>
                      <m:endChr m:val=""/>
                      <m:ctrlPr>
                        <w:rPr>
                          <w:rFonts w:hint="eastAsia" w:ascii="Cambria Math" w:hAnsi="Cambria Math" w:eastAsia="宋体"/>
                          <w:color w:val="000000" w:themeColor="text1"/>
                          <w14:textFill>
                            <w14:solidFill>
                              <w14:schemeClr w14:val="tx1"/>
                            </w14:solidFill>
                          </w14:textFill>
                        </w:rPr>
                      </m:ctrlPr>
                    </m:dPr>
                    <m:e>
                      <m:r>
                        <m:rPr>
                          <m:sty m:val="p"/>
                        </m:rPr>
                        <w:rPr>
                          <w:rFonts w:hint="eastAsia" w:ascii="Cambria Math" w:hAnsi="Cambria Math" w:eastAsia="宋体"/>
                          <w:color w:val="000000" w:themeColor="text1"/>
                          <w14:textFill>
                            <w14:solidFill>
                              <w14:schemeClr w14:val="tx1"/>
                            </w14:solidFill>
                          </w14:textFill>
                        </w:rPr>
                        <m:t>x</m:t>
                      </m:r>
                      <m:ctrlPr>
                        <w:rPr>
                          <w:rFonts w:hint="eastAsia" w:ascii="Cambria Math" w:hAnsi="Cambria Math" w:eastAsia="宋体"/>
                          <w:color w:val="000000" w:themeColor="text1"/>
                          <w14:textFill>
                            <w14:solidFill>
                              <w14:schemeClr w14:val="tx1"/>
                            </w14:solidFill>
                          </w14:textFill>
                        </w:rPr>
                      </m:ctrlPr>
                    </m:e>
                  </m:d>
                  <m:r>
                    <m:rPr>
                      <m:sty m:val="p"/>
                    </m:rPr>
                    <w:rPr>
                      <w:rFonts w:hint="eastAsia" w:ascii="Cambria Math" w:hAnsi="Cambria Math" w:eastAsia="宋体"/>
                      <w:color w:val="000000" w:themeColor="text1"/>
                      <w14:textFill>
                        <w14:solidFill>
                          <w14:schemeClr w14:val="tx1"/>
                        </w14:solidFill>
                      </w14:textFill>
                    </w:rPr>
                    <m:t>−</m:t>
                  </m:r>
                  <m:d>
                    <m:dPr>
                      <m:begChr m:val=""/>
                      <m:endChr m:val="‖"/>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宋体" w:eastAsia="宋体"/>
                              <w:color w:val="000000" w:themeColor="text1"/>
                              <w14:textFill>
                                <w14:solidFill>
                                  <w14:schemeClr w14:val="tx1"/>
                                </w14:solidFill>
                              </w14:textFill>
                            </w:rPr>
                          </m:ctrlPr>
                        </m:sSubPr>
                        <m:e>
                          <m:acc>
                            <m:accPr>
                              <m:ctrlPr>
                                <w:rPr>
                                  <w:rFonts w:hint="eastAsia" w:ascii="Cambria Math" w:hAnsi="Cambria Math" w:eastAsia="宋体"/>
                                  <w:color w:val="000000" w:themeColor="text1"/>
                                  <w14:textFill>
                                    <w14:solidFill>
                                      <w14:schemeClr w14:val="tx1"/>
                                    </w14:solidFill>
                                  </w14:textFill>
                                </w:rPr>
                              </m:ctrlPr>
                            </m:accPr>
                            <m:e>
                              <m:r>
                                <m:rPr>
                                  <m:sty m:val="p"/>
                                </m:rPr>
                                <w:rPr>
                                  <w:rFonts w:ascii="Cambria Math" w:hAnsi="Cambria Math"/>
                                  <w:color w:val="000000" w:themeColor="text1"/>
                                  <w14:textFill>
                                    <w14:solidFill>
                                      <w14:schemeClr w14:val="tx1"/>
                                    </w14:solidFill>
                                  </w14:textFill>
                                </w:rPr>
                                <m:t>μ</m:t>
                              </m:r>
                              <m:ctrlPr>
                                <w:rPr>
                                  <w:rFonts w:hint="eastAsia" w:ascii="Cambria Math" w:hAnsi="宋体" w:eastAsia="宋体"/>
                                  <w:color w:val="000000" w:themeColor="text1"/>
                                  <w14:textFill>
                                    <w14:solidFill>
                                      <w14:schemeClr w14:val="tx1"/>
                                    </w14:solidFill>
                                  </w14:textFill>
                                </w:rPr>
                              </m:ctrlPr>
                            </m:e>
                          </m:acc>
                          <m:ctrlPr>
                            <w:rPr>
                              <w:rFonts w:hint="eastAsia" w:ascii="Cambria Math" w:hAnsi="宋体" w:eastAsia="宋体"/>
                              <w:color w:val="000000" w:themeColor="text1"/>
                              <w14:textFill>
                                <w14:solidFill>
                                  <w14:schemeClr w14:val="tx1"/>
                                </w14:solidFill>
                              </w14:textFill>
                            </w:rPr>
                          </m:ctrlPr>
                        </m:e>
                        <m:sub>
                          <m:r>
                            <m:rPr>
                              <m:sty m:val="p"/>
                            </m:rPr>
                            <w:rPr>
                              <w:rFonts w:hint="eastAsia" w:ascii="Cambria Math" w:hAnsi="宋体" w:eastAsia="宋体"/>
                              <w:color w:val="000000" w:themeColor="text1"/>
                              <w14:textFill>
                                <w14:solidFill>
                                  <w14:schemeClr w14:val="tx1"/>
                                </w14:solidFill>
                              </w14:textFill>
                            </w:rPr>
                            <m:t>k</m:t>
                          </m:r>
                          <m:ctrlPr>
                            <w:rPr>
                              <w:rFonts w:hint="eastAsia" w:ascii="Cambria Math" w:hAnsi="宋体"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2</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func>
        </m:oMath>
      </m:oMathPara>
    </w:p>
    <w:p w14:paraId="6B95A7C4">
      <w:pPr>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其中，</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x</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q</m:t>
            </m:r>
            <m:ctrlPr>
              <w:rPr>
                <w:rFonts w:hint="eastAsia" w:ascii="Cambria Math" w:hAnsi="Cambria Math" w:eastAsia="宋体"/>
                <w:color w:val="000000" w:themeColor="text1"/>
                <w14:textFill>
                  <w14:solidFill>
                    <w14:schemeClr w14:val="tx1"/>
                  </w14:solidFill>
                </w14:textFill>
              </w:rPr>
            </m:ctrlPr>
          </m:sub>
        </m:sSub>
      </m:oMath>
      <w:r>
        <w:rPr>
          <w:rFonts w:hint="eastAsia" w:ascii="宋体" w:hAnsi="宋体" w:eastAsia="宋体"/>
          <w:color w:val="000000" w:themeColor="text1"/>
          <w14:textFill>
            <w14:solidFill>
              <w14:schemeClr w14:val="tx1"/>
            </w14:solidFill>
          </w14:textFill>
        </w:rPr>
        <w:t>为查询样本的特征,</w:t>
      </w:r>
      <w:r>
        <w:rPr>
          <w:rFonts w:eastAsia="宋体" w:cs="Times New Roman"/>
          <w:color w:val="000000" w:themeColor="text1"/>
          <w14:textFill>
            <w14:solidFill>
              <w14:schemeClr w14:val="tx1"/>
            </w14:solidFill>
          </w14:textFill>
        </w:rPr>
        <w:t>C</w:t>
      </w:r>
      <w:r>
        <w:rPr>
          <w:rFonts w:hint="eastAsia" w:ascii="宋体" w:hAnsi="宋体" w:eastAsia="宋体"/>
          <w:color w:val="000000" w:themeColor="text1"/>
          <w14:textFill>
            <w14:solidFill>
              <w14:schemeClr w14:val="tx1"/>
            </w14:solidFill>
          </w14:textFill>
        </w:rPr>
        <w:t>为某一类别的原型集合。这种最小距离的策略能够有效捕捉类别内距离最近的局部特征，从而提高分类的准确性。</w:t>
      </w:r>
    </w:p>
    <w:p w14:paraId="09843949">
      <w:pPr>
        <w:ind w:firstLine="420"/>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相比</w:t>
      </w:r>
      <w:r>
        <w:rPr>
          <w:rFonts w:hint="eastAsia" w:ascii="宋体" w:hAnsi="宋体" w:eastAsia="宋体"/>
          <w:color w:val="000000" w:themeColor="text1"/>
          <w:lang w:val="en-US" w:eastAsia="zh-CN"/>
          <w14:textFill>
            <w14:solidFill>
              <w14:schemeClr w14:val="tx1"/>
            </w14:solidFill>
          </w14:textFill>
        </w:rPr>
        <w:t>于</w:t>
      </w:r>
      <w:r>
        <w:rPr>
          <w:rFonts w:hint="eastAsia" w:ascii="宋体" w:hAnsi="宋体" w:eastAsia="宋体"/>
          <w:color w:val="000000" w:themeColor="text1"/>
          <w14:textFill>
            <w14:solidFill>
              <w14:schemeClr w14:val="tx1"/>
            </w14:solidFill>
          </w14:textFill>
        </w:rPr>
        <w:t>单一原型策略，</w:t>
      </w:r>
      <w:r>
        <w:rPr>
          <w:rFonts w:hint="eastAsia" w:ascii="宋体" w:hAnsi="宋体" w:eastAsia="宋体"/>
          <w:color w:val="000000" w:themeColor="text1"/>
          <w:lang w:val="en-US" w:eastAsia="zh-CN"/>
          <w14:textFill>
            <w14:solidFill>
              <w14:schemeClr w14:val="tx1"/>
            </w14:solidFill>
          </w14:textFill>
        </w:rPr>
        <w:t>多原型能更细致地刻画类别内部的多模态特征。尤其在医学小样本场景中效果更为突出。这与</w:t>
      </w:r>
      <w:r>
        <w:rPr>
          <w:rFonts w:eastAsia="宋体" w:cs="Times New Roman"/>
          <w:color w:val="000000" w:themeColor="text1"/>
          <w14:textFill>
            <w14:solidFill>
              <w14:schemeClr w14:val="tx1"/>
            </w14:solidFill>
          </w14:textFill>
        </w:rPr>
        <w:t>Tang</w:t>
      </w:r>
      <w:r>
        <w:rPr>
          <w:rFonts w:hint="eastAsia" w:eastAsia="宋体" w:cs="Times New Roman"/>
          <w:color w:val="000000" w:themeColor="text1"/>
          <w14:textFill>
            <w14:solidFill>
              <w14:schemeClr w14:val="tx1"/>
            </w14:solidFill>
          </w14:textFill>
        </w:rPr>
        <w:t>等人</w:t>
      </w:r>
      <w:r>
        <w:rPr>
          <w:rFonts w:hint="eastAsia" w:ascii="宋体" w:hAnsi="宋体" w:eastAsia="宋体"/>
          <w:color w:val="000000" w:themeColor="text1"/>
          <w14:textFill>
            <w14:solidFill>
              <w14:schemeClr w14:val="tx1"/>
            </w14:solidFill>
          </w14:textFill>
        </w:rPr>
        <w:t>提出的</w:t>
      </w:r>
      <w:r>
        <w:rPr>
          <w:rFonts w:eastAsia="宋体" w:cs="Times New Roman"/>
          <w:color w:val="000000" w:themeColor="text1"/>
          <w14:textFill>
            <w14:solidFill>
              <w14:schemeClr w14:val="tx1"/>
            </w14:solidFill>
          </w14:textFill>
        </w:rPr>
        <w:t>Adaptive Prototype Learning (APL)</w:t>
      </w:r>
      <w:r>
        <w:rPr>
          <w:rFonts w:hint="eastAsia" w:ascii="宋体" w:hAnsi="宋体" w:eastAsia="宋体"/>
          <w:color w:val="000000" w:themeColor="text1"/>
          <w14:textFill>
            <w14:solidFill>
              <w14:schemeClr w14:val="tx1"/>
            </w14:solidFill>
          </w14:textFill>
        </w:rPr>
        <w:t xml:space="preserve"> 通过多原型设计在遥感图像分类任务中获得了更高的准确性和泛化能力</w:t>
      </w:r>
      <w:r>
        <w:rPr>
          <w:rFonts w:hint="eastAsia" w:ascii="宋体" w:hAnsi="宋体" w:eastAsia="宋体"/>
          <w:color w:val="000000" w:themeColor="text1"/>
          <w:lang w:val="en-US" w:eastAsia="zh-CN"/>
          <w14:textFill>
            <w14:solidFill>
              <w14:schemeClr w14:val="tx1"/>
            </w14:solidFill>
          </w14:textFill>
        </w:rPr>
        <w:t>的思路相吻合</w:t>
      </w:r>
      <w:r>
        <w:rPr>
          <w:rFonts w:hint="eastAsia" w:ascii="宋体" w:hAnsi="宋体" w:eastAsia="宋体"/>
          <w:color w:val="000000" w:themeColor="text1"/>
          <w:vertAlign w:val="superscript"/>
          <w14:textFill>
            <w14:solidFill>
              <w14:schemeClr w14:val="tx1"/>
            </w14:solidFill>
          </w14:textFill>
        </w:rPr>
        <w:fldChar w:fldCharType="begin"/>
      </w:r>
      <w:r>
        <w:rPr>
          <w:rFonts w:hint="eastAsia" w:ascii="宋体" w:hAnsi="宋体" w:eastAsia="宋体"/>
          <w:color w:val="000000" w:themeColor="text1"/>
          <w:vertAlign w:val="superscript"/>
          <w14:textFill>
            <w14:solidFill>
              <w14:schemeClr w14:val="tx1"/>
            </w14:solidFill>
          </w14:textFill>
        </w:rPr>
        <w:instrText xml:space="preserve"> REF _Ref10183 \r \h </w:instrText>
      </w:r>
      <w:r>
        <w:rPr>
          <w:rFonts w:hint="eastAsia" w:ascii="宋体" w:hAnsi="宋体" w:eastAsia="宋体"/>
          <w:color w:val="000000" w:themeColor="text1"/>
          <w:vertAlign w:val="superscript"/>
          <w14:textFill>
            <w14:solidFill>
              <w14:schemeClr w14:val="tx1"/>
            </w14:solidFill>
          </w14:textFill>
        </w:rPr>
        <w:fldChar w:fldCharType="separate"/>
      </w:r>
      <w:r>
        <w:rPr>
          <w:rFonts w:hint="eastAsia" w:ascii="宋体" w:hAnsi="宋体" w:eastAsia="宋体"/>
          <w:color w:val="000000" w:themeColor="text1"/>
          <w:vertAlign w:val="superscript"/>
          <w14:textFill>
            <w14:solidFill>
              <w14:schemeClr w14:val="tx1"/>
            </w14:solidFill>
          </w14:textFill>
        </w:rPr>
        <w:t>[41]</w:t>
      </w:r>
      <w:r>
        <w:rPr>
          <w:rFonts w:hint="eastAsia"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w:t>
      </w:r>
      <w:r>
        <w:rPr>
          <w:rFonts w:hint="eastAsia" w:ascii="宋体" w:hAnsi="宋体" w:eastAsia="宋体"/>
          <w:b/>
          <w:bCs/>
          <w:color w:val="000000" w:themeColor="text1"/>
          <w14:textFill>
            <w14:solidFill>
              <w14:schemeClr w14:val="tx1"/>
            </w14:solidFill>
          </w14:textFill>
        </w:rPr>
        <w:t>表1</w:t>
      </w:r>
      <w:r>
        <w:rPr>
          <w:rFonts w:hint="eastAsia" w:ascii="宋体" w:hAnsi="宋体" w:eastAsia="宋体"/>
          <w:color w:val="000000" w:themeColor="text1"/>
          <w14:textFill>
            <w14:solidFill>
              <w14:schemeClr w14:val="tx1"/>
            </w14:solidFill>
          </w14:textFill>
        </w:rPr>
        <w:t>总结了传统单一原型方法与我们提出的多原型方法之间的核心差异与优势：</w:t>
      </w:r>
    </w:p>
    <w:p w14:paraId="21093D49">
      <w:pPr>
        <w:ind w:firstLine="420"/>
        <w:jc w:val="left"/>
        <w:rPr>
          <w:rFonts w:hint="eastAsia" w:ascii="宋体" w:hAnsi="宋体" w:eastAsia="宋体"/>
          <w:color w:val="000000" w:themeColor="text1"/>
          <w14:textFill>
            <w14:solidFill>
              <w14:schemeClr w14:val="tx1"/>
            </w14:solidFill>
          </w14:textFill>
        </w:rPr>
      </w:pPr>
    </w:p>
    <w:tbl>
      <w:tblPr>
        <w:tblStyle w:val="12"/>
        <w:tblW w:w="85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53"/>
        <w:gridCol w:w="1171"/>
        <w:gridCol w:w="1919"/>
        <w:gridCol w:w="1498"/>
        <w:gridCol w:w="1897"/>
      </w:tblGrid>
      <w:tr w14:paraId="7C3A13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4" w:hRule="atLeast"/>
          <w:jc w:val="center"/>
        </w:trPr>
        <w:tc>
          <w:tcPr>
            <w:tcW w:w="2053" w:type="dxa"/>
            <w:tcBorders>
              <w:bottom w:val="single" w:color="auto" w:sz="6" w:space="0"/>
            </w:tcBorders>
          </w:tcPr>
          <w:p w14:paraId="2689CBBF">
            <w:pPr>
              <w:jc w:val="center"/>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方法</w:t>
            </w:r>
          </w:p>
        </w:tc>
        <w:tc>
          <w:tcPr>
            <w:tcW w:w="1171" w:type="dxa"/>
            <w:tcBorders>
              <w:bottom w:val="single" w:color="auto" w:sz="6" w:space="0"/>
            </w:tcBorders>
          </w:tcPr>
          <w:p w14:paraId="52FC5FB6">
            <w:pPr>
              <w:jc w:val="center"/>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每类原型数</w:t>
            </w:r>
          </w:p>
        </w:tc>
        <w:tc>
          <w:tcPr>
            <w:tcW w:w="1919" w:type="dxa"/>
            <w:tcBorders>
              <w:bottom w:val="single" w:color="auto" w:sz="6" w:space="0"/>
            </w:tcBorders>
          </w:tcPr>
          <w:p w14:paraId="2E6A6E22">
            <w:pPr>
              <w:jc w:val="center"/>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类内特征表达能力</w:t>
            </w:r>
          </w:p>
        </w:tc>
        <w:tc>
          <w:tcPr>
            <w:tcW w:w="1498" w:type="dxa"/>
            <w:tcBorders>
              <w:bottom w:val="single" w:color="auto" w:sz="6" w:space="0"/>
            </w:tcBorders>
          </w:tcPr>
          <w:p w14:paraId="19815433">
            <w:pPr>
              <w:jc w:val="center"/>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计算复杂度</w:t>
            </w:r>
          </w:p>
        </w:tc>
        <w:tc>
          <w:tcPr>
            <w:tcW w:w="1897" w:type="dxa"/>
            <w:tcBorders>
              <w:bottom w:val="single" w:color="auto" w:sz="6" w:space="0"/>
            </w:tcBorders>
          </w:tcPr>
          <w:p w14:paraId="77A0C5E7">
            <w:pPr>
              <w:jc w:val="center"/>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样本不足处理方式</w:t>
            </w:r>
          </w:p>
        </w:tc>
      </w:tr>
      <w:tr w14:paraId="6CF306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5" w:hRule="atLeast"/>
          <w:jc w:val="center"/>
        </w:trPr>
        <w:tc>
          <w:tcPr>
            <w:tcW w:w="2053" w:type="dxa"/>
            <w:tcBorders>
              <w:top w:val="single" w:color="auto" w:sz="6" w:space="0"/>
              <w:tl2br w:val="nil"/>
              <w:tr2bl w:val="nil"/>
            </w:tcBorders>
          </w:tcPr>
          <w:p w14:paraId="11CD685B">
            <w:pPr>
              <w:ind w:firstLine="151" w:firstLineChars="100"/>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b/>
                <w:bCs/>
                <w:color w:val="000000" w:themeColor="text1"/>
                <w:sz w:val="15"/>
                <w:szCs w:val="15"/>
                <w14:textFill>
                  <w14:solidFill>
                    <w14:schemeClr w14:val="tx1"/>
                  </w14:solidFill>
                </w14:textFill>
              </w:rPr>
              <w:t>Prototypical Networks</w:t>
            </w:r>
            <w:r>
              <w:rPr>
                <w:rFonts w:hint="eastAsia" w:ascii="宋体" w:hAnsi="宋体" w:eastAsia="宋体"/>
                <w:b/>
                <w:bCs/>
                <w:color w:val="000000" w:themeColor="text1"/>
                <w:sz w:val="15"/>
                <w:szCs w:val="15"/>
                <w:vertAlign w:val="superscript"/>
                <w14:textFill>
                  <w14:solidFill>
                    <w14:schemeClr w14:val="tx1"/>
                  </w14:solidFill>
                </w14:textFill>
              </w:rPr>
              <w:fldChar w:fldCharType="begin"/>
            </w:r>
            <w:r>
              <w:rPr>
                <w:rFonts w:hint="eastAsia" w:ascii="宋体" w:hAnsi="宋体" w:eastAsia="宋体"/>
                <w:b/>
                <w:bCs/>
                <w:color w:val="000000" w:themeColor="text1"/>
                <w:sz w:val="15"/>
                <w:szCs w:val="15"/>
                <w:vertAlign w:val="superscript"/>
                <w14:textFill>
                  <w14:solidFill>
                    <w14:schemeClr w14:val="tx1"/>
                  </w14:solidFill>
                </w14:textFill>
              </w:rPr>
              <w:instrText xml:space="preserve"> REF _Ref9974 \r \h </w:instrText>
            </w:r>
            <w:r>
              <w:rPr>
                <w:rFonts w:hint="eastAsia" w:ascii="宋体" w:hAnsi="宋体" w:eastAsia="宋体"/>
                <w:b/>
                <w:bCs/>
                <w:color w:val="000000" w:themeColor="text1"/>
                <w:sz w:val="15"/>
                <w:szCs w:val="15"/>
                <w:vertAlign w:val="superscript"/>
                <w14:textFill>
                  <w14:solidFill>
                    <w14:schemeClr w14:val="tx1"/>
                  </w14:solidFill>
                </w14:textFill>
              </w:rPr>
              <w:fldChar w:fldCharType="separate"/>
            </w:r>
            <w:r>
              <w:rPr>
                <w:rFonts w:hint="eastAsia" w:ascii="宋体" w:hAnsi="宋体" w:eastAsia="宋体"/>
                <w:b/>
                <w:bCs/>
                <w:color w:val="000000" w:themeColor="text1"/>
                <w:sz w:val="15"/>
                <w:szCs w:val="15"/>
                <w:vertAlign w:val="superscript"/>
                <w14:textFill>
                  <w14:solidFill>
                    <w14:schemeClr w14:val="tx1"/>
                  </w14:solidFill>
                </w14:textFill>
              </w:rPr>
              <w:t>[39]</w:t>
            </w:r>
            <w:r>
              <w:rPr>
                <w:rFonts w:hint="eastAsia" w:ascii="宋体" w:hAnsi="宋体" w:eastAsia="宋体"/>
                <w:b/>
                <w:bCs/>
                <w:color w:val="000000" w:themeColor="text1"/>
                <w:sz w:val="15"/>
                <w:szCs w:val="15"/>
                <w:vertAlign w:val="superscript"/>
                <w14:textFill>
                  <w14:solidFill>
                    <w14:schemeClr w14:val="tx1"/>
                  </w14:solidFill>
                </w14:textFill>
              </w:rPr>
              <w:fldChar w:fldCharType="end"/>
            </w:r>
          </w:p>
        </w:tc>
        <w:tc>
          <w:tcPr>
            <w:tcW w:w="1171" w:type="dxa"/>
            <w:tcBorders>
              <w:top w:val="single" w:color="auto" w:sz="6" w:space="0"/>
              <w:tl2br w:val="nil"/>
              <w:tr2bl w:val="nil"/>
            </w:tcBorders>
          </w:tcPr>
          <w:p w14:paraId="3C02BE7F">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1</w:t>
            </w:r>
          </w:p>
        </w:tc>
        <w:tc>
          <w:tcPr>
            <w:tcW w:w="1919" w:type="dxa"/>
            <w:tcBorders>
              <w:top w:val="single" w:color="auto" w:sz="6" w:space="0"/>
              <w:tl2br w:val="nil"/>
              <w:tr2bl w:val="nil"/>
            </w:tcBorders>
          </w:tcPr>
          <w:p w14:paraId="4E98F228">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低</w:t>
            </w:r>
          </w:p>
        </w:tc>
        <w:tc>
          <w:tcPr>
            <w:tcW w:w="1498" w:type="dxa"/>
            <w:tcBorders>
              <w:top w:val="single" w:color="auto" w:sz="6" w:space="0"/>
              <w:tl2br w:val="nil"/>
              <w:tr2bl w:val="nil"/>
            </w:tcBorders>
          </w:tcPr>
          <w:p w14:paraId="210E5E99">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低</w:t>
            </w:r>
          </w:p>
        </w:tc>
        <w:tc>
          <w:tcPr>
            <w:tcW w:w="1897" w:type="dxa"/>
            <w:tcBorders>
              <w:top w:val="single" w:color="auto" w:sz="6" w:space="0"/>
              <w:tl2br w:val="nil"/>
              <w:tr2bl w:val="nil"/>
            </w:tcBorders>
          </w:tcPr>
          <w:p w14:paraId="07E6BD37">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无</w:t>
            </w:r>
          </w:p>
        </w:tc>
      </w:tr>
      <w:tr w14:paraId="5AC2A4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2053" w:type="dxa"/>
            <w:tcBorders>
              <w:tl2br w:val="nil"/>
              <w:tr2bl w:val="nil"/>
            </w:tcBorders>
          </w:tcPr>
          <w:p w14:paraId="104D9DA4">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b/>
                <w:bCs/>
                <w:color w:val="000000" w:themeColor="text1"/>
                <w:sz w:val="15"/>
                <w:szCs w:val="15"/>
                <w14:textFill>
                  <w14:solidFill>
                    <w14:schemeClr w14:val="tx1"/>
                  </w14:solidFill>
                </w14:textFill>
              </w:rPr>
              <w:t>Multi-Prototype</w:t>
            </w:r>
            <w:r>
              <w:rPr>
                <w:rFonts w:hint="eastAsia" w:ascii="宋体" w:hAnsi="宋体" w:eastAsia="宋体"/>
                <w:b/>
                <w:bCs/>
                <w:color w:val="000000" w:themeColor="text1"/>
                <w:sz w:val="15"/>
                <w:szCs w:val="15"/>
                <w:vertAlign w:val="superscript"/>
                <w14:textFill>
                  <w14:solidFill>
                    <w14:schemeClr w14:val="tx1"/>
                  </w14:solidFill>
                </w14:textFill>
              </w:rPr>
              <w:fldChar w:fldCharType="begin"/>
            </w:r>
            <w:r>
              <w:rPr>
                <w:rFonts w:hint="eastAsia" w:ascii="宋体" w:hAnsi="宋体" w:eastAsia="宋体"/>
                <w:b/>
                <w:bCs/>
                <w:color w:val="000000" w:themeColor="text1"/>
                <w:sz w:val="15"/>
                <w:szCs w:val="15"/>
                <w:vertAlign w:val="superscript"/>
                <w14:textFill>
                  <w14:solidFill>
                    <w14:schemeClr w14:val="tx1"/>
                  </w14:solidFill>
                </w14:textFill>
              </w:rPr>
              <w:instrText xml:space="preserve"> REF _Ref10183 \r \h </w:instrText>
            </w:r>
            <w:r>
              <w:rPr>
                <w:rFonts w:hint="eastAsia" w:ascii="宋体" w:hAnsi="宋体" w:eastAsia="宋体"/>
                <w:b/>
                <w:bCs/>
                <w:color w:val="000000" w:themeColor="text1"/>
                <w:sz w:val="15"/>
                <w:szCs w:val="15"/>
                <w:vertAlign w:val="superscript"/>
                <w14:textFill>
                  <w14:solidFill>
                    <w14:schemeClr w14:val="tx1"/>
                  </w14:solidFill>
                </w14:textFill>
              </w:rPr>
              <w:fldChar w:fldCharType="separate"/>
            </w:r>
            <w:r>
              <w:rPr>
                <w:rFonts w:hint="eastAsia" w:ascii="宋体" w:hAnsi="宋体" w:eastAsia="宋体"/>
                <w:b/>
                <w:bCs/>
                <w:color w:val="000000" w:themeColor="text1"/>
                <w:sz w:val="15"/>
                <w:szCs w:val="15"/>
                <w:vertAlign w:val="superscript"/>
                <w14:textFill>
                  <w14:solidFill>
                    <w14:schemeClr w14:val="tx1"/>
                  </w14:solidFill>
                </w14:textFill>
              </w:rPr>
              <w:t>[41]</w:t>
            </w:r>
            <w:r>
              <w:rPr>
                <w:rFonts w:hint="eastAsia" w:ascii="宋体" w:hAnsi="宋体" w:eastAsia="宋体"/>
                <w:b/>
                <w:bCs/>
                <w:color w:val="000000" w:themeColor="text1"/>
                <w:sz w:val="15"/>
                <w:szCs w:val="15"/>
                <w:vertAlign w:val="superscript"/>
                <w14:textFill>
                  <w14:solidFill>
                    <w14:schemeClr w14:val="tx1"/>
                  </w14:solidFill>
                </w14:textFill>
              </w:rPr>
              <w:fldChar w:fldCharType="end"/>
            </w:r>
          </w:p>
        </w:tc>
        <w:tc>
          <w:tcPr>
            <w:tcW w:w="1171" w:type="dxa"/>
            <w:tcBorders>
              <w:tl2br w:val="nil"/>
              <w:tr2bl w:val="nil"/>
            </w:tcBorders>
          </w:tcPr>
          <w:p w14:paraId="05CD804A">
            <w:pPr>
              <w:jc w:val="center"/>
              <w:rPr>
                <w:rFonts w:hint="eastAsia" w:ascii="宋体" w:hAnsi="宋体"/>
                <w:color w:val="000000" w:themeColor="text1"/>
                <w:sz w:val="15"/>
                <w:szCs w:val="15"/>
                <w14:textFill>
                  <w14:solidFill>
                    <w14:schemeClr w14:val="tx1"/>
                  </w14:solidFill>
                </w14:textFill>
              </w:rPr>
            </w:pPr>
            <m:oMath>
              <m:r>
                <m:rPr>
                  <m:sty m:val="p"/>
                </m:rPr>
                <w:rPr>
                  <w:rFonts w:ascii="Cambria Math" w:hAnsi="Cambria Math"/>
                  <w:color w:val="000000" w:themeColor="text1"/>
                  <w:sz w:val="15"/>
                  <w:szCs w:val="15"/>
                  <w14:textFill>
                    <w14:solidFill>
                      <w14:schemeClr w14:val="tx1"/>
                    </w14:solidFill>
                  </w14:textFill>
                </w:rPr>
                <m:t>≥</m:t>
              </m:r>
            </m:oMath>
            <w:r>
              <w:rPr>
                <w:rFonts w:hint="eastAsia" w:hAnsi="Cambria Math"/>
                <w:color w:val="000000" w:themeColor="text1"/>
                <w:sz w:val="15"/>
                <w:szCs w:val="15"/>
                <w14:textFill>
                  <w14:solidFill>
                    <w14:schemeClr w14:val="tx1"/>
                  </w14:solidFill>
                </w14:textFill>
              </w:rPr>
              <w:t xml:space="preserve"> 2</w:t>
            </w:r>
          </w:p>
        </w:tc>
        <w:tc>
          <w:tcPr>
            <w:tcW w:w="1919" w:type="dxa"/>
            <w:tcBorders>
              <w:tl2br w:val="nil"/>
              <w:tr2bl w:val="nil"/>
            </w:tcBorders>
          </w:tcPr>
          <w:p w14:paraId="35BE474F">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中</w:t>
            </w:r>
          </w:p>
        </w:tc>
        <w:tc>
          <w:tcPr>
            <w:tcW w:w="1498" w:type="dxa"/>
            <w:tcBorders>
              <w:tl2br w:val="nil"/>
              <w:tr2bl w:val="nil"/>
            </w:tcBorders>
          </w:tcPr>
          <w:p w14:paraId="06FB1F42">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中</w:t>
            </w:r>
          </w:p>
        </w:tc>
        <w:tc>
          <w:tcPr>
            <w:tcW w:w="1897" w:type="dxa"/>
            <w:tcBorders>
              <w:tl2br w:val="nil"/>
              <w:tr2bl w:val="nil"/>
            </w:tcBorders>
          </w:tcPr>
          <w:p w14:paraId="4F963F14">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简单均值补偿</w:t>
            </w:r>
          </w:p>
        </w:tc>
      </w:tr>
      <w:tr w14:paraId="04BD18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2053" w:type="dxa"/>
            <w:tcBorders>
              <w:tl2br w:val="nil"/>
              <w:tr2bl w:val="nil"/>
            </w:tcBorders>
          </w:tcPr>
          <w:p w14:paraId="1C0C0A8A">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本文方法</w:t>
            </w:r>
          </w:p>
        </w:tc>
        <w:tc>
          <w:tcPr>
            <w:tcW w:w="1171" w:type="dxa"/>
            <w:tcBorders>
              <w:tl2br w:val="nil"/>
              <w:tr2bl w:val="nil"/>
            </w:tcBorders>
          </w:tcPr>
          <w:p w14:paraId="6D4D2E50">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3</w:t>
            </w:r>
          </w:p>
        </w:tc>
        <w:tc>
          <w:tcPr>
            <w:tcW w:w="1919" w:type="dxa"/>
            <w:tcBorders>
              <w:tl2br w:val="nil"/>
              <w:tr2bl w:val="nil"/>
            </w:tcBorders>
          </w:tcPr>
          <w:p w14:paraId="65860BDE">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高</w:t>
            </w:r>
          </w:p>
        </w:tc>
        <w:tc>
          <w:tcPr>
            <w:tcW w:w="1498" w:type="dxa"/>
            <w:tcBorders>
              <w:tl2br w:val="nil"/>
              <w:tr2bl w:val="nil"/>
            </w:tcBorders>
          </w:tcPr>
          <w:p w14:paraId="0E47EEF1">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中</w:t>
            </w:r>
          </w:p>
        </w:tc>
        <w:tc>
          <w:tcPr>
            <w:tcW w:w="1897" w:type="dxa"/>
            <w:tcBorders>
              <w:tl2br w:val="nil"/>
              <w:tr2bl w:val="nil"/>
            </w:tcBorders>
          </w:tcPr>
          <w:p w14:paraId="165C9470">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KMeans + 均值补偿</w:t>
            </w:r>
          </w:p>
        </w:tc>
      </w:tr>
      <w:tr w14:paraId="6A12D0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jc w:val="center"/>
        </w:trPr>
        <w:tc>
          <w:tcPr>
            <w:tcW w:w="2053" w:type="dxa"/>
            <w:tcBorders>
              <w:tl2br w:val="nil"/>
              <w:tr2bl w:val="nil"/>
            </w:tcBorders>
          </w:tcPr>
          <w:p w14:paraId="134D5054">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b/>
                <w:bCs/>
                <w:color w:val="000000" w:themeColor="text1"/>
                <w:sz w:val="15"/>
                <w:szCs w:val="15"/>
                <w14:textFill>
                  <w14:solidFill>
                    <w14:schemeClr w14:val="tx1"/>
                  </w14:solidFill>
                </w14:textFill>
              </w:rPr>
              <w:t>Matching Networks</w:t>
            </w:r>
            <w:r>
              <w:rPr>
                <w:rFonts w:hint="eastAsia" w:ascii="宋体" w:hAnsi="宋体" w:eastAsia="宋体"/>
                <w:b/>
                <w:bCs/>
                <w:color w:val="000000" w:themeColor="text1"/>
                <w:sz w:val="15"/>
                <w:szCs w:val="15"/>
                <w:vertAlign w:val="superscript"/>
                <w14:textFill>
                  <w14:solidFill>
                    <w14:schemeClr w14:val="tx1"/>
                  </w14:solidFill>
                </w14:textFill>
              </w:rPr>
              <w:fldChar w:fldCharType="begin"/>
            </w:r>
            <w:r>
              <w:rPr>
                <w:rFonts w:hint="eastAsia" w:ascii="宋体" w:hAnsi="宋体" w:eastAsia="宋体"/>
                <w:b/>
                <w:bCs/>
                <w:color w:val="000000" w:themeColor="text1"/>
                <w:sz w:val="15"/>
                <w:szCs w:val="15"/>
                <w:vertAlign w:val="superscript"/>
                <w14:textFill>
                  <w14:solidFill>
                    <w14:schemeClr w14:val="tx1"/>
                  </w14:solidFill>
                </w14:textFill>
              </w:rPr>
              <w:instrText xml:space="preserve"> REF _Ref795 \r \h </w:instrText>
            </w:r>
            <w:r>
              <w:rPr>
                <w:rFonts w:hint="eastAsia" w:ascii="宋体" w:hAnsi="宋体" w:eastAsia="宋体"/>
                <w:b/>
                <w:bCs/>
                <w:color w:val="000000" w:themeColor="text1"/>
                <w:sz w:val="15"/>
                <w:szCs w:val="15"/>
                <w:vertAlign w:val="superscript"/>
                <w14:textFill>
                  <w14:solidFill>
                    <w14:schemeClr w14:val="tx1"/>
                  </w14:solidFill>
                </w14:textFill>
              </w:rPr>
              <w:fldChar w:fldCharType="separate"/>
            </w:r>
            <w:r>
              <w:rPr>
                <w:rFonts w:hint="eastAsia" w:ascii="宋体" w:hAnsi="宋体" w:eastAsia="宋体"/>
                <w:b/>
                <w:bCs/>
                <w:color w:val="000000" w:themeColor="text1"/>
                <w:sz w:val="15"/>
                <w:szCs w:val="15"/>
                <w:vertAlign w:val="superscript"/>
                <w14:textFill>
                  <w14:solidFill>
                    <w14:schemeClr w14:val="tx1"/>
                  </w14:solidFill>
                </w14:textFill>
              </w:rPr>
              <w:t>[42]</w:t>
            </w:r>
            <w:r>
              <w:rPr>
                <w:rFonts w:hint="eastAsia" w:ascii="宋体" w:hAnsi="宋体" w:eastAsia="宋体"/>
                <w:b/>
                <w:bCs/>
                <w:color w:val="000000" w:themeColor="text1"/>
                <w:sz w:val="15"/>
                <w:szCs w:val="15"/>
                <w:vertAlign w:val="superscript"/>
                <w14:textFill>
                  <w14:solidFill>
                    <w14:schemeClr w14:val="tx1"/>
                  </w14:solidFill>
                </w14:textFill>
              </w:rPr>
              <w:fldChar w:fldCharType="end"/>
            </w:r>
          </w:p>
        </w:tc>
        <w:tc>
          <w:tcPr>
            <w:tcW w:w="1171" w:type="dxa"/>
            <w:tcBorders>
              <w:tl2br w:val="nil"/>
              <w:tr2bl w:val="nil"/>
            </w:tcBorders>
          </w:tcPr>
          <w:p w14:paraId="528C1ACE">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N/A</w:t>
            </w:r>
          </w:p>
        </w:tc>
        <w:tc>
          <w:tcPr>
            <w:tcW w:w="1919" w:type="dxa"/>
            <w:tcBorders>
              <w:tl2br w:val="nil"/>
              <w:tr2bl w:val="nil"/>
            </w:tcBorders>
          </w:tcPr>
          <w:p w14:paraId="3616C06B">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中</w:t>
            </w:r>
          </w:p>
        </w:tc>
        <w:tc>
          <w:tcPr>
            <w:tcW w:w="1498" w:type="dxa"/>
            <w:tcBorders>
              <w:tl2br w:val="nil"/>
              <w:tr2bl w:val="nil"/>
            </w:tcBorders>
          </w:tcPr>
          <w:p w14:paraId="4BBEA393">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高</w:t>
            </w:r>
          </w:p>
        </w:tc>
        <w:tc>
          <w:tcPr>
            <w:tcW w:w="1897" w:type="dxa"/>
            <w:tcBorders>
              <w:tl2br w:val="nil"/>
              <w:tr2bl w:val="nil"/>
            </w:tcBorders>
          </w:tcPr>
          <w:p w14:paraId="3BCBB07A">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Episodic训练框架，无需微调</w:t>
            </w:r>
          </w:p>
        </w:tc>
      </w:tr>
      <w:tr w14:paraId="6B69EC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jc w:val="center"/>
        </w:trPr>
        <w:tc>
          <w:tcPr>
            <w:tcW w:w="2053" w:type="dxa"/>
            <w:tcBorders>
              <w:tl2br w:val="nil"/>
              <w:tr2bl w:val="nil"/>
            </w:tcBorders>
          </w:tcPr>
          <w:p w14:paraId="29236C73">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b/>
                <w:bCs/>
                <w:color w:val="000000" w:themeColor="text1"/>
                <w:sz w:val="15"/>
                <w:szCs w:val="15"/>
                <w14:textFill>
                  <w14:solidFill>
                    <w14:schemeClr w14:val="tx1"/>
                  </w14:solidFill>
                </w14:textFill>
              </w:rPr>
              <w:t>Relation Networks</w:t>
            </w:r>
            <w:r>
              <w:rPr>
                <w:rFonts w:hint="eastAsia" w:ascii="宋体" w:hAnsi="宋体" w:eastAsia="宋体"/>
                <w:b/>
                <w:bCs/>
                <w:color w:val="000000" w:themeColor="text1"/>
                <w:sz w:val="15"/>
                <w:szCs w:val="15"/>
                <w:vertAlign w:val="superscript"/>
                <w14:textFill>
                  <w14:solidFill>
                    <w14:schemeClr w14:val="tx1"/>
                  </w14:solidFill>
                </w14:textFill>
              </w:rPr>
              <w:fldChar w:fldCharType="begin"/>
            </w:r>
            <w:r>
              <w:rPr>
                <w:rFonts w:hint="eastAsia" w:ascii="宋体" w:hAnsi="宋体" w:eastAsia="宋体"/>
                <w:b/>
                <w:bCs/>
                <w:color w:val="000000" w:themeColor="text1"/>
                <w:sz w:val="15"/>
                <w:szCs w:val="15"/>
                <w:vertAlign w:val="superscript"/>
                <w14:textFill>
                  <w14:solidFill>
                    <w14:schemeClr w14:val="tx1"/>
                  </w14:solidFill>
                </w14:textFill>
              </w:rPr>
              <w:instrText xml:space="preserve"> REF _Ref10503 \r \h </w:instrText>
            </w:r>
            <w:r>
              <w:rPr>
                <w:rFonts w:hint="eastAsia" w:ascii="宋体" w:hAnsi="宋体" w:eastAsia="宋体"/>
                <w:b/>
                <w:bCs/>
                <w:color w:val="000000" w:themeColor="text1"/>
                <w:sz w:val="15"/>
                <w:szCs w:val="15"/>
                <w:vertAlign w:val="superscript"/>
                <w14:textFill>
                  <w14:solidFill>
                    <w14:schemeClr w14:val="tx1"/>
                  </w14:solidFill>
                </w14:textFill>
              </w:rPr>
              <w:fldChar w:fldCharType="separate"/>
            </w:r>
            <w:r>
              <w:rPr>
                <w:rFonts w:hint="eastAsia" w:ascii="宋体" w:hAnsi="宋体" w:eastAsia="宋体"/>
                <w:b/>
                <w:bCs/>
                <w:color w:val="000000" w:themeColor="text1"/>
                <w:sz w:val="15"/>
                <w:szCs w:val="15"/>
                <w:vertAlign w:val="superscript"/>
                <w14:textFill>
                  <w14:solidFill>
                    <w14:schemeClr w14:val="tx1"/>
                  </w14:solidFill>
                </w14:textFill>
              </w:rPr>
              <w:t>[43]</w:t>
            </w:r>
            <w:r>
              <w:rPr>
                <w:rFonts w:hint="eastAsia" w:ascii="宋体" w:hAnsi="宋体" w:eastAsia="宋体"/>
                <w:b/>
                <w:bCs/>
                <w:color w:val="000000" w:themeColor="text1"/>
                <w:sz w:val="15"/>
                <w:szCs w:val="15"/>
                <w:vertAlign w:val="superscript"/>
                <w14:textFill>
                  <w14:solidFill>
                    <w14:schemeClr w14:val="tx1"/>
                  </w14:solidFill>
                </w14:textFill>
              </w:rPr>
              <w:fldChar w:fldCharType="end"/>
            </w:r>
          </w:p>
        </w:tc>
        <w:tc>
          <w:tcPr>
            <w:tcW w:w="1171" w:type="dxa"/>
            <w:tcBorders>
              <w:tl2br w:val="nil"/>
              <w:tr2bl w:val="nil"/>
            </w:tcBorders>
          </w:tcPr>
          <w:p w14:paraId="2A4E4C1A">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N/A</w:t>
            </w:r>
          </w:p>
        </w:tc>
        <w:tc>
          <w:tcPr>
            <w:tcW w:w="1919" w:type="dxa"/>
            <w:tcBorders>
              <w:tl2br w:val="nil"/>
              <w:tr2bl w:val="nil"/>
            </w:tcBorders>
          </w:tcPr>
          <w:p w14:paraId="39277B7E">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高</w:t>
            </w:r>
          </w:p>
        </w:tc>
        <w:tc>
          <w:tcPr>
            <w:tcW w:w="1498" w:type="dxa"/>
            <w:tcBorders>
              <w:tl2br w:val="nil"/>
              <w:tr2bl w:val="nil"/>
            </w:tcBorders>
          </w:tcPr>
          <w:p w14:paraId="50110D30">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高</w:t>
            </w:r>
          </w:p>
        </w:tc>
        <w:tc>
          <w:tcPr>
            <w:tcW w:w="1897" w:type="dxa"/>
            <w:tcBorders>
              <w:tl2br w:val="nil"/>
              <w:tr2bl w:val="nil"/>
            </w:tcBorders>
          </w:tcPr>
          <w:p w14:paraId="38A231BC">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学习深度非线性度量，无需显式原型</w:t>
            </w:r>
          </w:p>
        </w:tc>
      </w:tr>
      <w:tr w14:paraId="23BEE3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4" w:hRule="atLeast"/>
          <w:jc w:val="center"/>
        </w:trPr>
        <w:tc>
          <w:tcPr>
            <w:tcW w:w="2053" w:type="dxa"/>
            <w:tcBorders>
              <w:tl2br w:val="nil"/>
              <w:tr2bl w:val="nil"/>
            </w:tcBorders>
          </w:tcPr>
          <w:p w14:paraId="3E5AEAEA">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b/>
                <w:bCs/>
                <w:color w:val="000000" w:themeColor="text1"/>
                <w:sz w:val="15"/>
                <w:szCs w:val="15"/>
                <w14:textFill>
                  <w14:solidFill>
                    <w14:schemeClr w14:val="tx1"/>
                  </w14:solidFill>
                </w14:textFill>
              </w:rPr>
              <w:t>Transductive Propagation Network (TPN)</w:t>
            </w:r>
            <w:r>
              <w:rPr>
                <w:rFonts w:hint="eastAsia" w:ascii="宋体" w:hAnsi="宋体" w:eastAsia="宋体"/>
                <w:b/>
                <w:bCs/>
                <w:color w:val="000000" w:themeColor="text1"/>
                <w:sz w:val="15"/>
                <w:szCs w:val="15"/>
                <w:vertAlign w:val="superscript"/>
                <w:lang w:eastAsia="zh-CN"/>
                <w14:textFill>
                  <w14:solidFill>
                    <w14:schemeClr w14:val="tx1"/>
                  </w14:solidFill>
                </w14:textFill>
              </w:rPr>
              <w:fldChar w:fldCharType="begin"/>
            </w:r>
            <w:r>
              <w:rPr>
                <w:rFonts w:hint="eastAsia" w:ascii="宋体" w:hAnsi="宋体" w:eastAsia="宋体"/>
                <w:b/>
                <w:bCs/>
                <w:color w:val="000000" w:themeColor="text1"/>
                <w:sz w:val="15"/>
                <w:szCs w:val="15"/>
                <w:vertAlign w:val="superscript"/>
                <w:lang w:eastAsia="zh-CN"/>
                <w14:textFill>
                  <w14:solidFill>
                    <w14:schemeClr w14:val="tx1"/>
                  </w14:solidFill>
                </w14:textFill>
              </w:rPr>
              <w:instrText xml:space="preserve"> REF _Ref976 \r \h </w:instrText>
            </w:r>
            <w:r>
              <w:rPr>
                <w:rFonts w:hint="eastAsia" w:ascii="宋体" w:hAnsi="宋体" w:eastAsia="宋体"/>
                <w:b/>
                <w:bCs/>
                <w:color w:val="000000" w:themeColor="text1"/>
                <w:sz w:val="15"/>
                <w:szCs w:val="15"/>
                <w:vertAlign w:val="superscript"/>
                <w:lang w:eastAsia="zh-CN"/>
                <w14:textFill>
                  <w14:solidFill>
                    <w14:schemeClr w14:val="tx1"/>
                  </w14:solidFill>
                </w14:textFill>
              </w:rPr>
              <w:fldChar w:fldCharType="separate"/>
            </w:r>
            <w:r>
              <w:rPr>
                <w:rFonts w:hint="eastAsia" w:ascii="宋体" w:hAnsi="宋体" w:eastAsia="宋体"/>
                <w:b/>
                <w:bCs/>
                <w:color w:val="000000" w:themeColor="text1"/>
                <w:sz w:val="15"/>
                <w:szCs w:val="15"/>
                <w:vertAlign w:val="superscript"/>
                <w:lang w:eastAsia="zh-CN"/>
                <w14:textFill>
                  <w14:solidFill>
                    <w14:schemeClr w14:val="tx1"/>
                  </w14:solidFill>
                </w14:textFill>
              </w:rPr>
              <w:t>[44]</w:t>
            </w:r>
            <w:r>
              <w:rPr>
                <w:rFonts w:hint="eastAsia" w:ascii="宋体" w:hAnsi="宋体" w:eastAsia="宋体"/>
                <w:b/>
                <w:bCs/>
                <w:color w:val="000000" w:themeColor="text1"/>
                <w:sz w:val="15"/>
                <w:szCs w:val="15"/>
                <w:vertAlign w:val="superscript"/>
                <w:lang w:eastAsia="zh-CN"/>
                <w14:textFill>
                  <w14:solidFill>
                    <w14:schemeClr w14:val="tx1"/>
                  </w14:solidFill>
                </w14:textFill>
              </w:rPr>
              <w:fldChar w:fldCharType="end"/>
            </w:r>
          </w:p>
        </w:tc>
        <w:tc>
          <w:tcPr>
            <w:tcW w:w="1171" w:type="dxa"/>
            <w:tcBorders>
              <w:tl2br w:val="nil"/>
              <w:tr2bl w:val="nil"/>
            </w:tcBorders>
          </w:tcPr>
          <w:p w14:paraId="3442888E">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N/A（Not Applicable）</w:t>
            </w:r>
          </w:p>
        </w:tc>
        <w:tc>
          <w:tcPr>
            <w:tcW w:w="1919" w:type="dxa"/>
            <w:tcBorders>
              <w:tl2br w:val="nil"/>
              <w:tr2bl w:val="nil"/>
            </w:tcBorders>
          </w:tcPr>
          <w:p w14:paraId="47577EC7">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高</w:t>
            </w:r>
          </w:p>
        </w:tc>
        <w:tc>
          <w:tcPr>
            <w:tcW w:w="1498" w:type="dxa"/>
            <w:tcBorders>
              <w:tl2br w:val="nil"/>
              <w:tr2bl w:val="nil"/>
            </w:tcBorders>
          </w:tcPr>
          <w:p w14:paraId="0D457B32">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高</w:t>
            </w:r>
          </w:p>
        </w:tc>
        <w:tc>
          <w:tcPr>
            <w:tcW w:w="1897" w:type="dxa"/>
            <w:tcBorders>
              <w:tl2br w:val="nil"/>
              <w:tr2bl w:val="nil"/>
            </w:tcBorders>
          </w:tcPr>
          <w:p w14:paraId="54540693">
            <w:pPr>
              <w:jc w:val="center"/>
              <w:rPr>
                <w:rFonts w:hint="eastAsia" w:ascii="宋体" w:hAnsi="宋体" w:eastAsia="宋体"/>
                <w:color w:val="000000" w:themeColor="text1"/>
                <w:sz w:val="15"/>
                <w:szCs w:val="15"/>
                <w14:textFill>
                  <w14:solidFill>
                    <w14:schemeClr w14:val="tx1"/>
                  </w14:solidFill>
                </w14:textFill>
              </w:rPr>
            </w:pPr>
            <w:r>
              <w:rPr>
                <w:rFonts w:hint="eastAsia" w:ascii="宋体" w:hAnsi="宋体" w:eastAsia="宋体"/>
                <w:color w:val="000000" w:themeColor="text1"/>
                <w:sz w:val="15"/>
                <w:szCs w:val="15"/>
                <w14:textFill>
                  <w14:solidFill>
                    <w14:schemeClr w14:val="tx1"/>
                  </w14:solidFill>
                </w14:textFill>
              </w:rPr>
              <w:t>标签传播利用整个查询集</w:t>
            </w:r>
          </w:p>
        </w:tc>
      </w:tr>
    </w:tbl>
    <w:p w14:paraId="3BF97CD8">
      <w:pPr>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表 1: 本文提出的多原型方法与传统方法的对比分析</w:t>
      </w:r>
    </w:p>
    <w:p w14:paraId="110D62D2">
      <w:pPr>
        <w:numPr>
          <w:ilvl w:val="0"/>
          <w:numId w:val="11"/>
        </w:numPr>
        <w:jc w:val="left"/>
        <w:rPr>
          <w:rFonts w:hint="eastAsia" w:ascii="宋体" w:hAnsi="宋体" w:eastAsia="宋体"/>
          <w:color w:val="000000" w:themeColor="text1"/>
          <w14:textFill>
            <w14:solidFill>
              <w14:schemeClr w14:val="tx1"/>
            </w14:solidFill>
          </w14:textFill>
        </w:rPr>
      </w:pPr>
      <w:r>
        <w:rPr>
          <w:rFonts w:eastAsia="宋体" w:cs="Times New Roman"/>
          <w:color w:val="000000" w:themeColor="text1"/>
          <w14:textFill>
            <w14:solidFill>
              <w14:schemeClr w14:val="tx1"/>
            </w14:solidFill>
          </w14:textFill>
        </w:rPr>
        <w:t>Matching Networks</w:t>
      </w:r>
      <w:r>
        <w:rPr>
          <w:rFonts w:hint="eastAsia" w:ascii="宋体" w:hAnsi="宋体" w:eastAsia="宋体"/>
          <w:color w:val="000000" w:themeColor="text1"/>
          <w14:textFill>
            <w14:solidFill>
              <w14:schemeClr w14:val="tx1"/>
            </w14:solidFill>
          </w14:textFill>
        </w:rPr>
        <w:t>利用注意力机制将支持集示例与查询样本做点对点匹配，通过</w:t>
      </w:r>
      <w:r>
        <w:rPr>
          <w:rFonts w:eastAsia="宋体" w:cs="Times New Roman"/>
          <w:color w:val="000000" w:themeColor="text1"/>
          <w14:textFill>
            <w14:solidFill>
              <w14:schemeClr w14:val="tx1"/>
            </w14:solidFill>
          </w14:textFill>
        </w:rPr>
        <w:t>Episodic</w:t>
      </w:r>
      <w:r>
        <w:rPr>
          <w:rFonts w:hint="eastAsia" w:ascii="宋体" w:hAnsi="宋体" w:eastAsia="宋体"/>
          <w:color w:val="000000" w:themeColor="text1"/>
          <w14:textFill>
            <w14:solidFill>
              <w14:schemeClr w14:val="tx1"/>
            </w14:solidFill>
          </w14:textFill>
        </w:rPr>
        <w:t>训练保证模型能在少样本情况下快速泛化，未引入显式原型</w:t>
      </w:r>
      <w:r>
        <w:rPr>
          <w:rFonts w:hint="eastAsia" w:ascii="宋体" w:hAnsi="宋体" w:eastAsia="宋体"/>
          <w:color w:val="000000" w:themeColor="text1"/>
          <w:vertAlign w:val="superscript"/>
          <w14:textFill>
            <w14:solidFill>
              <w14:schemeClr w14:val="tx1"/>
            </w14:solidFill>
          </w14:textFill>
        </w:rPr>
        <w:fldChar w:fldCharType="begin"/>
      </w:r>
      <w:r>
        <w:rPr>
          <w:rFonts w:hint="eastAsia" w:ascii="宋体" w:hAnsi="宋体" w:eastAsia="宋体"/>
          <w:color w:val="000000" w:themeColor="text1"/>
          <w:vertAlign w:val="superscript"/>
          <w14:textFill>
            <w14:solidFill>
              <w14:schemeClr w14:val="tx1"/>
            </w14:solidFill>
          </w14:textFill>
        </w:rPr>
        <w:instrText xml:space="preserve"> REF _Ref8309 \r \h </w:instrText>
      </w:r>
      <w:r>
        <w:rPr>
          <w:rFonts w:hint="eastAsia" w:ascii="宋体" w:hAnsi="宋体" w:eastAsia="宋体"/>
          <w:color w:val="000000" w:themeColor="text1"/>
          <w:vertAlign w:val="superscript"/>
          <w14:textFill>
            <w14:solidFill>
              <w14:schemeClr w14:val="tx1"/>
            </w14:solidFill>
          </w14:textFill>
        </w:rPr>
        <w:fldChar w:fldCharType="separate"/>
      </w:r>
      <w:r>
        <w:rPr>
          <w:rFonts w:hint="eastAsia" w:ascii="宋体" w:hAnsi="宋体" w:eastAsia="宋体"/>
          <w:color w:val="000000" w:themeColor="text1"/>
          <w:vertAlign w:val="superscript"/>
          <w14:textFill>
            <w14:solidFill>
              <w14:schemeClr w14:val="tx1"/>
            </w14:solidFill>
          </w14:textFill>
        </w:rPr>
        <w:t>[21]</w:t>
      </w:r>
      <w:r>
        <w:rPr>
          <w:rFonts w:hint="eastAsia"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w:t>
      </w:r>
    </w:p>
    <w:p w14:paraId="67C15D0B">
      <w:pPr>
        <w:numPr>
          <w:ilvl w:val="0"/>
          <w:numId w:val="11"/>
        </w:numPr>
        <w:jc w:val="left"/>
        <w:rPr>
          <w:rFonts w:hint="eastAsia" w:ascii="宋体" w:hAnsi="宋体" w:eastAsia="宋体"/>
          <w:color w:val="000000" w:themeColor="text1"/>
          <w14:textFill>
            <w14:solidFill>
              <w14:schemeClr w14:val="tx1"/>
            </w14:solidFill>
          </w14:textFill>
        </w:rPr>
      </w:pPr>
      <w:r>
        <w:rPr>
          <w:rFonts w:eastAsia="宋体" w:cs="Times New Roman"/>
          <w:color w:val="000000" w:themeColor="text1"/>
          <w14:textFill>
            <w14:solidFill>
              <w14:schemeClr w14:val="tx1"/>
            </w14:solidFill>
          </w14:textFill>
        </w:rPr>
        <w:t>Relation Networks</w:t>
      </w:r>
      <w:r>
        <w:rPr>
          <w:rFonts w:hint="eastAsia" w:ascii="宋体" w:hAnsi="宋体" w:eastAsia="宋体"/>
          <w:color w:val="000000" w:themeColor="text1"/>
          <w14:textFill>
            <w14:solidFill>
              <w14:schemeClr w14:val="tx1"/>
            </w14:solidFill>
          </w14:textFill>
        </w:rPr>
        <w:t>通过两分支网络学习一个可迁移的深度度量函数（</w:t>
      </w:r>
      <w:r>
        <w:rPr>
          <w:rFonts w:eastAsia="宋体" w:cs="Times New Roman"/>
          <w:color w:val="000000" w:themeColor="text1"/>
          <w14:textFill>
            <w14:solidFill>
              <w14:schemeClr w14:val="tx1"/>
            </w14:solidFill>
          </w14:textFill>
        </w:rPr>
        <w:t>Relation Module</w:t>
      </w:r>
      <w:r>
        <w:rPr>
          <w:rFonts w:hint="eastAsia" w:ascii="宋体" w:hAnsi="宋体" w:eastAsia="宋体"/>
          <w:color w:val="000000" w:themeColor="text1"/>
          <w14:textFill>
            <w14:solidFill>
              <w14:schemeClr w14:val="tx1"/>
            </w14:solidFill>
          </w14:textFill>
        </w:rPr>
        <w:t>），在特征表达上优于固定度量方法，且无需构造原型</w:t>
      </w:r>
      <w:r>
        <w:rPr>
          <w:rFonts w:hint="eastAsia" w:ascii="宋体" w:hAnsi="宋体" w:eastAsia="宋体"/>
          <w:color w:val="000000" w:themeColor="text1"/>
          <w:vertAlign w:val="superscript"/>
          <w14:textFill>
            <w14:solidFill>
              <w14:schemeClr w14:val="tx1"/>
            </w14:solidFill>
          </w14:textFill>
        </w:rPr>
        <w:fldChar w:fldCharType="begin"/>
      </w:r>
      <w:r>
        <w:rPr>
          <w:rFonts w:hint="eastAsia" w:ascii="宋体" w:hAnsi="宋体" w:eastAsia="宋体"/>
          <w:color w:val="000000" w:themeColor="text1"/>
          <w:vertAlign w:val="superscript"/>
          <w14:textFill>
            <w14:solidFill>
              <w14:schemeClr w14:val="tx1"/>
            </w14:solidFill>
          </w14:textFill>
        </w:rPr>
        <w:instrText xml:space="preserve"> REF _Ref795 \r \h </w:instrText>
      </w:r>
      <w:r>
        <w:rPr>
          <w:rFonts w:hint="eastAsia" w:ascii="宋体" w:hAnsi="宋体" w:eastAsia="宋体"/>
          <w:color w:val="000000" w:themeColor="text1"/>
          <w:vertAlign w:val="superscript"/>
          <w14:textFill>
            <w14:solidFill>
              <w14:schemeClr w14:val="tx1"/>
            </w14:solidFill>
          </w14:textFill>
        </w:rPr>
        <w:fldChar w:fldCharType="separate"/>
      </w:r>
      <w:r>
        <w:rPr>
          <w:rFonts w:hint="eastAsia" w:ascii="宋体" w:hAnsi="宋体" w:eastAsia="宋体"/>
          <w:color w:val="000000" w:themeColor="text1"/>
          <w:vertAlign w:val="superscript"/>
          <w14:textFill>
            <w14:solidFill>
              <w14:schemeClr w14:val="tx1"/>
            </w14:solidFill>
          </w14:textFill>
        </w:rPr>
        <w:t>[42]</w:t>
      </w:r>
      <w:r>
        <w:rPr>
          <w:rFonts w:hint="eastAsia"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w:t>
      </w:r>
    </w:p>
    <w:p w14:paraId="1CDBB58C">
      <w:pPr>
        <w:numPr>
          <w:ilvl w:val="0"/>
          <w:numId w:val="11"/>
        </w:numPr>
        <w:jc w:val="left"/>
        <w:rPr>
          <w:rFonts w:hint="eastAsia" w:ascii="宋体" w:hAnsi="宋体" w:eastAsia="宋体"/>
          <w:color w:val="000000" w:themeColor="text1"/>
          <w14:textFill>
            <w14:solidFill>
              <w14:schemeClr w14:val="tx1"/>
            </w14:solidFill>
          </w14:textFill>
        </w:rPr>
      </w:pPr>
      <w:r>
        <w:rPr>
          <w:rFonts w:eastAsia="宋体" w:cs="Times New Roman"/>
          <w:color w:val="000000" w:themeColor="text1"/>
          <w14:textFill>
            <w14:solidFill>
              <w14:schemeClr w14:val="tx1"/>
            </w14:solidFill>
          </w14:textFill>
        </w:rPr>
        <w:t>TPN</w:t>
      </w:r>
      <w:r>
        <w:rPr>
          <w:rFonts w:hint="eastAsia" w:ascii="宋体" w:hAnsi="宋体" w:eastAsia="宋体"/>
          <w:color w:val="000000" w:themeColor="text1"/>
          <w14:textFill>
            <w14:solidFill>
              <w14:schemeClr w14:val="tx1"/>
            </w14:solidFill>
          </w14:textFill>
        </w:rPr>
        <w:t>则在测试阶段采用图传播策略，将标签信息在支持集和查询集之间进行联合推断，有效缓解少样本带来的信息稀缺问题</w:t>
      </w:r>
      <w:r>
        <w:rPr>
          <w:rFonts w:hint="eastAsia" w:ascii="宋体" w:hAnsi="宋体" w:eastAsia="宋体"/>
          <w:color w:val="000000" w:themeColor="text1"/>
          <w:vertAlign w:val="superscript"/>
          <w14:textFill>
            <w14:solidFill>
              <w14:schemeClr w14:val="tx1"/>
            </w14:solidFill>
          </w14:textFill>
        </w:rPr>
        <w:fldChar w:fldCharType="begin"/>
      </w:r>
      <w:r>
        <w:rPr>
          <w:rFonts w:hint="eastAsia" w:ascii="宋体" w:hAnsi="宋体" w:eastAsia="宋体"/>
          <w:color w:val="000000" w:themeColor="text1"/>
          <w:vertAlign w:val="superscript"/>
          <w14:textFill>
            <w14:solidFill>
              <w14:schemeClr w14:val="tx1"/>
            </w14:solidFill>
          </w14:textFill>
        </w:rPr>
        <w:instrText xml:space="preserve"> REF _Ref10503 \r \h </w:instrText>
      </w:r>
      <w:r>
        <w:rPr>
          <w:rFonts w:hint="eastAsia" w:ascii="宋体" w:hAnsi="宋体" w:eastAsia="宋体"/>
          <w:color w:val="000000" w:themeColor="text1"/>
          <w:vertAlign w:val="superscript"/>
          <w14:textFill>
            <w14:solidFill>
              <w14:schemeClr w14:val="tx1"/>
            </w14:solidFill>
          </w14:textFill>
        </w:rPr>
        <w:fldChar w:fldCharType="separate"/>
      </w:r>
      <w:r>
        <w:rPr>
          <w:rFonts w:hint="eastAsia" w:ascii="宋体" w:hAnsi="宋体" w:eastAsia="宋体"/>
          <w:color w:val="000000" w:themeColor="text1"/>
          <w:vertAlign w:val="superscript"/>
          <w14:textFill>
            <w14:solidFill>
              <w14:schemeClr w14:val="tx1"/>
            </w14:solidFill>
          </w14:textFill>
        </w:rPr>
        <w:t>[43]</w:t>
      </w:r>
      <w:r>
        <w:rPr>
          <w:rFonts w:hint="eastAsia"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w:t>
      </w:r>
    </w:p>
    <w:p w14:paraId="57605B5F">
      <w:pPr>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通过上述对比可以看出，本方法既保留了原型网络的高效性，又通过多原型补偿了单一中心的表达不足，兼顾效果与计算成本。</w:t>
      </w:r>
    </w:p>
    <w:p w14:paraId="6032C105">
      <w:pPr>
        <w:rPr>
          <w:rFonts w:hint="eastAsia" w:ascii="宋体" w:hAnsi="宋体" w:eastAsia="宋体"/>
          <w:color w:val="000000" w:themeColor="text1"/>
          <w14:textFill>
            <w14:solidFill>
              <w14:schemeClr w14:val="tx1"/>
            </w14:solidFill>
          </w14:textFill>
        </w:rPr>
      </w:pPr>
    </w:p>
    <w:p w14:paraId="7B39F26B">
      <w:pPr>
        <w:keepNext w:val="0"/>
        <w:keepLines w:val="0"/>
        <w:pageBreakBefore w:val="0"/>
        <w:widowControl w:val="0"/>
        <w:numPr>
          <w:ilvl w:val="1"/>
          <w:numId w:val="1"/>
        </w:numPr>
        <w:kinsoku/>
        <w:wordWrap/>
        <w:overflowPunct/>
        <w:topLinePunct w:val="0"/>
        <w:autoSpaceDE/>
        <w:autoSpaceDN/>
        <w:bidi w:val="0"/>
        <w:adjustRightInd/>
        <w:snapToGrid/>
        <w:ind w:left="567" w:hanging="567"/>
        <w:textAlignment w:val="auto"/>
        <w:outlineLvl w:val="1"/>
        <w:rPr>
          <w:b/>
          <w:bCs/>
          <w:color w:val="000000" w:themeColor="text1"/>
          <w:sz w:val="28"/>
          <w:szCs w:val="28"/>
          <w14:textFill>
            <w14:solidFill>
              <w14:schemeClr w14:val="tx1"/>
            </w14:solidFill>
          </w14:textFill>
        </w:rPr>
      </w:pPr>
      <w:bookmarkStart w:id="98" w:name="_Toc1658"/>
      <w:bookmarkStart w:id="99" w:name="_Toc3881"/>
      <w:bookmarkStart w:id="100" w:name="_Toc13702"/>
      <w:bookmarkStart w:id="101" w:name="_Toc22688"/>
      <w:bookmarkStart w:id="102" w:name="_Toc2882"/>
      <w:r>
        <w:rPr>
          <w:rFonts w:hint="eastAsia"/>
          <w:b/>
          <w:bCs/>
          <w:color w:val="000000" w:themeColor="text1"/>
          <w:sz w:val="28"/>
          <w:szCs w:val="28"/>
          <w14:textFill>
            <w14:solidFill>
              <w14:schemeClr w14:val="tx1"/>
            </w14:solidFill>
          </w14:textFill>
        </w:rPr>
        <w:t>损失函数设计</w:t>
      </w:r>
      <w:bookmarkEnd w:id="98"/>
      <w:bookmarkEnd w:id="99"/>
      <w:bookmarkEnd w:id="100"/>
      <w:bookmarkEnd w:id="101"/>
      <w:bookmarkEnd w:id="102"/>
    </w:p>
    <w:p w14:paraId="36C57B1B">
      <w:pPr>
        <w:ind w:firstLine="420"/>
        <w:rPr>
          <w:b/>
          <w:bCs/>
          <w:color w:val="000000" w:themeColor="text1"/>
          <w:sz w:val="28"/>
          <w:szCs w:val="28"/>
          <w14:textFill>
            <w14:solidFill>
              <w14:schemeClr w14:val="tx1"/>
            </w14:solidFill>
          </w14:textFill>
        </w:rPr>
      </w:pPr>
      <w:r>
        <w:rPr>
          <w:rFonts w:hint="eastAsia" w:ascii="宋体" w:hAnsi="宋体" w:eastAsia="宋体"/>
          <w:color w:val="000000" w:themeColor="text1"/>
          <w14:textFill>
            <w14:solidFill>
              <w14:schemeClr w14:val="tx1"/>
            </w14:solidFill>
          </w14:textFill>
        </w:rPr>
        <w:t>为应对临床小样本多模态分类中的“类别内多样性不足、伪样本语义偏移与嵌入空间分布不均”的三大难题，本研究构建了一个多目标损失融合框架：首先，利用多原型分类损失刻画类别内部的多峰特征分布；其次，借助</w:t>
      </w:r>
      <w:r>
        <w:rPr>
          <w:rFonts w:eastAsia="宋体" w:cs="Times New Roman"/>
          <w:color w:val="000000" w:themeColor="text1"/>
          <w14:textFill>
            <w14:solidFill>
              <w14:schemeClr w14:val="tx1"/>
            </w14:solidFill>
          </w14:textFill>
        </w:rPr>
        <w:t>Anchor</w:t>
      </w:r>
      <w:r>
        <w:rPr>
          <w:rFonts w:hint="eastAsia" w:ascii="宋体" w:hAnsi="宋体" w:eastAsia="宋体"/>
          <w:color w:val="000000" w:themeColor="text1"/>
          <w14:textFill>
            <w14:solidFill>
              <w14:schemeClr w14:val="tx1"/>
            </w14:solidFill>
          </w14:textFill>
        </w:rPr>
        <w:t>对齐损失约束生成伪样本与真实锚点的语义一致性；再者，通过Batch-Hard三元组损失强化正负样本之间的边界判别能力；最后，采用加权组合策略平衡各损失权重，实现分类精度与特征区分力的协同优化。该多损失设计既能定位样本的局部特征，也能稳定扩充负类样本空间，有效提升了模型在少样本场景下的判别能力与泛化性能。</w:t>
      </w:r>
    </w:p>
    <w:p w14:paraId="0BE5907C">
      <w:pPr>
        <w:keepNext w:val="0"/>
        <w:keepLines w:val="0"/>
        <w:pageBreakBefore w:val="0"/>
        <w:widowControl w:val="0"/>
        <w:numPr>
          <w:ilvl w:val="2"/>
          <w:numId w:val="1"/>
        </w:numPr>
        <w:kinsoku/>
        <w:wordWrap/>
        <w:overflowPunct/>
        <w:topLinePunct w:val="0"/>
        <w:autoSpaceDE/>
        <w:autoSpaceDN/>
        <w:bidi w:val="0"/>
        <w:adjustRightInd/>
        <w:snapToGrid/>
        <w:ind w:left="709" w:hanging="709"/>
        <w:textAlignment w:val="auto"/>
        <w:outlineLvl w:val="2"/>
        <w:rPr>
          <w:b/>
          <w:bCs/>
          <w:color w:val="000000" w:themeColor="text1"/>
          <w:sz w:val="28"/>
          <w:szCs w:val="28"/>
          <w14:textFill>
            <w14:solidFill>
              <w14:schemeClr w14:val="tx1"/>
            </w14:solidFill>
          </w14:textFill>
        </w:rPr>
      </w:pPr>
      <w:bookmarkStart w:id="103" w:name="_Toc1012"/>
      <w:bookmarkStart w:id="104" w:name="_Toc12916"/>
      <w:bookmarkStart w:id="105" w:name="_Toc6726"/>
      <w:bookmarkStart w:id="106" w:name="_Toc4387"/>
      <w:bookmarkStart w:id="107" w:name="_Toc9679"/>
      <w:r>
        <w:rPr>
          <w:rFonts w:hint="eastAsia"/>
          <w:b/>
          <w:bCs/>
          <w:color w:val="000000" w:themeColor="text1"/>
          <w:sz w:val="28"/>
          <w:szCs w:val="28"/>
          <w14:textFill>
            <w14:solidFill>
              <w14:schemeClr w14:val="tx1"/>
            </w14:solidFill>
          </w14:textFill>
        </w:rPr>
        <w:t>多原型分类损失</w:t>
      </w:r>
      <w:bookmarkEnd w:id="103"/>
      <w:bookmarkEnd w:id="104"/>
      <w:bookmarkEnd w:id="105"/>
      <w:bookmarkEnd w:id="106"/>
      <w:bookmarkEnd w:id="107"/>
    </w:p>
    <w:p w14:paraId="1B10C62B">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为克服传统原型网络仅用单一中心无法充分表达类别内部多样性的缺陷，我们在支持集上通过</w:t>
      </w:r>
      <w:r>
        <w:rPr>
          <w:rFonts w:eastAsia="宋体" w:cs="Times New Roman"/>
          <w:color w:val="000000" w:themeColor="text1"/>
          <w14:textFill>
            <w14:solidFill>
              <w14:schemeClr w14:val="tx1"/>
            </w14:solidFill>
          </w14:textFill>
        </w:rPr>
        <w:t>KMeans</w:t>
      </w:r>
      <w:r>
        <w:rPr>
          <w:rFonts w:hint="eastAsia" w:ascii="宋体" w:hAnsi="宋体" w:eastAsia="宋体"/>
          <w:color w:val="000000" w:themeColor="text1"/>
          <w14:textFill>
            <w14:solidFill>
              <w14:schemeClr w14:val="tx1"/>
            </w14:solidFill>
          </w14:textFill>
        </w:rPr>
        <w:t>为每个类别生成</w:t>
      </w:r>
      <m:oMath>
        <m:r>
          <m:rPr>
            <m:sty m:val="p"/>
          </m:rPr>
          <w:rPr>
            <w:rFonts w:hint="eastAsia" w:ascii="Cambria Math" w:hAnsi="Cambria Math" w:eastAsia="宋体"/>
            <w:color w:val="000000" w:themeColor="text1"/>
            <w14:textFill>
              <w14:solidFill>
                <w14:schemeClr w14:val="tx1"/>
              </w14:solidFill>
            </w14:textFill>
          </w:rPr>
          <m:t>K=</m:t>
        </m:r>
        <m:r>
          <m:rPr>
            <m:sty m:val="p"/>
          </m:rPr>
          <w:rPr>
            <w:rFonts w:ascii="Cambria Math" w:hAnsi="Cambria Math" w:eastAsia="宋体"/>
            <w:color w:val="000000" w:themeColor="text1"/>
            <w14:textFill>
              <w14:solidFill>
                <w14:schemeClr w14:val="tx1"/>
              </w14:solidFill>
            </w14:textFill>
          </w:rPr>
          <m:t>3</m:t>
        </m:r>
      </m:oMath>
      <w:r>
        <w:rPr>
          <w:rFonts w:hint="eastAsia" w:ascii="宋体" w:hAnsi="宋体" w:eastAsia="宋体"/>
          <w:color w:val="000000" w:themeColor="text1"/>
          <w14:textFill>
            <w14:solidFill>
              <w14:schemeClr w14:val="tx1"/>
            </w14:solidFill>
          </w14:textFill>
        </w:rPr>
        <w:t>个原型</w:t>
      </w:r>
      <m:oMath>
        <m:sSubSup>
          <m:sSubSupPr>
            <m:ctrlPr>
              <w:rPr>
                <w:rFonts w:hint="eastAsia" w:ascii="Cambria Math" w:hAnsi="Cambria Math" w:eastAsia="宋体"/>
                <w:color w:val="000000" w:themeColor="text1"/>
                <w14:textFill>
                  <w14:solidFill>
                    <w14:schemeClr w14:val="tx1"/>
                  </w14:solidFill>
                </w14:textFill>
              </w:rPr>
            </m:ctrlPr>
          </m:sSubSupPr>
          <m:e>
            <m:d>
              <m:dPr>
                <m:begChr m:val="{"/>
                <m:endChr m:val="}"/>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μ</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c,k</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k=1</m:t>
            </m:r>
            <m:ctrlPr>
              <w:rPr>
                <w:rFonts w:hint="eastAsia" w:ascii="Cambria Math" w:hAnsi="Cambria Math" w:eastAsia="宋体"/>
                <w:color w:val="000000" w:themeColor="text1"/>
                <w14:textFill>
                  <w14:solidFill>
                    <w14:schemeClr w14:val="tx1"/>
                  </w14:solidFill>
                </w14:textFill>
              </w:rPr>
            </m:ctrlPr>
          </m:sub>
          <m:sup>
            <m:r>
              <m:rPr>
                <m:sty m:val="p"/>
              </m:rPr>
              <w:rPr>
                <w:rFonts w:hint="eastAsia" w:ascii="Cambria Math" w:hAnsi="Cambria Math" w:eastAsia="宋体"/>
                <w:color w:val="000000" w:themeColor="text1"/>
                <w14:textFill>
                  <w14:solidFill>
                    <w14:schemeClr w14:val="tx1"/>
                  </w14:solidFill>
                </w14:textFill>
              </w:rPr>
              <m:t>3</m:t>
            </m:r>
            <m:ctrlPr>
              <w:rPr>
                <w:rFonts w:hint="eastAsia" w:ascii="Cambria Math" w:hAnsi="Cambria Math" w:eastAsia="宋体"/>
                <w:color w:val="000000" w:themeColor="text1"/>
                <w14:textFill>
                  <w14:solidFill>
                    <w14:schemeClr w14:val="tx1"/>
                  </w14:solidFill>
                </w14:textFill>
              </w:rPr>
            </m:ctrlPr>
          </m:sup>
        </m:sSubSup>
      </m:oMath>
      <w:r>
        <w:rPr>
          <w:rFonts w:hint="eastAsia" w:ascii="宋体" w:hAnsi="宋体" w:eastAsia="宋体"/>
          <w:color w:val="000000" w:themeColor="text1"/>
          <w14:textFill>
            <w14:solidFill>
              <w14:schemeClr w14:val="tx1"/>
            </w14:solidFill>
          </w14:textFill>
        </w:rPr>
        <w:t xml:space="preserve"> ，并在查询阶段采用“最小距离”准则进行分类。具体而言，设查询样本特征为 </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x</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q</m:t>
            </m:r>
            <m:ctrlPr>
              <w:rPr>
                <w:rFonts w:hint="eastAsia" w:ascii="Cambria Math" w:hAnsi="Cambria Math" w:eastAsia="宋体"/>
                <w:color w:val="000000" w:themeColor="text1"/>
                <w14:textFill>
                  <w14:solidFill>
                    <w14:schemeClr w14:val="tx1"/>
                  </w14:solidFill>
                </w14:textFill>
              </w:rPr>
            </m:ctrlPr>
          </m:sub>
        </m:sSub>
      </m:oMath>
      <w:r>
        <w:rPr>
          <w:rFonts w:hint="eastAsia" w:ascii="宋体" w:hAnsi="宋体" w:eastAsia="宋体"/>
          <w:color w:val="000000" w:themeColor="text1"/>
          <w14:textFill>
            <w14:solidFill>
              <w14:schemeClr w14:val="tx1"/>
            </w14:solidFill>
          </w14:textFill>
        </w:rPr>
        <w:t>，则其与类别c的距离定义为：</w:t>
      </w:r>
      <w:r>
        <w:rPr>
          <w:rFonts w:hint="eastAsia" w:ascii="宋体" w:hAnsi="宋体" w:eastAsia="宋体"/>
          <w:color w:val="000000" w:themeColor="text1"/>
          <w14:textFill>
            <w14:solidFill>
              <w14:schemeClr w14:val="tx1"/>
            </w14:solidFill>
          </w14:textFill>
        </w:rPr>
        <w:br w:type="textWrapping"/>
      </w:r>
      <m:oMathPara>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d</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c</m:t>
              </m:r>
              <m:ctrlPr>
                <w:rPr>
                  <w:rFonts w:hint="eastAsia" w:ascii="Cambria Math" w:hAnsi="Cambria Math" w:eastAsia="宋体"/>
                  <w:color w:val="000000" w:themeColor="text1"/>
                  <w14:textFill>
                    <w14:solidFill>
                      <w14:schemeClr w14:val="tx1"/>
                    </w14:solidFill>
                  </w14:textFill>
                </w:rPr>
              </m:ctrlPr>
            </m:sub>
          </m:sSub>
          <m:d>
            <m:dPr>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x</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q</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r>
            <m:rPr>
              <m:sty m:val="p"/>
            </m:rPr>
            <w:rPr>
              <w:rFonts w:hint="eastAsia" w:ascii="Cambria Math" w:hAnsi="Cambria Math" w:eastAsia="宋体"/>
              <w:color w:val="000000" w:themeColor="text1"/>
              <w14:textFill>
                <w14:solidFill>
                  <w14:schemeClr w14:val="tx1"/>
                </w14:solidFill>
              </w14:textFill>
            </w:rPr>
            <m:t>=</m:t>
          </m:r>
          <m:func>
            <m:funcPr>
              <m:ctrlPr>
                <w:rPr>
                  <w:rFonts w:hint="eastAsia" w:ascii="Cambria Math" w:hAnsi="Cambria Math" w:eastAsia="宋体"/>
                  <w:color w:val="000000" w:themeColor="text1"/>
                  <w14:textFill>
                    <w14:solidFill>
                      <w14:schemeClr w14:val="tx1"/>
                    </w14:solidFill>
                  </w14:textFill>
                </w:rPr>
              </m:ctrlPr>
            </m:funcPr>
            <m:fName>
              <m:limLow>
                <m:limLowPr>
                  <m:ctrlPr>
                    <w:rPr>
                      <w:rFonts w:hint="eastAsia" w:ascii="Cambria Math" w:hAnsi="Cambria Math" w:eastAsia="宋体"/>
                      <w:color w:val="000000" w:themeColor="text1"/>
                      <w14:textFill>
                        <w14:solidFill>
                          <w14:schemeClr w14:val="tx1"/>
                        </w14:solidFill>
                      </w14:textFill>
                    </w:rPr>
                  </m:ctrlPr>
                </m:limLowPr>
                <m:e>
                  <m:r>
                    <m:rPr>
                      <m:sty m:val="p"/>
                    </m:rPr>
                    <w:rPr>
                      <w:rFonts w:hint="eastAsia" w:ascii="Cambria Math" w:hAnsi="Cambria Math" w:eastAsia="宋体"/>
                      <w:color w:val="000000" w:themeColor="text1"/>
                      <w14:textFill>
                        <w14:solidFill>
                          <w14:schemeClr w14:val="tx1"/>
                        </w14:solidFill>
                      </w14:textFill>
                    </w:rPr>
                    <m:t>min</m:t>
                  </m:r>
                  <m:ctrlPr>
                    <w:rPr>
                      <w:rFonts w:hint="eastAsia" w:ascii="Cambria Math" w:hAnsi="Cambria Math" w:eastAsia="宋体"/>
                      <w:color w:val="000000" w:themeColor="text1"/>
                      <w14:textFill>
                        <w14:solidFill>
                          <w14:schemeClr w14:val="tx1"/>
                        </w14:solidFill>
                      </w14:textFill>
                    </w:rPr>
                  </m:ctrlPr>
                </m:e>
                <m:lim>
                  <m:r>
                    <m:rPr>
                      <m:sty m:val="p"/>
                    </m:rPr>
                    <w:rPr>
                      <w:rFonts w:hint="eastAsia" w:ascii="Cambria Math" w:hAnsi="Cambria Math" w:eastAsia="宋体"/>
                      <w:color w:val="000000" w:themeColor="text1"/>
                      <w14:textFill>
                        <w14:solidFill>
                          <w14:schemeClr w14:val="tx1"/>
                        </w14:solidFill>
                      </w14:textFill>
                    </w:rPr>
                    <m:t>1≤k≤3</m:t>
                  </m:r>
                  <m:ctrlPr>
                    <w:rPr>
                      <w:rFonts w:hint="eastAsia" w:ascii="Cambria Math" w:hAnsi="Cambria Math" w:eastAsia="宋体"/>
                      <w:color w:val="000000" w:themeColor="text1"/>
                      <w14:textFill>
                        <w14:solidFill>
                          <w14:schemeClr w14:val="tx1"/>
                        </w14:solidFill>
                      </w14:textFill>
                    </w:rPr>
                  </m:ctrlPr>
                </m:lim>
              </m:limLow>
              <m:ctrlPr>
                <w:rPr>
                  <w:rFonts w:hint="eastAsia" w:ascii="Cambria Math" w:hAnsi="Cambria Math" w:eastAsia="宋体"/>
                  <w:color w:val="000000" w:themeColor="text1"/>
                  <w14:textFill>
                    <w14:solidFill>
                      <w14:schemeClr w14:val="tx1"/>
                    </w14:solidFill>
                  </w14:textFill>
                </w:rPr>
              </m:ctrlPr>
            </m:fName>
            <m:e>
              <m:sSub>
                <m:sSubPr>
                  <m:ctrlPr>
                    <w:rPr>
                      <w:rFonts w:hint="eastAsia" w:ascii="Cambria Math" w:hAnsi="Cambria Math" w:eastAsia="宋体"/>
                      <w:color w:val="000000" w:themeColor="text1"/>
                      <w14:textFill>
                        <w14:solidFill>
                          <w14:schemeClr w14:val="tx1"/>
                        </w14:solidFill>
                      </w14:textFill>
                    </w:rPr>
                  </m:ctrlPr>
                </m:sSubPr>
                <m:e>
                  <m:d>
                    <m:dPr>
                      <m:begChr m:val="‖"/>
                      <m:endChr m:val=""/>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x</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q</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r>
                    <m:rPr>
                      <m:sty m:val="p"/>
                    </m:rPr>
                    <w:rPr>
                      <w:rFonts w:hint="eastAsia" w:ascii="Cambria Math" w:hAnsi="Cambria Math" w:eastAsia="宋体"/>
                      <w:color w:val="000000" w:themeColor="text1"/>
                      <w14:textFill>
                        <w14:solidFill>
                          <w14:schemeClr w14:val="tx1"/>
                        </w14:solidFill>
                      </w14:textFill>
                    </w:rPr>
                    <m:t>−</m:t>
                  </m:r>
                  <m:d>
                    <m:dPr>
                      <m:begChr m:val=""/>
                      <m:endChr m:val="‖"/>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μ</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c,k</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2</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func>
          <m:r>
            <w:rPr>
              <w:rFonts w:hint="eastAsia" w:ascii="Cambria Math" w:hAnsi="Cambria Math" w:eastAsia="宋体"/>
              <w:color w:val="000000" w:themeColor="text1"/>
              <w14:textFill>
                <w14:solidFill>
                  <w14:schemeClr w14:val="tx1"/>
                </w14:solidFill>
              </w14:textFill>
            </w:rPr>
            <w:br w:type="textWrapping"/>
          </m:r>
        </m:oMath>
      </m:oMathPara>
      <w:r>
        <w:rPr>
          <w:rFonts w:hint="eastAsia" w:ascii="宋体" w:hAnsi="宋体" w:eastAsia="宋体"/>
          <w:color w:val="000000" w:themeColor="text1"/>
          <w14:textFill>
            <w14:solidFill>
              <w14:schemeClr w14:val="tx1"/>
            </w14:solidFill>
          </w14:textFill>
        </w:rPr>
        <w:t>并将负距离作为分类</w:t>
      </w:r>
      <w:r>
        <w:rPr>
          <w:rFonts w:eastAsia="宋体" w:cs="Times New Roman"/>
          <w:color w:val="000000" w:themeColor="text1"/>
          <w14:textFill>
            <w14:solidFill>
              <w14:schemeClr w14:val="tx1"/>
            </w14:solidFill>
          </w14:textFill>
        </w:rPr>
        <w:t>logits</w:t>
      </w:r>
      <w:r>
        <w:rPr>
          <w:rFonts w:hint="eastAsia" w:ascii="宋体" w:hAnsi="宋体" w:eastAsia="宋体"/>
          <w:color w:val="000000" w:themeColor="text1"/>
          <w14:textFill>
            <w14:solidFill>
              <w14:schemeClr w14:val="tx1"/>
            </w14:solidFill>
          </w14:textFill>
        </w:rPr>
        <w:t>：</w:t>
      </w:r>
      <w:r>
        <w:rPr>
          <w:rFonts w:hint="eastAsia" w:ascii="宋体" w:hAnsi="宋体" w:eastAsia="宋体"/>
          <w:color w:val="000000" w:themeColor="text1"/>
          <w14:textFill>
            <w14:solidFill>
              <w14:schemeClr w14:val="tx1"/>
            </w14:solidFill>
          </w14:textFill>
        </w:rPr>
        <w:br w:type="textWrapping"/>
      </w:r>
      <m:oMathPara>
        <m:oMath>
          <m:sSub>
            <m:sSubPr>
              <m:ctrlPr>
                <w:rPr>
                  <w:rFonts w:hint="eastAsia" w:ascii="Cambria Math" w:hAnsi="Cambria Math" w:eastAsia="宋体"/>
                  <w:color w:val="000000" w:themeColor="text1"/>
                  <w14:textFill>
                    <w14:solidFill>
                      <w14:schemeClr w14:val="tx1"/>
                    </w14:solidFill>
                  </w14:textFill>
                </w:rPr>
              </m:ctrlPr>
            </m:sSubPr>
            <m:e>
              <m:r>
                <m:rPr>
                  <m:sty m:val="p"/>
                  <m:scr m:val="script"/>
                </m:rPr>
                <w:rPr>
                  <w:rFonts w:ascii="Cambria Math" w:hAnsi="Cambria Math"/>
                  <w:color w:val="000000" w:themeColor="text1"/>
                  <w14:textFill>
                    <w14:solidFill>
                      <w14:schemeClr w14:val="tx1"/>
                    </w14:solidFill>
                  </w14:textFill>
                </w:rPr>
                <m:t>l</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c</m:t>
              </m:r>
              <m:ctrlPr>
                <w:rPr>
                  <w:rFonts w:hint="eastAsia" w:ascii="Cambria Math" w:hAnsi="Cambria Math" w:eastAsia="宋体"/>
                  <w:color w:val="000000" w:themeColor="text1"/>
                  <w14:textFill>
                    <w14:solidFill>
                      <w14:schemeClr w14:val="tx1"/>
                    </w14:solidFill>
                  </w14:textFill>
                </w:rPr>
              </m:ctrlPr>
            </m:sub>
          </m:sSub>
          <m:d>
            <m:dPr>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x</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q</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r>
            <m:rPr>
              <m:sty m:val="p"/>
            </m:rPr>
            <w:rPr>
              <w:rFonts w:hint="eastAsia" w:ascii="Cambria Math" w:hAnsi="Cambria Math" w:eastAsia="宋体"/>
              <w:color w:val="000000" w:themeColor="text1"/>
              <w14:textFill>
                <w14:solidFill>
                  <w14:schemeClr w14:val="tx1"/>
                </w14:solidFill>
              </w14:textFill>
            </w:rPr>
            <m:t>=−</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d</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c</m:t>
              </m:r>
              <m:ctrlPr>
                <w:rPr>
                  <w:rFonts w:hint="eastAsia" w:ascii="Cambria Math" w:hAnsi="Cambria Math" w:eastAsia="宋体"/>
                  <w:color w:val="000000" w:themeColor="text1"/>
                  <w14:textFill>
                    <w14:solidFill>
                      <w14:schemeClr w14:val="tx1"/>
                    </w14:solidFill>
                  </w14:textFill>
                </w:rPr>
              </m:ctrlPr>
            </m:sub>
          </m:sSub>
          <m:d>
            <m:dPr>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x</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q</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r>
            <w:rPr>
              <w:rFonts w:hint="eastAsia" w:ascii="Cambria Math" w:hAnsi="Cambria Math" w:eastAsia="宋体"/>
              <w:color w:val="000000" w:themeColor="text1"/>
              <w14:textFill>
                <w14:solidFill>
                  <w14:schemeClr w14:val="tx1"/>
                </w14:solidFill>
              </w14:textFill>
            </w:rPr>
            <w:br w:type="textWrapping"/>
          </m:r>
        </m:oMath>
      </m:oMathPara>
      <w:r>
        <w:rPr>
          <w:rFonts w:hint="eastAsia" w:ascii="宋体" w:hAnsi="宋体" w:eastAsia="宋体"/>
          <w:color w:val="000000" w:themeColor="text1"/>
          <w14:textFill>
            <w14:solidFill>
              <w14:schemeClr w14:val="tx1"/>
            </w14:solidFill>
          </w14:textFill>
        </w:rPr>
        <w:t>最终损失采用加权交叉熵：</w:t>
      </w:r>
      <w:r>
        <w:rPr>
          <w:rFonts w:hint="eastAsia" w:ascii="宋体" w:hAnsi="宋体" w:eastAsia="宋体"/>
          <w:color w:val="000000" w:themeColor="text1"/>
          <w14:textFill>
            <w14:solidFill>
              <w14:schemeClr w14:val="tx1"/>
            </w14:solidFill>
          </w14:textFill>
        </w:rPr>
        <w:br w:type="textWrapping"/>
      </w:r>
      <m:oMathPara>
        <m:oMath>
          <m:sSub>
            <m:sSubPr>
              <m:ctrlPr>
                <w:rPr>
                  <w:rFonts w:hint="eastAsia" w:ascii="Cambria Math" w:hAnsi="Cambria Math" w:eastAsia="宋体"/>
                  <w:color w:val="000000" w:themeColor="text1"/>
                  <w14:textFill>
                    <w14:solidFill>
                      <w14:schemeClr w14:val="tx1"/>
                    </w14:solidFill>
                  </w14:textFill>
                </w:rPr>
              </m:ctrlPr>
            </m:sSubPr>
            <m:e>
              <m:r>
                <m:rPr>
                  <m:sty m:val="p"/>
                  <m:scr m:val="script"/>
                </m:rPr>
                <w:rPr>
                  <w:rFonts w:ascii="Cambria Math" w:hAnsi="Cambria Math"/>
                  <w:color w:val="000000" w:themeColor="text1"/>
                  <w14:textFill>
                    <w14:solidFill>
                      <w14:schemeClr w14:val="tx1"/>
                    </w14:solidFill>
                  </w14:textFill>
                </w:rPr>
                <m:t>ℒ</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proto</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nary>
            <m:naryPr>
              <m:chr m:val="∑"/>
              <m:limLoc m:val="undOvr"/>
              <m:ctrlPr>
                <w:rPr>
                  <w:rFonts w:hint="eastAsia" w:ascii="Cambria Math" w:hAnsi="Cambria Math" w:eastAsia="宋体"/>
                  <w:color w:val="000000" w:themeColor="text1"/>
                  <w14:textFill>
                    <w14:solidFill>
                      <w14:schemeClr w14:val="tx1"/>
                    </w14:solidFill>
                  </w14:textFill>
                </w:rPr>
              </m:ctrlPr>
            </m:naryPr>
            <m:sub>
              <m:r>
                <m:rPr>
                  <m:sty m:val="p"/>
                </m:rPr>
                <w:rPr>
                  <w:rFonts w:hint="eastAsia" w:ascii="Cambria Math" w:hAnsi="Cambria Math" w:eastAsia="宋体"/>
                  <w:color w:val="000000" w:themeColor="text1"/>
                  <w14:textFill>
                    <w14:solidFill>
                      <w14:schemeClr w14:val="tx1"/>
                    </w14:solidFill>
                  </w14:textFill>
                </w:rPr>
                <m:t>c=1</m:t>
              </m:r>
              <m:ctrlPr>
                <w:rPr>
                  <w:rFonts w:hint="eastAsia" w:ascii="Cambria Math" w:hAnsi="Cambria Math" w:eastAsia="宋体"/>
                  <w:color w:val="000000" w:themeColor="text1"/>
                  <w14:textFill>
                    <w14:solidFill>
                      <w14:schemeClr w14:val="tx1"/>
                    </w14:solidFill>
                  </w14:textFill>
                </w:rPr>
              </m:ctrlPr>
            </m:sub>
            <m:sup>
              <m:r>
                <m:rPr>
                  <m:sty m:val="p"/>
                </m:rPr>
                <w:rPr>
                  <w:rFonts w:hint="eastAsia" w:ascii="Cambria Math" w:hAnsi="Cambria Math" w:eastAsia="宋体"/>
                  <w:color w:val="000000" w:themeColor="text1"/>
                  <w14:textFill>
                    <w14:solidFill>
                      <w14:schemeClr w14:val="tx1"/>
                    </w14:solidFill>
                  </w14:textFill>
                </w:rPr>
                <m:t>C</m:t>
              </m:r>
              <m:ctrlPr>
                <w:rPr>
                  <w:rFonts w:hint="eastAsia" w:ascii="Cambria Math" w:hAnsi="Cambria Math" w:eastAsia="宋体"/>
                  <w:color w:val="000000" w:themeColor="text1"/>
                  <w14:textFill>
                    <w14:solidFill>
                      <w14:schemeClr w14:val="tx1"/>
                    </w14:solidFill>
                  </w14:textFill>
                </w:rPr>
              </m:ctrlPr>
            </m:sup>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ω</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c</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1</m:t>
              </m:r>
              <m:d>
                <m:dPr>
                  <m:begChr m:val="{"/>
                  <m:endChr m:val="}"/>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y</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q</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=c</m:t>
                  </m:r>
                  <m:ctrlPr>
                    <w:rPr>
                      <w:rFonts w:hint="eastAsia" w:ascii="Cambria Math" w:hAnsi="Cambria Math" w:eastAsia="宋体"/>
                      <w:color w:val="000000" w:themeColor="text1"/>
                      <w14:textFill>
                        <w14:solidFill>
                          <w14:schemeClr w14:val="tx1"/>
                        </w14:solidFill>
                      </w14:textFill>
                    </w:rPr>
                  </m:ctrlPr>
                </m:e>
              </m:d>
              <m:ctrlPr>
                <w:rPr>
                  <w:rFonts w:hint="eastAsia" w:ascii="Cambria Math" w:hAnsi="Cambria Math" w:eastAsia="宋体"/>
                  <w:color w:val="000000" w:themeColor="text1"/>
                  <w14:textFill>
                    <w14:solidFill>
                      <w14:schemeClr w14:val="tx1"/>
                    </w14:solidFill>
                  </w14:textFill>
                </w:rPr>
              </m:ctrlPr>
            </m:e>
          </m:nary>
          <m:d>
            <m:dPr>
              <m:begChr m:val="["/>
              <m:endChr m:val="]"/>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scr m:val="script"/>
                    </m:rPr>
                    <w:rPr>
                      <w:rFonts w:ascii="Cambria Math" w:hAnsi="Cambria Math"/>
                      <w:color w:val="000000" w:themeColor="text1"/>
                      <w14:textFill>
                        <w14:solidFill>
                          <w14:schemeClr w14:val="tx1"/>
                        </w14:solidFill>
                      </w14:textFill>
                    </w:rPr>
                    <m:t>l</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c</m:t>
                  </m:r>
                  <m:ctrlPr>
                    <w:rPr>
                      <w:rFonts w:hint="eastAsia" w:ascii="Cambria Math" w:hAnsi="Cambria Math" w:eastAsia="宋体"/>
                      <w:color w:val="000000" w:themeColor="text1"/>
                      <w14:textFill>
                        <w14:solidFill>
                          <w14:schemeClr w14:val="tx1"/>
                        </w14:solidFill>
                      </w14:textFill>
                    </w:rPr>
                  </m:ctrlPr>
                </m:sub>
              </m:sSub>
              <m:d>
                <m:dPr>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x</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q</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r>
                <m:rPr>
                  <m:sty m:val="p"/>
                </m:rPr>
                <w:rPr>
                  <w:rFonts w:hint="eastAsia" w:ascii="Cambria Math" w:hAnsi="Cambria Math" w:eastAsia="宋体"/>
                  <w:color w:val="000000" w:themeColor="text1"/>
                  <w14:textFill>
                    <w14:solidFill>
                      <w14:schemeClr w14:val="tx1"/>
                    </w14:solidFill>
                  </w14:textFill>
                </w:rPr>
                <m:t>−</m:t>
              </m:r>
              <m:func>
                <m:funcPr>
                  <m:ctrlPr>
                    <w:rPr>
                      <w:rFonts w:hint="eastAsia" w:ascii="Cambria Math" w:hAnsi="Cambria Math" w:eastAsia="宋体"/>
                      <w:color w:val="000000" w:themeColor="text1"/>
                      <w14:textFill>
                        <w14:solidFill>
                          <w14:schemeClr w14:val="tx1"/>
                        </w14:solidFill>
                      </w14:textFill>
                    </w:rPr>
                  </m:ctrlPr>
                </m:funcPr>
                <m:fName>
                  <m:r>
                    <m:rPr>
                      <m:sty m:val="p"/>
                    </m:rPr>
                    <w:rPr>
                      <w:rFonts w:hint="eastAsia" w:ascii="Cambria Math" w:hAnsi="Cambria Math" w:eastAsia="宋体"/>
                      <w:color w:val="000000" w:themeColor="text1"/>
                      <w14:textFill>
                        <w14:solidFill>
                          <w14:schemeClr w14:val="tx1"/>
                        </w14:solidFill>
                      </w14:textFill>
                    </w:rPr>
                    <m:t>log</m:t>
                  </m:r>
                  <m:ctrlPr>
                    <w:rPr>
                      <w:rFonts w:hint="eastAsia" w:ascii="Cambria Math" w:hAnsi="Cambria Math" w:eastAsia="宋体"/>
                      <w:color w:val="000000" w:themeColor="text1"/>
                      <w14:textFill>
                        <w14:solidFill>
                          <w14:schemeClr w14:val="tx1"/>
                        </w14:solidFill>
                      </w14:textFill>
                    </w:rPr>
                  </m:ctrlPr>
                </m:fName>
                <m:e>
                  <m:nary>
                    <m:naryPr>
                      <m:chr m:val="∑"/>
                      <m:limLoc m:val="undOvr"/>
                      <m:ctrlPr>
                        <w:rPr>
                          <w:rFonts w:hint="eastAsia" w:ascii="Cambria Math" w:hAnsi="Cambria Math" w:eastAsia="宋体"/>
                          <w:color w:val="000000" w:themeColor="text1"/>
                          <w14:textFill>
                            <w14:solidFill>
                              <w14:schemeClr w14:val="tx1"/>
                            </w14:solidFill>
                          </w14:textFill>
                        </w:rPr>
                      </m:ctrlPr>
                    </m:naryPr>
                    <m:sub>
                      <m:r>
                        <m:rPr>
                          <m:sty m:val="p"/>
                        </m:rPr>
                        <w:rPr>
                          <w:rFonts w:hint="eastAsia" w:ascii="Cambria Math" w:hAnsi="Cambria Math" w:eastAsia="宋体"/>
                          <w:color w:val="000000" w:themeColor="text1"/>
                          <w14:textFill>
                            <w14:solidFill>
                              <w14:schemeClr w14:val="tx1"/>
                            </w14:solidFill>
                          </w14:textFill>
                        </w:rPr>
                        <m:t>j=1</m:t>
                      </m:r>
                      <m:ctrlPr>
                        <w:rPr>
                          <w:rFonts w:hint="eastAsia" w:ascii="Cambria Math" w:hAnsi="Cambria Math" w:eastAsia="宋体"/>
                          <w:color w:val="000000" w:themeColor="text1"/>
                          <w14:textFill>
                            <w14:solidFill>
                              <w14:schemeClr w14:val="tx1"/>
                            </w14:solidFill>
                          </w14:textFill>
                        </w:rPr>
                      </m:ctrlPr>
                    </m:sub>
                    <m:sup>
                      <m:r>
                        <m:rPr>
                          <m:sty m:val="p"/>
                        </m:rPr>
                        <w:rPr>
                          <w:rFonts w:hint="eastAsia" w:ascii="Cambria Math" w:hAnsi="Cambria Math" w:eastAsia="宋体"/>
                          <w:color w:val="000000" w:themeColor="text1"/>
                          <w14:textFill>
                            <w14:solidFill>
                              <w14:schemeClr w14:val="tx1"/>
                            </w14:solidFill>
                          </w14:textFill>
                        </w:rPr>
                        <m:t>C</m:t>
                      </m:r>
                      <m:ctrlPr>
                        <w:rPr>
                          <w:rFonts w:hint="eastAsia" w:ascii="Cambria Math" w:hAnsi="Cambria Math" w:eastAsia="宋体"/>
                          <w:color w:val="000000" w:themeColor="text1"/>
                          <w14:textFill>
                            <w14:solidFill>
                              <w14:schemeClr w14:val="tx1"/>
                            </w14:solidFill>
                          </w14:textFill>
                        </w:rPr>
                      </m:ctrlPr>
                    </m:sup>
                    <m:e>
                      <m:sSup>
                        <m:sSupPr>
                          <m:ctrlPr>
                            <w:rPr>
                              <w:rFonts w:hint="eastAsia" w:ascii="Cambria Math" w:hAnsi="Cambria Math" w:eastAsia="宋体"/>
                              <w:color w:val="000000" w:themeColor="text1"/>
                              <w14:textFill>
                                <w14:solidFill>
                                  <w14:schemeClr w14:val="tx1"/>
                                </w14:solidFill>
                              </w14:textFill>
                            </w:rPr>
                          </m:ctrlPr>
                        </m:sSupPr>
                        <m:e>
                          <m:r>
                            <m:rPr>
                              <m:sty m:val="p"/>
                            </m:rPr>
                            <w:rPr>
                              <w:rFonts w:hint="eastAsia" w:ascii="Cambria Math" w:hAnsi="Cambria Math" w:eastAsia="宋体"/>
                              <w:color w:val="000000" w:themeColor="text1"/>
                              <w14:textFill>
                                <w14:solidFill>
                                  <w14:schemeClr w14:val="tx1"/>
                                </w14:solidFill>
                              </w14:textFill>
                            </w:rPr>
                            <m:t>e</m:t>
                          </m:r>
                          <m:ctrlPr>
                            <w:rPr>
                              <w:rFonts w:hint="eastAsia" w:ascii="Cambria Math" w:hAnsi="Cambria Math" w:eastAsia="宋体"/>
                              <w:color w:val="000000" w:themeColor="text1"/>
                              <w14:textFill>
                                <w14:solidFill>
                                  <w14:schemeClr w14:val="tx1"/>
                                </w14:solidFill>
                              </w14:textFill>
                            </w:rPr>
                          </m:ctrlPr>
                        </m:e>
                        <m:sup>
                          <m:sSub>
                            <m:sSubPr>
                              <m:ctrlPr>
                                <w:rPr>
                                  <w:rFonts w:hint="eastAsia" w:ascii="Cambria Math" w:hAnsi="Cambria Math" w:eastAsia="宋体"/>
                                  <w:color w:val="000000" w:themeColor="text1"/>
                                  <w14:textFill>
                                    <w14:solidFill>
                                      <w14:schemeClr w14:val="tx1"/>
                                    </w14:solidFill>
                                  </w14:textFill>
                                </w:rPr>
                              </m:ctrlPr>
                            </m:sSubPr>
                            <m:e>
                              <m:r>
                                <m:rPr>
                                  <m:sty m:val="p"/>
                                  <m:scr m:val="script"/>
                                </m:rPr>
                                <w:rPr>
                                  <w:rFonts w:ascii="Cambria Math" w:hAnsi="Cambria Math"/>
                                  <w:color w:val="000000" w:themeColor="text1"/>
                                  <w14:textFill>
                                    <w14:solidFill>
                                      <w14:schemeClr w14:val="tx1"/>
                                    </w14:solidFill>
                                  </w14:textFill>
                                </w:rPr>
                                <m:t>l</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j</m:t>
                              </m:r>
                              <m:ctrlPr>
                                <w:rPr>
                                  <w:rFonts w:hint="eastAsia" w:ascii="Cambria Math" w:hAnsi="Cambria Math" w:eastAsia="宋体"/>
                                  <w:color w:val="000000" w:themeColor="text1"/>
                                  <w14:textFill>
                                    <w14:solidFill>
                                      <w14:schemeClr w14:val="tx1"/>
                                    </w14:solidFill>
                                  </w14:textFill>
                                </w:rPr>
                              </m:ctrlPr>
                            </m:sub>
                          </m:sSub>
                          <m:d>
                            <m:dPr>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x</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q</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ctrlPr>
                            <w:rPr>
                              <w:rFonts w:hint="eastAsia" w:ascii="Cambria Math" w:hAnsi="Cambria Math" w:eastAsia="宋体"/>
                              <w:color w:val="000000" w:themeColor="text1"/>
                              <w14:textFill>
                                <w14:solidFill>
                                  <w14:schemeClr w14:val="tx1"/>
                                </w14:solidFill>
                              </w14:textFill>
                            </w:rPr>
                          </m:ctrlPr>
                        </m:sup>
                      </m:sSup>
                      <m:ctrlPr>
                        <w:rPr>
                          <w:rFonts w:hint="eastAsia" w:ascii="Cambria Math" w:hAnsi="Cambria Math" w:eastAsia="宋体"/>
                          <w:color w:val="000000" w:themeColor="text1"/>
                          <w14:textFill>
                            <w14:solidFill>
                              <w14:schemeClr w14:val="tx1"/>
                            </w14:solidFill>
                          </w14:textFill>
                        </w:rPr>
                      </m:ctrlPr>
                    </m:e>
                  </m:nary>
                  <m:ctrlPr>
                    <w:rPr>
                      <w:rFonts w:hint="eastAsia" w:ascii="Cambria Math" w:hAnsi="Cambria Math" w:eastAsia="宋体"/>
                      <w:color w:val="000000" w:themeColor="text1"/>
                      <w14:textFill>
                        <w14:solidFill>
                          <w14:schemeClr w14:val="tx1"/>
                        </w14:solidFill>
                      </w14:textFill>
                    </w:rPr>
                  </m:ctrlPr>
                </m:e>
              </m:func>
              <m:ctrlPr>
                <w:rPr>
                  <w:rFonts w:hint="eastAsia" w:ascii="Cambria Math" w:hAnsi="Cambria Math" w:eastAsia="宋体"/>
                  <w:color w:val="000000" w:themeColor="text1"/>
                  <w14:textFill>
                    <w14:solidFill>
                      <w14:schemeClr w14:val="tx1"/>
                    </w14:solidFill>
                  </w14:textFill>
                </w:rPr>
              </m:ctrlPr>
            </m:e>
          </m:d>
        </m:oMath>
      </m:oMathPara>
    </w:p>
    <w:p w14:paraId="61DDEAC3">
      <w:pPr>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其中</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ω</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c</m:t>
            </m:r>
            <m:ctrlPr>
              <w:rPr>
                <w:rFonts w:hint="eastAsia" w:ascii="Cambria Math" w:hAnsi="Cambria Math" w:eastAsia="宋体"/>
                <w:color w:val="000000" w:themeColor="text1"/>
                <w14:textFill>
                  <w14:solidFill>
                    <w14:schemeClr w14:val="tx1"/>
                  </w14:solidFill>
                </w14:textFill>
              </w:rPr>
            </m:ctrlPr>
          </m:sub>
        </m:sSub>
      </m:oMath>
      <w:r>
        <w:rPr>
          <w:rFonts w:hint="eastAsia" w:ascii="宋体" w:hAnsi="宋体" w:eastAsia="宋体"/>
          <w:color w:val="000000" w:themeColor="text1"/>
          <w14:textFill>
            <w14:solidFill>
              <w14:schemeClr w14:val="tx1"/>
            </w14:solidFill>
          </w14:textFill>
        </w:rPr>
        <w:t>依据类别频次设定，以缓解正负类不平衡。</w:t>
      </w:r>
    </w:p>
    <w:p w14:paraId="5E77C1E7">
      <w:pPr>
        <w:rPr>
          <w:rFonts w:hint="eastAsia" w:ascii="宋体" w:hAnsi="宋体" w:eastAsia="宋体"/>
          <w:b/>
          <w:bCs/>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从原理上看，多原型方法等价于对每个类别的类条件分布</w:t>
      </w:r>
      <m:oMath>
        <m:r>
          <m:rPr>
            <m:sty m:val="p"/>
          </m:rPr>
          <w:rPr>
            <w:rFonts w:hint="eastAsia" w:ascii="Cambria Math" w:hAnsi="Cambria Math" w:eastAsia="宋体"/>
            <w:color w:val="000000" w:themeColor="text1"/>
            <w14:textFill>
              <w14:solidFill>
                <w14:schemeClr w14:val="tx1"/>
              </w14:solidFill>
            </w14:textFill>
          </w:rPr>
          <m:t>p</m:t>
        </m:r>
        <m:d>
          <m:dPr>
            <m:ctrlPr>
              <w:rPr>
                <w:rFonts w:hint="eastAsia" w:ascii="Cambria Math" w:hAnsi="Cambria Math" w:eastAsia="宋体"/>
                <w:color w:val="000000" w:themeColor="text1"/>
                <w14:textFill>
                  <w14:solidFill>
                    <w14:schemeClr w14:val="tx1"/>
                  </w14:solidFill>
                </w14:textFill>
              </w:rPr>
            </m:ctrlPr>
          </m:dPr>
          <m:e>
            <m:r>
              <m:rPr>
                <m:sty m:val="p"/>
              </m:rPr>
              <w:rPr>
                <w:rFonts w:hint="eastAsia" w:ascii="Cambria Math" w:hAnsi="Cambria Math" w:eastAsia="宋体"/>
                <w:color w:val="000000" w:themeColor="text1"/>
                <w14:textFill>
                  <w14:solidFill>
                    <w14:schemeClr w14:val="tx1"/>
                  </w14:solidFill>
                </w14:textFill>
              </w:rPr>
              <m:t>x</m:t>
            </m:r>
            <m:ctrlPr>
              <w:rPr>
                <w:rFonts w:hint="eastAsia" w:ascii="Cambria Math" w:hAnsi="Cambria Math" w:eastAsia="宋体"/>
                <w:color w:val="000000" w:themeColor="text1"/>
                <w14:textFill>
                  <w14:solidFill>
                    <w14:schemeClr w14:val="tx1"/>
                  </w14:solidFill>
                </w14:textFill>
              </w:rPr>
            </m:ctrlPr>
          </m:e>
          <m:e>
            <m:r>
              <m:rPr>
                <m:sty m:val="p"/>
              </m:rPr>
              <w:rPr>
                <w:rFonts w:hint="eastAsia" w:ascii="Cambria Math" w:hAnsi="Cambria Math" w:eastAsia="宋体"/>
                <w:color w:val="000000" w:themeColor="text1"/>
                <w14:textFill>
                  <w14:solidFill>
                    <w14:schemeClr w14:val="tx1"/>
                  </w14:solidFill>
                </w14:textFill>
              </w:rPr>
              <m:t>y=c</m:t>
            </m:r>
            <m:ctrlPr>
              <w:rPr>
                <w:rFonts w:hint="eastAsia" w:ascii="Cambria Math" w:hAnsi="Cambria Math" w:eastAsia="宋体"/>
                <w:color w:val="000000" w:themeColor="text1"/>
                <w14:textFill>
                  <w14:solidFill>
                    <w14:schemeClr w14:val="tx1"/>
                  </w14:solidFill>
                </w14:textFill>
              </w:rPr>
            </m:ctrlPr>
          </m:e>
        </m:d>
      </m:oMath>
      <w:r>
        <w:rPr>
          <w:rFonts w:hint="eastAsia" w:ascii="宋体" w:hAnsi="宋体" w:eastAsia="宋体"/>
          <w:color w:val="000000" w:themeColor="text1"/>
          <w14:textFill>
            <w14:solidFill>
              <w14:schemeClr w14:val="tx1"/>
            </w14:solidFill>
          </w14:textFill>
        </w:rPr>
        <w:t>进行多峰</w:t>
      </w:r>
      <w:r>
        <w:rPr>
          <w:rFonts w:eastAsia="宋体" w:cs="Times New Roman"/>
          <w:color w:val="000000" w:themeColor="text1"/>
          <w14:textFill>
            <w14:solidFill>
              <w14:schemeClr w14:val="tx1"/>
            </w14:solidFill>
          </w14:textFill>
        </w:rPr>
        <w:t>（mixture）</w:t>
      </w:r>
      <w:r>
        <w:rPr>
          <w:rFonts w:hint="eastAsia" w:ascii="宋体" w:hAnsi="宋体" w:eastAsia="宋体"/>
          <w:color w:val="000000" w:themeColor="text1"/>
          <w14:textFill>
            <w14:solidFill>
              <w14:schemeClr w14:val="tx1"/>
            </w14:solidFill>
          </w14:textFill>
        </w:rPr>
        <w:t>近似，即每个原型</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μ</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c,k</m:t>
            </m:r>
            <m:ctrlPr>
              <w:rPr>
                <w:rFonts w:hint="eastAsia" w:ascii="Cambria Math" w:hAnsi="Cambria Math" w:eastAsia="宋体"/>
                <w:color w:val="000000" w:themeColor="text1"/>
                <w14:textFill>
                  <w14:solidFill>
                    <w14:schemeClr w14:val="tx1"/>
                  </w14:solidFill>
                </w14:textFill>
              </w:rPr>
            </m:ctrlPr>
          </m:sub>
        </m:sSub>
      </m:oMath>
      <w:r>
        <w:rPr>
          <w:rFonts w:hint="eastAsia" w:ascii="宋体" w:hAnsi="宋体" w:eastAsia="宋体"/>
          <w:color w:val="000000" w:themeColor="text1"/>
          <w14:textFill>
            <w14:solidFill>
              <w14:schemeClr w14:val="tx1"/>
            </w14:solidFill>
          </w14:textFill>
        </w:rPr>
        <w:t>对应一个高密度子群。查询时选择最近的子群中心，能够捕捉类别内部的多模态结构，</w:t>
      </w:r>
      <w:r>
        <w:rPr>
          <w:rFonts w:hint="eastAsia" w:ascii="宋体" w:hAnsi="宋体" w:eastAsia="宋体"/>
          <w:color w:val="000000" w:themeColor="text1"/>
          <w14:textFill>
            <w14:solidFill>
              <w14:schemeClr w14:val="tx1"/>
            </w14:solidFill>
          </w14:textFill>
        </w:rPr>
        <w:t>进而形成由Voronoi区域构成的分段决策边界</w:t>
      </w:r>
      <w:r>
        <w:rPr>
          <w:rFonts w:hint="eastAsia" w:ascii="宋体" w:hAnsi="宋体" w:eastAsia="宋体"/>
          <w:color w:val="000000" w:themeColor="text1"/>
          <w:vertAlign w:val="superscript"/>
          <w14:textFill>
            <w14:solidFill>
              <w14:schemeClr w14:val="tx1"/>
            </w14:solidFill>
          </w14:textFill>
        </w:rPr>
        <w:fldChar w:fldCharType="begin"/>
      </w:r>
      <w:r>
        <w:rPr>
          <w:rFonts w:hint="eastAsia" w:ascii="宋体" w:hAnsi="宋体" w:eastAsia="宋体"/>
          <w:color w:val="000000" w:themeColor="text1"/>
          <w:vertAlign w:val="superscript"/>
          <w14:textFill>
            <w14:solidFill>
              <w14:schemeClr w14:val="tx1"/>
            </w14:solidFill>
          </w14:textFill>
        </w:rPr>
        <w:instrText xml:space="preserve"> REF _Ref10105 \r \h </w:instrText>
      </w:r>
      <w:r>
        <w:rPr>
          <w:rFonts w:hint="eastAsia" w:ascii="宋体" w:hAnsi="宋体" w:eastAsia="宋体"/>
          <w:color w:val="000000" w:themeColor="text1"/>
          <w:vertAlign w:val="superscript"/>
          <w14:textFill>
            <w14:solidFill>
              <w14:schemeClr w14:val="tx1"/>
            </w14:solidFill>
          </w14:textFill>
        </w:rPr>
        <w:fldChar w:fldCharType="separate"/>
      </w:r>
      <w:r>
        <w:rPr>
          <w:rFonts w:hint="eastAsia" w:ascii="宋体" w:hAnsi="宋体" w:eastAsia="宋体"/>
          <w:color w:val="000000" w:themeColor="text1"/>
          <w:vertAlign w:val="superscript"/>
          <w14:textFill>
            <w14:solidFill>
              <w14:schemeClr w14:val="tx1"/>
            </w14:solidFill>
          </w14:textFill>
        </w:rPr>
        <w:t>[40]</w:t>
      </w:r>
      <w:r>
        <w:rPr>
          <w:rFonts w:hint="eastAsia"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w:t>
      </w:r>
      <w:r>
        <w:rPr>
          <w:rFonts w:hint="eastAsia" w:ascii="宋体" w:hAnsi="宋体" w:eastAsia="宋体"/>
          <w:color w:val="000000" w:themeColor="text1"/>
          <w14:textFill>
            <w14:solidFill>
              <w14:schemeClr w14:val="tx1"/>
            </w14:solidFill>
          </w14:textFill>
        </w:rPr>
        <w:t>同时，</w:t>
      </w:r>
      <w:r>
        <w:rPr>
          <w:rFonts w:hint="eastAsia" w:ascii="宋体" w:hAnsi="宋体" w:eastAsia="宋体"/>
          <w:color w:val="000000" w:themeColor="text1"/>
          <w14:textFill>
            <w14:solidFill>
              <w14:schemeClr w14:val="tx1"/>
            </w14:solidFill>
          </w14:textFill>
        </w:rPr>
        <w:t>用最小距离而非均值距离，有效降低了对离群点和噪声的敏感度</w:t>
      </w:r>
      <w:r>
        <w:rPr>
          <w:rFonts w:hint="eastAsia" w:ascii="宋体" w:hAnsi="宋体" w:eastAsia="宋体"/>
          <w:color w:val="000000" w:themeColor="text1"/>
          <w:vertAlign w:val="superscript"/>
          <w14:textFill>
            <w14:solidFill>
              <w14:schemeClr w14:val="tx1"/>
            </w14:solidFill>
          </w14:textFill>
        </w:rPr>
        <w:fldChar w:fldCharType="begin"/>
      </w:r>
      <w:r>
        <w:rPr>
          <w:rFonts w:hint="eastAsia" w:ascii="宋体" w:hAnsi="宋体" w:eastAsia="宋体"/>
          <w:color w:val="000000" w:themeColor="text1"/>
          <w:vertAlign w:val="superscript"/>
          <w14:textFill>
            <w14:solidFill>
              <w14:schemeClr w14:val="tx1"/>
            </w14:solidFill>
          </w14:textFill>
        </w:rPr>
        <w:instrText xml:space="preserve"> REF _Ref11104 \r \h </w:instrText>
      </w:r>
      <w:r>
        <w:rPr>
          <w:rFonts w:hint="eastAsia" w:ascii="宋体" w:hAnsi="宋体" w:eastAsia="宋体"/>
          <w:color w:val="000000" w:themeColor="text1"/>
          <w:vertAlign w:val="superscript"/>
          <w14:textFill>
            <w14:solidFill>
              <w14:schemeClr w14:val="tx1"/>
            </w14:solidFill>
          </w14:textFill>
        </w:rPr>
        <w:fldChar w:fldCharType="separate"/>
      </w:r>
      <w:r>
        <w:rPr>
          <w:rFonts w:hint="eastAsia" w:ascii="宋体" w:hAnsi="宋体" w:eastAsia="宋体"/>
          <w:color w:val="000000" w:themeColor="text1"/>
          <w:vertAlign w:val="superscript"/>
          <w14:textFill>
            <w14:solidFill>
              <w14:schemeClr w14:val="tx1"/>
            </w14:solidFill>
          </w14:textFill>
        </w:rPr>
        <w:t>[45]</w:t>
      </w:r>
      <w:r>
        <w:rPr>
          <w:rFonts w:hint="eastAsia"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w:t>
      </w:r>
    </w:p>
    <w:p w14:paraId="55270F17">
      <w:pPr>
        <w:keepNext w:val="0"/>
        <w:keepLines w:val="0"/>
        <w:pageBreakBefore w:val="0"/>
        <w:widowControl w:val="0"/>
        <w:numPr>
          <w:ilvl w:val="2"/>
          <w:numId w:val="1"/>
        </w:numPr>
        <w:kinsoku/>
        <w:wordWrap/>
        <w:overflowPunct/>
        <w:topLinePunct w:val="0"/>
        <w:autoSpaceDE/>
        <w:autoSpaceDN/>
        <w:bidi w:val="0"/>
        <w:adjustRightInd/>
        <w:snapToGrid/>
        <w:ind w:left="709" w:hanging="709"/>
        <w:textAlignment w:val="auto"/>
        <w:outlineLvl w:val="2"/>
        <w:rPr>
          <w:b/>
          <w:bCs/>
          <w:color w:val="000000" w:themeColor="text1"/>
          <w:sz w:val="28"/>
          <w:szCs w:val="28"/>
          <w14:textFill>
            <w14:solidFill>
              <w14:schemeClr w14:val="tx1"/>
            </w14:solidFill>
          </w14:textFill>
        </w:rPr>
      </w:pPr>
      <w:bookmarkStart w:id="108" w:name="_Toc19998"/>
      <w:bookmarkStart w:id="109" w:name="_Toc25867"/>
      <w:bookmarkStart w:id="110" w:name="_Toc30657"/>
      <w:bookmarkStart w:id="111" w:name="_Toc8759"/>
      <w:bookmarkStart w:id="112" w:name="_Toc19710"/>
      <w:r>
        <w:rPr>
          <w:rFonts w:hint="eastAsia"/>
          <w:b/>
          <w:bCs/>
          <w:color w:val="000000" w:themeColor="text1"/>
          <w:sz w:val="28"/>
          <w:szCs w:val="28"/>
          <w14:textFill>
            <w14:solidFill>
              <w14:schemeClr w14:val="tx1"/>
            </w14:solidFill>
          </w14:textFill>
        </w:rPr>
        <w:t>Anchor对齐损失</w:t>
      </w:r>
      <w:bookmarkEnd w:id="108"/>
      <w:bookmarkEnd w:id="109"/>
      <w:bookmarkEnd w:id="110"/>
      <w:bookmarkEnd w:id="111"/>
      <w:bookmarkEnd w:id="112"/>
    </w:p>
    <w:p w14:paraId="7F3D1C22">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尽管</w:t>
      </w:r>
      <w:r>
        <w:rPr>
          <w:rFonts w:eastAsia="宋体" w:cs="Times New Roman"/>
          <w:color w:val="000000" w:themeColor="text1"/>
          <w14:textFill>
            <w14:solidFill>
              <w14:schemeClr w14:val="tx1"/>
            </w14:solidFill>
          </w14:textFill>
        </w:rPr>
        <w:t xml:space="preserve"> AnchorFeatureGenerator</w:t>
      </w:r>
      <w:r>
        <w:rPr>
          <w:rFonts w:hint="eastAsia" w:ascii="宋体" w:hAnsi="宋体" w:eastAsia="宋体"/>
          <w:color w:val="000000" w:themeColor="text1"/>
          <w14:textFill>
            <w14:solidFill>
              <w14:schemeClr w14:val="tx1"/>
            </w14:solidFill>
          </w14:textFill>
        </w:rPr>
        <w:t>能够生成多样化的伪样本，但如果其特征与真实类别中心</w:t>
      </w:r>
      <w:r>
        <w:rPr>
          <w:rFonts w:eastAsia="宋体" w:cs="Times New Roman"/>
          <w:color w:val="000000" w:themeColor="text1"/>
          <w14:textFill>
            <w14:solidFill>
              <w14:schemeClr w14:val="tx1"/>
            </w14:solidFill>
          </w14:textFill>
        </w:rPr>
        <w:t>（Anchor）</w:t>
      </w:r>
      <w:r>
        <w:rPr>
          <w:rFonts w:hint="eastAsia" w:ascii="宋体" w:hAnsi="宋体" w:eastAsia="宋体"/>
          <w:color w:val="000000" w:themeColor="text1"/>
          <w14:textFill>
            <w14:solidFill>
              <w14:schemeClr w14:val="tx1"/>
            </w14:solidFill>
          </w14:textFill>
        </w:rPr>
        <w:t>语义偏移，则会引入噪声并削弱后续原型学习的效果。为此，我们在训练中引入了</w:t>
      </w:r>
      <w:r>
        <w:rPr>
          <w:rFonts w:eastAsia="宋体" w:cs="Times New Roman"/>
          <w:color w:val="000000" w:themeColor="text1"/>
          <w14:textFill>
            <w14:solidFill>
              <w14:schemeClr w14:val="tx1"/>
            </w14:solidFill>
          </w14:textFill>
        </w:rPr>
        <w:t>Anchor</w:t>
      </w:r>
      <w:r>
        <w:rPr>
          <w:rFonts w:hint="eastAsia" w:ascii="宋体" w:hAnsi="宋体" w:eastAsia="宋体"/>
          <w:color w:val="000000" w:themeColor="text1"/>
          <w14:textFill>
            <w14:solidFill>
              <w14:schemeClr w14:val="tx1"/>
            </w14:solidFill>
          </w14:textFill>
        </w:rPr>
        <w:t>对齐损失，将每个伪样本特征</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f</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t>
            </m:r>
            <m:ctrlPr>
              <w:rPr>
                <w:rFonts w:hint="eastAsia" w:ascii="Cambria Math" w:hAnsi="Cambria Math" w:eastAsia="宋体"/>
                <w:color w:val="000000" w:themeColor="text1"/>
                <w14:textFill>
                  <w14:solidFill>
                    <w14:schemeClr w14:val="tx1"/>
                  </w14:solidFill>
                </w14:textFill>
              </w:rPr>
            </m:ctrlPr>
          </m:sub>
        </m:sSub>
      </m:oMath>
      <w:r>
        <w:rPr>
          <w:rFonts w:hint="eastAsia" w:ascii="宋体" w:hAnsi="宋体" w:eastAsia="宋体"/>
          <w:color w:val="000000" w:themeColor="text1"/>
          <w14:textFill>
            <w14:solidFill>
              <w14:schemeClr w14:val="tx1"/>
            </w14:solidFill>
          </w14:textFill>
        </w:rPr>
        <w:t>与其对应的</w:t>
      </w:r>
      <w:r>
        <w:rPr>
          <w:rFonts w:eastAsia="宋体" w:cs="Times New Roman"/>
          <w:color w:val="000000" w:themeColor="text1"/>
          <w14:textFill>
            <w14:solidFill>
              <w14:schemeClr w14:val="tx1"/>
            </w14:solidFill>
          </w14:textFill>
        </w:rPr>
        <w:t>SwAV</w:t>
      </w:r>
      <w:r>
        <w:rPr>
          <w:rFonts w:hint="eastAsia" w:ascii="宋体" w:hAnsi="宋体" w:eastAsia="宋体"/>
          <w:color w:val="000000" w:themeColor="text1"/>
          <w14:textFill>
            <w14:solidFill>
              <w14:schemeClr w14:val="tx1"/>
            </w14:solidFill>
          </w14:textFill>
        </w:rPr>
        <w:t>预训练</w:t>
      </w:r>
      <w:r>
        <w:rPr>
          <w:rFonts w:eastAsia="宋体" w:cs="Times New Roman"/>
          <w:color w:val="000000" w:themeColor="text1"/>
          <w14:textFill>
            <w14:solidFill>
              <w14:schemeClr w14:val="tx1"/>
            </w14:solidFill>
          </w14:textFill>
        </w:rPr>
        <w:t>Anchor</w:t>
      </w:r>
      <w:r>
        <w:rPr>
          <w:rFonts w:hint="eastAsia" w:ascii="宋体" w:hAnsi="宋体" w:eastAsia="宋体"/>
          <w:color w:val="000000" w:themeColor="text1"/>
          <w14:textFill>
            <w14:solidFill>
              <w14:schemeClr w14:val="tx1"/>
            </w14:solidFill>
          </w14:textFill>
        </w:rPr>
        <w:t>向量</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a</m:t>
            </m:r>
            <m:ctrlPr>
              <w:rPr>
                <w:rFonts w:hint="eastAsia" w:ascii="Cambria Math" w:hAnsi="Cambria Math" w:eastAsia="宋体"/>
                <w:color w:val="000000" w:themeColor="text1"/>
                <w14:textFill>
                  <w14:solidFill>
                    <w14:schemeClr w14:val="tx1"/>
                  </w14:solidFill>
                </w14:textFill>
              </w:rPr>
            </m:ctrlPr>
          </m:e>
          <m:sub>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j</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sub>
        </m:sSub>
      </m:oMath>
      <w:r>
        <w:rPr>
          <w:rFonts w:hint="eastAsia" w:ascii="宋体" w:hAnsi="宋体" w:eastAsia="宋体"/>
          <w:color w:val="000000" w:themeColor="text1"/>
          <w14:textFill>
            <w14:solidFill>
              <w14:schemeClr w14:val="tx1"/>
            </w14:solidFill>
          </w14:textFill>
        </w:rPr>
        <w:t>进行余弦相似度约束：</w:t>
      </w:r>
      <w:r>
        <w:rPr>
          <w:rFonts w:hint="eastAsia" w:ascii="宋体" w:hAnsi="宋体" w:eastAsia="宋体"/>
          <w:color w:val="000000" w:themeColor="text1"/>
          <w14:textFill>
            <w14:solidFill>
              <w14:schemeClr w14:val="tx1"/>
            </w14:solidFill>
          </w14:textFill>
        </w:rPr>
        <w:br w:type="textWrapping"/>
      </w:r>
      <m:oMathPara>
        <m:oMath>
          <m:sSub>
            <m:sSubPr>
              <m:ctrlPr>
                <w:rPr>
                  <w:rFonts w:hint="eastAsia" w:ascii="Cambria Math" w:hAnsi="Cambria Math" w:eastAsia="宋体"/>
                  <w:color w:val="000000" w:themeColor="text1"/>
                  <w14:textFill>
                    <w14:solidFill>
                      <w14:schemeClr w14:val="tx1"/>
                    </w14:solidFill>
                  </w14:textFill>
                </w:rPr>
              </m:ctrlPr>
            </m:sSubPr>
            <m:e>
              <m:r>
                <m:rPr>
                  <m:sty m:val="p"/>
                  <m:scr m:val="script"/>
                </m:rPr>
                <w:rPr>
                  <w:rFonts w:ascii="Cambria Math" w:hAnsi="Cambria Math"/>
                  <w:color w:val="000000" w:themeColor="text1"/>
                  <w14:textFill>
                    <w14:solidFill>
                      <w14:schemeClr w14:val="tx1"/>
                    </w14:solidFill>
                  </w14:textFill>
                </w:rPr>
                <m:t>ℒ</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align</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=1−</m:t>
          </m:r>
          <m:f>
            <m:fPr>
              <m:ctrlPr>
                <w:rPr>
                  <w:rFonts w:hint="eastAsia" w:ascii="Cambria Math" w:hAnsi="Cambria Math" w:eastAsia="宋体"/>
                  <w:color w:val="000000" w:themeColor="text1"/>
                  <w14:textFill>
                    <w14:solidFill>
                      <w14:schemeClr w14:val="tx1"/>
                    </w14:solidFill>
                  </w14:textFill>
                </w:rPr>
              </m:ctrlPr>
            </m:fPr>
            <m:num>
              <m:r>
                <m:rPr>
                  <m:sty m:val="p"/>
                </m:rPr>
                <w:rPr>
                  <w:rFonts w:hint="eastAsia" w:ascii="Cambria Math" w:hAnsi="Cambria Math" w:eastAsia="宋体"/>
                  <w:color w:val="000000" w:themeColor="text1"/>
                  <w14:textFill>
                    <w14:solidFill>
                      <w14:schemeClr w14:val="tx1"/>
                    </w14:solidFill>
                  </w14:textFill>
                </w:rPr>
                <m:t>1</m:t>
              </m:r>
              <m:ctrlPr>
                <w:rPr>
                  <w:rFonts w:hint="eastAsia" w:ascii="Cambria Math" w:hAnsi="Cambria Math" w:eastAsia="宋体"/>
                  <w:color w:val="000000" w:themeColor="text1"/>
                  <w14:textFill>
                    <w14:solidFill>
                      <w14:schemeClr w14:val="tx1"/>
                    </w14:solidFill>
                  </w14:textFill>
                </w:rPr>
              </m:ctrlPr>
            </m:num>
            <m:den>
              <m:r>
                <m:rPr>
                  <m:sty m:val="p"/>
                </m:rPr>
                <w:rPr>
                  <w:rFonts w:hint="eastAsia" w:ascii="Cambria Math" w:hAnsi="Cambria Math" w:eastAsia="宋体"/>
                  <w:color w:val="000000" w:themeColor="text1"/>
                  <w14:textFill>
                    <w14:solidFill>
                      <w14:schemeClr w14:val="tx1"/>
                    </w14:solidFill>
                  </w14:textFill>
                </w:rPr>
                <m:t>N</m:t>
              </m:r>
              <m:ctrlPr>
                <w:rPr>
                  <w:rFonts w:hint="eastAsia" w:ascii="Cambria Math" w:hAnsi="Cambria Math" w:eastAsia="宋体"/>
                  <w:color w:val="000000" w:themeColor="text1"/>
                  <w14:textFill>
                    <w14:solidFill>
                      <w14:schemeClr w14:val="tx1"/>
                    </w14:solidFill>
                  </w14:textFill>
                </w:rPr>
              </m:ctrlPr>
            </m:den>
          </m:f>
          <m:nary>
            <m:naryPr>
              <m:chr m:val="∑"/>
              <m:limLoc m:val="undOvr"/>
              <m:ctrlPr>
                <w:rPr>
                  <w:rFonts w:hint="eastAsia" w:ascii="Cambria Math" w:hAnsi="Cambria Math" w:eastAsia="宋体"/>
                  <w:color w:val="000000" w:themeColor="text1"/>
                  <w14:textFill>
                    <w14:solidFill>
                      <w14:schemeClr w14:val="tx1"/>
                    </w14:solidFill>
                  </w14:textFill>
                </w:rPr>
              </m:ctrlPr>
            </m:naryPr>
            <m:sub>
              <m:r>
                <m:rPr>
                  <m:sty m:val="p"/>
                </m:rPr>
                <w:rPr>
                  <w:rFonts w:hint="eastAsia" w:ascii="Cambria Math" w:hAnsi="Cambria Math" w:eastAsia="宋体"/>
                  <w:color w:val="000000" w:themeColor="text1"/>
                  <w14:textFill>
                    <w14:solidFill>
                      <w14:schemeClr w14:val="tx1"/>
                    </w14:solidFill>
                  </w14:textFill>
                </w:rPr>
                <m:t>i=1</m:t>
              </m:r>
              <m:ctrlPr>
                <w:rPr>
                  <w:rFonts w:hint="eastAsia" w:ascii="Cambria Math" w:hAnsi="Cambria Math" w:eastAsia="宋体"/>
                  <w:color w:val="000000" w:themeColor="text1"/>
                  <w14:textFill>
                    <w14:solidFill>
                      <w14:schemeClr w14:val="tx1"/>
                    </w14:solidFill>
                  </w14:textFill>
                </w:rPr>
              </m:ctrlPr>
            </m:sub>
            <m:sup>
              <m:r>
                <m:rPr>
                  <m:sty m:val="p"/>
                </m:rPr>
                <w:rPr>
                  <w:rFonts w:hint="eastAsia" w:ascii="Cambria Math" w:hAnsi="Cambria Math" w:eastAsia="宋体"/>
                  <w:color w:val="000000" w:themeColor="text1"/>
                  <w14:textFill>
                    <w14:solidFill>
                      <w14:schemeClr w14:val="tx1"/>
                    </w14:solidFill>
                  </w14:textFill>
                </w:rPr>
                <m:t>N</m:t>
              </m:r>
              <m:ctrlPr>
                <w:rPr>
                  <w:rFonts w:hint="eastAsia" w:ascii="Cambria Math" w:hAnsi="Cambria Math" w:eastAsia="宋体"/>
                  <w:color w:val="000000" w:themeColor="text1"/>
                  <w14:textFill>
                    <w14:solidFill>
                      <w14:schemeClr w14:val="tx1"/>
                    </w14:solidFill>
                  </w14:textFill>
                </w:rPr>
              </m:ctrlPr>
            </m:sup>
            <m:e>
              <m:f>
                <m:fPr>
                  <m:ctrlPr>
                    <w:rPr>
                      <w:rFonts w:hint="eastAsia" w:ascii="Cambria Math" w:hAnsi="Cambria Math" w:eastAsia="宋体"/>
                      <w:color w:val="000000" w:themeColor="text1"/>
                      <w14:textFill>
                        <w14:solidFill>
                          <w14:schemeClr w14:val="tx1"/>
                        </w14:solidFill>
                      </w14:textFill>
                    </w:rPr>
                  </m:ctrlPr>
                </m:fPr>
                <m:num>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f</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a</m:t>
                      </m:r>
                      <m:ctrlPr>
                        <w:rPr>
                          <w:rFonts w:hint="eastAsia" w:ascii="Cambria Math" w:hAnsi="Cambria Math" w:eastAsia="宋体"/>
                          <w:color w:val="000000" w:themeColor="text1"/>
                          <w14:textFill>
                            <w14:solidFill>
                              <w14:schemeClr w14:val="tx1"/>
                            </w14:solidFill>
                          </w14:textFill>
                        </w:rPr>
                      </m:ctrlPr>
                    </m:e>
                    <m:sub>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y</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num>
                <m:den>
                  <m:sSub>
                    <m:sSubPr>
                      <m:ctrlPr>
                        <w:rPr>
                          <w:rFonts w:hint="eastAsia" w:ascii="Cambria Math" w:hAnsi="Cambria Math" w:eastAsia="宋体"/>
                          <w:color w:val="000000" w:themeColor="text1"/>
                          <w14:textFill>
                            <w14:solidFill>
                              <w14:schemeClr w14:val="tx1"/>
                            </w14:solidFill>
                          </w14:textFill>
                        </w:rPr>
                      </m:ctrlPr>
                    </m:sSubPr>
                    <m:e>
                      <m:d>
                        <m:dPr>
                          <m:begChr m:val="‖"/>
                          <m:endChr m:val="‖"/>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f</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2</m:t>
                      </m:r>
                      <m:ctrlPr>
                        <w:rPr>
                          <w:rFonts w:hint="eastAsia" w:ascii="Cambria Math" w:hAnsi="Cambria Math" w:eastAsia="宋体"/>
                          <w:color w:val="000000" w:themeColor="text1"/>
                          <w14:textFill>
                            <w14:solidFill>
                              <w14:schemeClr w14:val="tx1"/>
                            </w14:solidFill>
                          </w14:textFill>
                        </w:rPr>
                      </m:ctrlPr>
                    </m:sub>
                  </m:sSub>
                  <m:sSub>
                    <m:sSubPr>
                      <m:ctrlPr>
                        <w:rPr>
                          <w:rFonts w:hint="eastAsia" w:ascii="Cambria Math" w:hAnsi="Cambria Math" w:eastAsia="宋体"/>
                          <w:color w:val="000000" w:themeColor="text1"/>
                          <w14:textFill>
                            <w14:solidFill>
                              <w14:schemeClr w14:val="tx1"/>
                            </w14:solidFill>
                          </w14:textFill>
                        </w:rPr>
                      </m:ctrlPr>
                    </m:sSubPr>
                    <m:e>
                      <m:d>
                        <m:dPr>
                          <m:begChr m:val="‖"/>
                          <m:endChr m:val="‖"/>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a</m:t>
                              </m:r>
                              <m:ctrlPr>
                                <w:rPr>
                                  <w:rFonts w:hint="eastAsia" w:ascii="Cambria Math" w:hAnsi="Cambria Math" w:eastAsia="宋体"/>
                                  <w:color w:val="000000" w:themeColor="text1"/>
                                  <w14:textFill>
                                    <w14:solidFill>
                                      <w14:schemeClr w14:val="tx1"/>
                                    </w14:solidFill>
                                  </w14:textFill>
                                </w:rPr>
                              </m:ctrlPr>
                            </m:e>
                            <m:sub>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y</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2</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den>
              </m:f>
              <m:ctrlPr>
                <w:rPr>
                  <w:rFonts w:hint="eastAsia" w:ascii="Cambria Math" w:hAnsi="Cambria Math" w:eastAsia="宋体"/>
                  <w:color w:val="000000" w:themeColor="text1"/>
                  <w14:textFill>
                    <w14:solidFill>
                      <w14:schemeClr w14:val="tx1"/>
                    </w14:solidFill>
                  </w14:textFill>
                </w:rPr>
              </m:ctrlPr>
            </m:e>
          </m:nary>
        </m:oMath>
      </m:oMathPara>
    </w:p>
    <w:p w14:paraId="73B1D6E4">
      <w:pPr>
        <w:rPr>
          <w:b/>
          <w:bCs/>
          <w:color w:val="000000" w:themeColor="text1"/>
          <w:sz w:val="28"/>
          <w:szCs w:val="28"/>
          <w14:textFill>
            <w14:solidFill>
              <w14:schemeClr w14:val="tx1"/>
            </w14:solidFill>
          </w14:textFill>
        </w:rPr>
      </w:pPr>
      <w:r>
        <w:rPr>
          <w:rFonts w:hint="eastAsia" w:ascii="宋体" w:hAnsi="宋体" w:eastAsia="宋体"/>
          <w:color w:val="000000" w:themeColor="text1"/>
          <w14:textFill>
            <w14:solidFill>
              <w14:schemeClr w14:val="tx1"/>
            </w14:solidFill>
          </w14:textFill>
        </w:rPr>
        <w:t>其中N为伪样本总数，标签</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y</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t>
            </m:r>
            <m:ctrlPr>
              <w:rPr>
                <w:rFonts w:hint="eastAsia" w:ascii="Cambria Math" w:hAnsi="Cambria Math" w:eastAsia="宋体"/>
                <w:color w:val="000000" w:themeColor="text1"/>
                <w14:textFill>
                  <w14:solidFill>
                    <w14:schemeClr w14:val="tx1"/>
                  </w14:solidFill>
                </w14:textFill>
              </w:rPr>
            </m:ctrlPr>
          </m:sub>
        </m:sSub>
      </m:oMath>
      <w:r>
        <w:rPr>
          <w:rFonts w:hint="eastAsia" w:ascii="宋体" w:hAnsi="宋体" w:eastAsia="宋体"/>
          <w:color w:val="000000" w:themeColor="text1"/>
          <w14:textFill>
            <w14:solidFill>
              <w14:schemeClr w14:val="tx1"/>
            </w14:solidFill>
          </w14:textFill>
        </w:rPr>
        <w:t>对应其应聚集的类别中心。该对齐策略直接在特征空间中对生成样本施加语义一致性约束，</w:t>
      </w:r>
      <w:r>
        <w:rPr>
          <w:rFonts w:hint="eastAsia" w:ascii="宋体" w:hAnsi="宋体" w:eastAsia="宋体"/>
          <w:color w:val="000000" w:themeColor="text1"/>
          <w14:textFill>
            <w14:solidFill>
              <w14:schemeClr w14:val="tx1"/>
            </w14:solidFill>
          </w14:textFill>
        </w:rPr>
        <w:t>显著减少了伪样本与真实分布之间的漂移，并提升了伪样本在后续原型构建中的有效性</w:t>
      </w:r>
      <w:r>
        <w:rPr>
          <w:rFonts w:hint="eastAsia" w:ascii="宋体" w:hAnsi="宋体" w:eastAsia="宋体"/>
          <w:color w:val="000000" w:themeColor="text1"/>
          <w:vertAlign w:val="superscript"/>
          <w14:textFill>
            <w14:solidFill>
              <w14:schemeClr w14:val="tx1"/>
            </w14:solidFill>
          </w14:textFill>
        </w:rPr>
        <w:fldChar w:fldCharType="begin"/>
      </w:r>
      <w:r>
        <w:rPr>
          <w:rFonts w:hint="eastAsia" w:ascii="宋体" w:hAnsi="宋体" w:eastAsia="宋体"/>
          <w:color w:val="000000" w:themeColor="text1"/>
          <w:vertAlign w:val="superscript"/>
          <w14:textFill>
            <w14:solidFill>
              <w14:schemeClr w14:val="tx1"/>
            </w14:solidFill>
          </w14:textFill>
        </w:rPr>
        <w:instrText xml:space="preserve"> REF _Ref1707 \r \h </w:instrText>
      </w:r>
      <w:r>
        <w:rPr>
          <w:rFonts w:hint="eastAsia" w:ascii="宋体" w:hAnsi="宋体" w:eastAsia="宋体"/>
          <w:color w:val="000000" w:themeColor="text1"/>
          <w:vertAlign w:val="superscript"/>
          <w14:textFill>
            <w14:solidFill>
              <w14:schemeClr w14:val="tx1"/>
            </w14:solidFill>
          </w14:textFill>
        </w:rPr>
        <w:fldChar w:fldCharType="separate"/>
      </w:r>
      <w:r>
        <w:rPr>
          <w:rFonts w:hint="eastAsia" w:ascii="宋体" w:hAnsi="宋体" w:eastAsia="宋体"/>
          <w:color w:val="000000" w:themeColor="text1"/>
          <w:vertAlign w:val="superscript"/>
          <w14:textFill>
            <w14:solidFill>
              <w14:schemeClr w14:val="tx1"/>
            </w14:solidFill>
          </w14:textFill>
        </w:rPr>
        <w:t>[46]</w:t>
      </w:r>
      <w:r>
        <w:rPr>
          <w:rFonts w:hint="eastAsia"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vertAlign w:val="superscript"/>
          <w14:textFill>
            <w14:solidFill>
              <w14:schemeClr w14:val="tx1"/>
            </w14:solidFill>
          </w14:textFill>
        </w:rPr>
        <w:fldChar w:fldCharType="begin"/>
      </w:r>
      <w:r>
        <w:rPr>
          <w:rFonts w:hint="eastAsia" w:ascii="宋体" w:hAnsi="宋体" w:eastAsia="宋体"/>
          <w:color w:val="000000" w:themeColor="text1"/>
          <w:vertAlign w:val="superscript"/>
          <w14:textFill>
            <w14:solidFill>
              <w14:schemeClr w14:val="tx1"/>
            </w14:solidFill>
          </w14:textFill>
        </w:rPr>
        <w:instrText xml:space="preserve"> REF _Ref11388 \r \h </w:instrText>
      </w:r>
      <w:r>
        <w:rPr>
          <w:rFonts w:hint="eastAsia" w:ascii="宋体" w:hAnsi="宋体" w:eastAsia="宋体"/>
          <w:color w:val="000000" w:themeColor="text1"/>
          <w:vertAlign w:val="superscript"/>
          <w14:textFill>
            <w14:solidFill>
              <w14:schemeClr w14:val="tx1"/>
            </w14:solidFill>
          </w14:textFill>
        </w:rPr>
        <w:fldChar w:fldCharType="separate"/>
      </w:r>
      <w:r>
        <w:rPr>
          <w:rFonts w:hint="eastAsia" w:ascii="宋体" w:hAnsi="宋体" w:eastAsia="宋体"/>
          <w:color w:val="000000" w:themeColor="text1"/>
          <w:vertAlign w:val="superscript"/>
          <w14:textFill>
            <w14:solidFill>
              <w14:schemeClr w14:val="tx1"/>
            </w14:solidFill>
          </w14:textFill>
        </w:rPr>
        <w:t>[47]</w:t>
      </w:r>
      <w:r>
        <w:rPr>
          <w:rFonts w:hint="eastAsia"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。与基于对抗训练的域对齐方法相比，本方法计算简单且可与多原型分类无缝集成，同时通过直接优化余弦相似度保持了特征角度信息，有助于提升特征嵌入的判别性。</w:t>
      </w:r>
    </w:p>
    <w:p w14:paraId="5B80A31E">
      <w:pPr>
        <w:keepNext w:val="0"/>
        <w:keepLines w:val="0"/>
        <w:pageBreakBefore w:val="0"/>
        <w:widowControl w:val="0"/>
        <w:numPr>
          <w:ilvl w:val="2"/>
          <w:numId w:val="1"/>
        </w:numPr>
        <w:kinsoku/>
        <w:wordWrap/>
        <w:overflowPunct/>
        <w:topLinePunct w:val="0"/>
        <w:autoSpaceDE/>
        <w:autoSpaceDN/>
        <w:bidi w:val="0"/>
        <w:adjustRightInd/>
        <w:snapToGrid/>
        <w:ind w:left="709" w:hanging="709"/>
        <w:textAlignment w:val="auto"/>
        <w:outlineLvl w:val="2"/>
        <w:rPr>
          <w:b/>
          <w:bCs/>
          <w:color w:val="000000" w:themeColor="text1"/>
          <w:sz w:val="28"/>
          <w:szCs w:val="28"/>
          <w14:textFill>
            <w14:solidFill>
              <w14:schemeClr w14:val="tx1"/>
            </w14:solidFill>
          </w14:textFill>
        </w:rPr>
      </w:pPr>
      <w:bookmarkStart w:id="113" w:name="_Toc2767"/>
      <w:bookmarkStart w:id="114" w:name="_Toc9391"/>
      <w:bookmarkStart w:id="115" w:name="_Toc11870"/>
      <w:bookmarkStart w:id="116" w:name="_Toc3969"/>
      <w:bookmarkStart w:id="117" w:name="_Toc9012"/>
      <w:r>
        <w:rPr>
          <w:rFonts w:hint="eastAsia"/>
          <w:b/>
          <w:bCs/>
          <w:color w:val="000000" w:themeColor="text1"/>
          <w:sz w:val="28"/>
          <w:szCs w:val="28"/>
          <w14:textFill>
            <w14:solidFill>
              <w14:schemeClr w14:val="tx1"/>
            </w14:solidFill>
          </w14:textFill>
        </w:rPr>
        <w:t>Batch-Hard三元组损失</w:t>
      </w:r>
      <w:bookmarkEnd w:id="113"/>
      <w:bookmarkEnd w:id="114"/>
      <w:bookmarkEnd w:id="115"/>
      <w:bookmarkEnd w:id="116"/>
      <w:bookmarkEnd w:id="117"/>
    </w:p>
    <w:p w14:paraId="6DE27034">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为了进一步细化特征空间的类别边界，我们采用了</w:t>
      </w:r>
      <w:r>
        <w:rPr>
          <w:rFonts w:eastAsia="宋体" w:cs="Times New Roman"/>
          <w:color w:val="000000" w:themeColor="text1"/>
          <w14:textFill>
            <w14:solidFill>
              <w14:schemeClr w14:val="tx1"/>
            </w14:solidFill>
          </w14:textFill>
        </w:rPr>
        <w:t>“Batch-Hard”</w:t>
      </w:r>
      <w:r>
        <w:rPr>
          <w:rFonts w:hint="eastAsia" w:ascii="宋体" w:hAnsi="宋体" w:eastAsia="宋体"/>
          <w:color w:val="000000" w:themeColor="text1"/>
          <w14:textFill>
            <w14:solidFill>
              <w14:schemeClr w14:val="tx1"/>
            </w14:solidFill>
          </w14:textFill>
        </w:rPr>
        <w:t>三元组损失，该方法仅在每个</w:t>
      </w:r>
      <w:r>
        <w:rPr>
          <w:rFonts w:eastAsia="宋体" w:cs="Times New Roman"/>
          <w:color w:val="000000" w:themeColor="text1"/>
          <w14:textFill>
            <w14:solidFill>
              <w14:schemeClr w14:val="tx1"/>
            </w14:solidFill>
          </w14:textFill>
        </w:rPr>
        <w:t>mini_batch</w:t>
      </w:r>
      <w:r>
        <w:rPr>
          <w:rFonts w:hint="eastAsia" w:ascii="宋体" w:hAnsi="宋体" w:eastAsia="宋体"/>
          <w:color w:val="000000" w:themeColor="text1"/>
          <w14:textFill>
            <w14:solidFill>
              <w14:schemeClr w14:val="tx1"/>
            </w14:solidFill>
          </w14:textFill>
        </w:rPr>
        <w:t>内自动选择最具判别意义的正/负样本对进行优化。首先计算一个批次内所有嵌入向量两两之间的欧氏距离矩阵</w:t>
      </w:r>
      <m:oMath>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D</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ij</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b>
          <m:sSubPr>
            <m:ctrlPr>
              <w:rPr>
                <w:rFonts w:hint="eastAsia" w:ascii="Cambria Math" w:hAnsi="Cambria Math" w:eastAsia="宋体"/>
                <w:color w:val="000000" w:themeColor="text1"/>
                <w14:textFill>
                  <w14:solidFill>
                    <w14:schemeClr w14:val="tx1"/>
                  </w14:solidFill>
                </w14:textFill>
              </w:rPr>
            </m:ctrlPr>
          </m:sSubPr>
          <m:e>
            <m:d>
              <m:dPr>
                <m:begChr m:val="‖"/>
                <m:endChr m:val=""/>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e</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ctrlPr>
                  <w:rPr>
                    <w:rFonts w:hint="eastAsia" w:ascii="Cambria Math" w:hAnsi="Cambria Math" w:eastAsia="宋体"/>
                    <w:color w:val="000000" w:themeColor="text1"/>
                    <w14:textFill>
                      <w14:solidFill>
                        <w14:schemeClr w14:val="tx1"/>
                      </w14:solidFill>
                    </w14:textFill>
                  </w:rPr>
                </m:ctrlPr>
              </m:e>
            </m:d>
            <m:d>
              <m:dPr>
                <m:begChr m:val=""/>
                <m:endChr m:val="‖"/>
                <m:ctrlPr>
                  <w:rPr>
                    <w:rFonts w:hint="eastAsia" w:ascii="Cambria Math" w:hAnsi="Cambria Math" w:eastAsia="宋体"/>
                    <w:color w:val="000000" w:themeColor="text1"/>
                    <w14:textFill>
                      <w14:solidFill>
                        <w14:schemeClr w14:val="tx1"/>
                      </w14:solidFill>
                    </w14:textFill>
                  </w:rPr>
                </m:ctrlPr>
              </m:dPr>
              <m:e>
                <m:sSub>
                  <m:sSubPr>
                    <m:ctrlPr>
                      <w:rPr>
                        <w:rFonts w:hint="eastAsia" w:ascii="Cambria Math" w:hAnsi="Cambria Math" w:eastAsia="宋体"/>
                        <w:color w:val="000000" w:themeColor="text1"/>
                        <w14:textFill>
                          <w14:solidFill>
                            <w14:schemeClr w14:val="tx1"/>
                          </w14:solidFill>
                        </w14:textFill>
                      </w:rPr>
                    </m:ctrlPr>
                  </m:sSubPr>
                  <m:e>
                    <m:r>
                      <m:rPr>
                        <m:sty m:val="p"/>
                      </m:rPr>
                      <w:rPr>
                        <w:rFonts w:hint="eastAsia" w:ascii="Cambria Math" w:hAnsi="Cambria Math" w:eastAsia="宋体"/>
                        <w:color w:val="000000" w:themeColor="text1"/>
                        <w14:textFill>
                          <w14:solidFill>
                            <w14:schemeClr w14:val="tx1"/>
                          </w14:solidFill>
                        </w14:textFill>
                      </w:rPr>
                      <m:t>e</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j</m:t>
                    </m:r>
                    <m:ctrlPr>
                      <w:rPr>
                        <w:rFonts w:hint="eastAsia" w:ascii="Cambria Math" w:hAnsi="Cambria Math" w:eastAsia="宋体"/>
                        <w:color w:val="000000" w:themeColor="text1"/>
                        <w14:textFill>
                          <w14:solidFill>
                            <w14:schemeClr w14:val="tx1"/>
                          </w14:solidFill>
                        </w14:textFill>
                      </w:rPr>
                    </m:ctrlPr>
                  </m:sub>
                </m:sSub>
                <m:ctrlPr>
                  <w:rPr>
                    <w:rFonts w:hint="eastAsia" w:ascii="Cambria Math" w:hAnsi="Cambria Math" w:eastAsia="宋体"/>
                    <w:color w:val="000000" w:themeColor="text1"/>
                    <w14:textFill>
                      <w14:solidFill>
                        <w14:schemeClr w14:val="tx1"/>
                      </w14:solidFill>
                    </w14:textFill>
                  </w:rPr>
                </m:ctrlPr>
              </m:e>
            </m:d>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2</m:t>
            </m:r>
            <m:ctrlPr>
              <w:rPr>
                <w:rFonts w:hint="eastAsia" w:ascii="Cambria Math" w:hAnsi="Cambria Math" w:eastAsia="宋体"/>
                <w:color w:val="000000" w:themeColor="text1"/>
                <w14:textFill>
                  <w14:solidFill>
                    <w14:schemeClr w14:val="tx1"/>
                  </w14:solidFill>
                </w14:textFill>
              </w:rPr>
            </m:ctrlPr>
          </m:sub>
        </m:sSub>
      </m:oMath>
      <w:r>
        <w:rPr>
          <w:rFonts w:hint="eastAsia" w:ascii="宋体" w:hAnsi="宋体" w:eastAsia="宋体"/>
          <w:color w:val="000000" w:themeColor="text1"/>
          <w14:textFill>
            <w14:solidFill>
              <w14:schemeClr w14:val="tx1"/>
            </w14:solidFill>
          </w14:textFill>
        </w:rPr>
        <w:t>，然后对每个样本</w:t>
      </w:r>
      <m:oMath>
        <m:r>
          <m:rPr>
            <m:sty m:val="p"/>
          </m:rPr>
          <w:rPr>
            <w:rFonts w:hint="eastAsia" w:ascii="Cambria Math" w:hAnsi="Cambria Math" w:eastAsia="宋体"/>
            <w:color w:val="000000" w:themeColor="text1"/>
            <w14:textFill>
              <w14:solidFill>
                <w14:schemeClr w14:val="tx1"/>
              </w14:solidFill>
            </w14:textFill>
          </w:rPr>
          <m:t>i</m:t>
        </m:r>
      </m:oMath>
      <w:r>
        <w:rPr>
          <w:rFonts w:hint="eastAsia" w:ascii="宋体" w:hAnsi="宋体" w:eastAsia="宋体"/>
          <w:color w:val="000000" w:themeColor="text1"/>
          <w14:textFill>
            <w14:solidFill>
              <w14:schemeClr w14:val="tx1"/>
            </w14:solidFill>
          </w14:textFill>
        </w:rPr>
        <w:t>选取同标签样本中距离最大的“最难正样本”</w:t>
      </w:r>
      <m:oMath>
        <m:sSubSup>
          <m:sSubSupPr>
            <m:ctrlPr>
              <w:rPr>
                <w:rFonts w:hint="eastAsia" w:ascii="Cambria Math" w:hAnsi="Cambria Math" w:eastAsia="宋体"/>
                <w:color w:val="000000" w:themeColor="text1"/>
                <w14:textFill>
                  <w14:solidFill>
                    <w14:schemeClr w14:val="tx1"/>
                  </w14:solidFill>
                </w14:textFill>
              </w:rPr>
            </m:ctrlPr>
          </m:sSubSupPr>
          <m:e>
            <m:r>
              <m:rPr>
                <m:sty m:val="p"/>
              </m:rPr>
              <w:rPr>
                <w:rFonts w:hint="eastAsia" w:ascii="Cambria Math" w:hAnsi="Cambria Math" w:eastAsia="宋体"/>
                <w:color w:val="000000" w:themeColor="text1"/>
                <w14:textFill>
                  <w14:solidFill>
                    <w14:schemeClr w14:val="tx1"/>
                  </w14:solidFill>
                </w14:textFill>
              </w:rPr>
              <m:t>d</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t>
            </m:r>
            <m:ctrlPr>
              <w:rPr>
                <w:rFonts w:hint="eastAsia" w:ascii="Cambria Math" w:hAnsi="Cambria Math" w:eastAsia="宋体"/>
                <w:color w:val="000000" w:themeColor="text1"/>
                <w14:textFill>
                  <w14:solidFill>
                    <w14:schemeClr w14:val="tx1"/>
                  </w14:solidFill>
                </w14:textFill>
              </w:rPr>
            </m:ctrlPr>
          </m:sub>
          <m:sup>
            <m:r>
              <m:rPr>
                <m:sty m:val="p"/>
              </m:rPr>
              <w:rPr>
                <w:rFonts w:hint="eastAsia" w:ascii="Cambria Math" w:hAnsi="Cambria Math" w:eastAsia="宋体"/>
                <w:color w:val="000000" w:themeColor="text1"/>
                <w14:textFill>
                  <w14:solidFill>
                    <w14:schemeClr w14:val="tx1"/>
                  </w14:solidFill>
                </w14:textFill>
              </w:rPr>
              <m:t>pos</m:t>
            </m:r>
            <m:ctrlPr>
              <w:rPr>
                <w:rFonts w:hint="eastAsia" w:ascii="Cambria Math" w:hAnsi="Cambria Math" w:eastAsia="宋体"/>
                <w:color w:val="000000" w:themeColor="text1"/>
                <w14:textFill>
                  <w14:solidFill>
                    <w14:schemeClr w14:val="tx1"/>
                  </w14:solidFill>
                </w14:textFill>
              </w:rPr>
            </m:ctrlPr>
          </m:sup>
        </m:sSubSup>
      </m:oMath>
      <w:r>
        <w:rPr>
          <w:rFonts w:hint="eastAsia" w:ascii="宋体" w:hAnsi="宋体" w:eastAsia="宋体"/>
          <w:color w:val="000000" w:themeColor="text1"/>
          <w14:textFill>
            <w14:solidFill>
              <w14:schemeClr w14:val="tx1"/>
            </w14:solidFill>
          </w14:textFill>
        </w:rPr>
        <w:t>与异标签样本中距离最小的“最难负样本”</w:t>
      </w:r>
      <m:oMath>
        <m:sSubSup>
          <m:sSubSupPr>
            <m:ctrlPr>
              <w:rPr>
                <w:rFonts w:hint="eastAsia" w:ascii="Cambria Math" w:hAnsi="Cambria Math" w:eastAsia="宋体"/>
                <w:color w:val="000000" w:themeColor="text1"/>
                <w14:textFill>
                  <w14:solidFill>
                    <w14:schemeClr w14:val="tx1"/>
                  </w14:solidFill>
                </w14:textFill>
              </w:rPr>
            </m:ctrlPr>
          </m:sSubSupPr>
          <m:e>
            <m:r>
              <m:rPr>
                <m:sty m:val="p"/>
              </m:rPr>
              <w:rPr>
                <w:rFonts w:hint="eastAsia" w:ascii="Cambria Math" w:hAnsi="Cambria Math" w:eastAsia="宋体"/>
                <w:color w:val="000000" w:themeColor="text1"/>
                <w14:textFill>
                  <w14:solidFill>
                    <w14:schemeClr w14:val="tx1"/>
                  </w14:solidFill>
                </w14:textFill>
              </w:rPr>
              <m:t>d</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t>
            </m:r>
            <m:ctrlPr>
              <w:rPr>
                <w:rFonts w:hint="eastAsia" w:ascii="Cambria Math" w:hAnsi="Cambria Math" w:eastAsia="宋体"/>
                <w:color w:val="000000" w:themeColor="text1"/>
                <w14:textFill>
                  <w14:solidFill>
                    <w14:schemeClr w14:val="tx1"/>
                  </w14:solidFill>
                </w14:textFill>
              </w:rPr>
            </m:ctrlPr>
          </m:sub>
          <m:sup>
            <m:r>
              <m:rPr>
                <m:sty m:val="p"/>
              </m:rPr>
              <w:rPr>
                <w:rFonts w:hint="eastAsia" w:ascii="Cambria Math" w:hAnsi="Cambria Math" w:eastAsia="宋体"/>
                <w:color w:val="000000" w:themeColor="text1"/>
                <w14:textFill>
                  <w14:solidFill>
                    <w14:schemeClr w14:val="tx1"/>
                  </w14:solidFill>
                </w14:textFill>
              </w:rPr>
              <m:t>neg</m:t>
            </m:r>
            <m:ctrlPr>
              <w:rPr>
                <w:rFonts w:hint="eastAsia" w:ascii="Cambria Math" w:hAnsi="Cambria Math" w:eastAsia="宋体"/>
                <w:color w:val="000000" w:themeColor="text1"/>
                <w14:textFill>
                  <w14:solidFill>
                    <w14:schemeClr w14:val="tx1"/>
                  </w14:solidFill>
                </w14:textFill>
              </w:rPr>
            </m:ctrlPr>
          </m:sup>
        </m:sSubSup>
      </m:oMath>
      <w:r>
        <w:rPr>
          <w:rFonts w:hint="eastAsia" w:ascii="宋体" w:hAnsi="宋体" w:eastAsia="宋体"/>
          <w:color w:val="000000" w:themeColor="text1"/>
          <w14:textFill>
            <w14:solidFill>
              <w14:schemeClr w14:val="tx1"/>
            </w14:solidFill>
          </w14:textFill>
        </w:rPr>
        <w:t>并以</w:t>
      </w:r>
      <w:r>
        <w:rPr>
          <w:rFonts w:hint="eastAsia" w:ascii="宋体" w:hAnsi="宋体" w:eastAsia="宋体"/>
          <w:color w:val="000000" w:themeColor="text1"/>
          <w14:textFill>
            <w14:solidFill>
              <w14:schemeClr w14:val="tx1"/>
            </w14:solidFill>
          </w14:textFill>
        </w:rPr>
        <w:br w:type="textWrapping"/>
      </w:r>
      <m:oMathPara>
        <m:oMath>
          <m:sSub>
            <m:sSubPr>
              <m:ctrlPr>
                <w:rPr>
                  <w:rFonts w:hint="eastAsia" w:ascii="Cambria Math" w:hAnsi="Cambria Math" w:eastAsia="宋体"/>
                  <w:color w:val="000000" w:themeColor="text1"/>
                  <w14:textFill>
                    <w14:solidFill>
                      <w14:schemeClr w14:val="tx1"/>
                    </w14:solidFill>
                  </w14:textFill>
                </w:rPr>
              </m:ctrlPr>
            </m:sSubPr>
            <m:e>
              <m:r>
                <m:rPr>
                  <m:sty m:val="p"/>
                  <m:scr m:val="script"/>
                </m:rPr>
                <w:rPr>
                  <w:rFonts w:ascii="Cambria Math" w:hAnsi="Cambria Math"/>
                  <w:color w:val="000000" w:themeColor="text1"/>
                  <w14:textFill>
                    <w14:solidFill>
                      <w14:schemeClr w14:val="tx1"/>
                    </w14:solidFill>
                  </w14:textFill>
                </w:rPr>
                <m:t>ℒ</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triplet</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f>
            <m:fPr>
              <m:ctrlPr>
                <w:rPr>
                  <w:rFonts w:hint="eastAsia" w:ascii="Cambria Math" w:hAnsi="Cambria Math" w:eastAsia="宋体"/>
                  <w:color w:val="000000" w:themeColor="text1"/>
                  <w14:textFill>
                    <w14:solidFill>
                      <w14:schemeClr w14:val="tx1"/>
                    </w14:solidFill>
                  </w14:textFill>
                </w:rPr>
              </m:ctrlPr>
            </m:fPr>
            <m:num>
              <m:r>
                <m:rPr>
                  <m:sty m:val="p"/>
                </m:rPr>
                <w:rPr>
                  <w:rFonts w:hint="eastAsia" w:ascii="Cambria Math" w:hAnsi="Cambria Math" w:eastAsia="宋体"/>
                  <w:color w:val="000000" w:themeColor="text1"/>
                  <w14:textFill>
                    <w14:solidFill>
                      <w14:schemeClr w14:val="tx1"/>
                    </w14:solidFill>
                  </w14:textFill>
                </w:rPr>
                <m:t>1</m:t>
              </m:r>
              <m:ctrlPr>
                <w:rPr>
                  <w:rFonts w:hint="eastAsia" w:ascii="Cambria Math" w:hAnsi="Cambria Math" w:eastAsia="宋体"/>
                  <w:color w:val="000000" w:themeColor="text1"/>
                  <w14:textFill>
                    <w14:solidFill>
                      <w14:schemeClr w14:val="tx1"/>
                    </w14:solidFill>
                  </w14:textFill>
                </w:rPr>
              </m:ctrlPr>
            </m:num>
            <m:den>
              <m:r>
                <m:rPr>
                  <m:sty m:val="p"/>
                </m:rPr>
                <w:rPr>
                  <w:rFonts w:hint="eastAsia" w:ascii="Cambria Math" w:hAnsi="Cambria Math" w:eastAsia="宋体"/>
                  <w:color w:val="000000" w:themeColor="text1"/>
                  <w14:textFill>
                    <w14:solidFill>
                      <w14:schemeClr w14:val="tx1"/>
                    </w14:solidFill>
                  </w14:textFill>
                </w:rPr>
                <m:t>B</m:t>
              </m:r>
              <m:ctrlPr>
                <w:rPr>
                  <w:rFonts w:hint="eastAsia" w:ascii="Cambria Math" w:hAnsi="Cambria Math" w:eastAsia="宋体"/>
                  <w:color w:val="000000" w:themeColor="text1"/>
                  <w14:textFill>
                    <w14:solidFill>
                      <w14:schemeClr w14:val="tx1"/>
                    </w14:solidFill>
                  </w14:textFill>
                </w:rPr>
              </m:ctrlPr>
            </m:den>
          </m:f>
          <m:nary>
            <m:naryPr>
              <m:chr m:val="∑"/>
              <m:limLoc m:val="undOvr"/>
              <m:ctrlPr>
                <w:rPr>
                  <w:rFonts w:hint="eastAsia" w:ascii="Cambria Math" w:hAnsi="Cambria Math" w:eastAsia="宋体"/>
                  <w:color w:val="000000" w:themeColor="text1"/>
                  <w14:textFill>
                    <w14:solidFill>
                      <w14:schemeClr w14:val="tx1"/>
                    </w14:solidFill>
                  </w14:textFill>
                </w:rPr>
              </m:ctrlPr>
            </m:naryPr>
            <m:sub>
              <m:r>
                <m:rPr>
                  <m:sty m:val="p"/>
                </m:rPr>
                <w:rPr>
                  <w:rFonts w:hint="eastAsia" w:ascii="Cambria Math" w:hAnsi="Cambria Math" w:eastAsia="宋体"/>
                  <w:color w:val="000000" w:themeColor="text1"/>
                  <w14:textFill>
                    <w14:solidFill>
                      <w14:schemeClr w14:val="tx1"/>
                    </w14:solidFill>
                  </w14:textFill>
                </w:rPr>
                <m:t>i=1</m:t>
              </m:r>
              <m:ctrlPr>
                <w:rPr>
                  <w:rFonts w:hint="eastAsia" w:ascii="Cambria Math" w:hAnsi="Cambria Math" w:eastAsia="宋体"/>
                  <w:color w:val="000000" w:themeColor="text1"/>
                  <w14:textFill>
                    <w14:solidFill>
                      <w14:schemeClr w14:val="tx1"/>
                    </w14:solidFill>
                  </w14:textFill>
                </w:rPr>
              </m:ctrlPr>
            </m:sub>
            <m:sup>
              <m:r>
                <m:rPr>
                  <m:sty m:val="p"/>
                </m:rPr>
                <w:rPr>
                  <w:rFonts w:hint="eastAsia" w:ascii="Cambria Math" w:hAnsi="Cambria Math" w:eastAsia="宋体"/>
                  <w:color w:val="000000" w:themeColor="text1"/>
                  <w14:textFill>
                    <w14:solidFill>
                      <w14:schemeClr w14:val="tx1"/>
                    </w14:solidFill>
                  </w14:textFill>
                </w:rPr>
                <m:t>B</m:t>
              </m:r>
              <m:ctrlPr>
                <w:rPr>
                  <w:rFonts w:hint="eastAsia" w:ascii="Cambria Math" w:hAnsi="Cambria Math" w:eastAsia="宋体"/>
                  <w:color w:val="000000" w:themeColor="text1"/>
                  <w14:textFill>
                    <w14:solidFill>
                      <w14:schemeClr w14:val="tx1"/>
                    </w14:solidFill>
                  </w14:textFill>
                </w:rPr>
              </m:ctrlPr>
            </m:sup>
            <m:e>
              <m:r>
                <m:rPr>
                  <m:sty m:val="p"/>
                </m:rPr>
                <w:rPr>
                  <w:rFonts w:hint="eastAsia" w:ascii="Cambria Math" w:hAnsi="Cambria Math" w:eastAsia="宋体"/>
                  <w:color w:val="000000" w:themeColor="text1"/>
                  <w14:textFill>
                    <w14:solidFill>
                      <w14:schemeClr w14:val="tx1"/>
                    </w14:solidFill>
                  </w14:textFill>
                </w:rPr>
                <m:t>max</m:t>
              </m:r>
              <m:ctrlPr>
                <w:rPr>
                  <w:rFonts w:hint="eastAsia" w:ascii="Cambria Math" w:hAnsi="Cambria Math" w:eastAsia="宋体"/>
                  <w:color w:val="000000" w:themeColor="text1"/>
                  <w14:textFill>
                    <w14:solidFill>
                      <w14:schemeClr w14:val="tx1"/>
                    </w14:solidFill>
                  </w14:textFill>
                </w:rPr>
              </m:ctrlPr>
            </m:e>
          </m:nary>
          <m:d>
            <m:dPr>
              <m:ctrlPr>
                <w:rPr>
                  <w:rFonts w:hint="eastAsia" w:ascii="Cambria Math" w:hAnsi="Cambria Math" w:eastAsia="宋体"/>
                  <w:color w:val="000000" w:themeColor="text1"/>
                  <w14:textFill>
                    <w14:solidFill>
                      <w14:schemeClr w14:val="tx1"/>
                    </w14:solidFill>
                  </w14:textFill>
                </w:rPr>
              </m:ctrlPr>
            </m:dPr>
            <m:e>
              <m:sSubSup>
                <m:sSubSupPr>
                  <m:ctrlPr>
                    <w:rPr>
                      <w:rFonts w:hint="eastAsia" w:ascii="Cambria Math" w:hAnsi="Cambria Math" w:eastAsia="宋体"/>
                      <w:color w:val="000000" w:themeColor="text1"/>
                      <w14:textFill>
                        <w14:solidFill>
                          <w14:schemeClr w14:val="tx1"/>
                        </w14:solidFill>
                      </w14:textFill>
                    </w:rPr>
                  </m:ctrlPr>
                </m:sSubSupPr>
                <m:e>
                  <m:r>
                    <m:rPr>
                      <m:sty m:val="p"/>
                    </m:rPr>
                    <w:rPr>
                      <w:rFonts w:hint="eastAsia" w:ascii="Cambria Math" w:hAnsi="Cambria Math" w:eastAsia="宋体"/>
                      <w:color w:val="000000" w:themeColor="text1"/>
                      <w14:textFill>
                        <w14:solidFill>
                          <w14:schemeClr w14:val="tx1"/>
                        </w14:solidFill>
                      </w14:textFill>
                    </w:rPr>
                    <m:t>d</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t>
                  </m:r>
                  <m:ctrlPr>
                    <w:rPr>
                      <w:rFonts w:hint="eastAsia" w:ascii="Cambria Math" w:hAnsi="Cambria Math" w:eastAsia="宋体"/>
                      <w:color w:val="000000" w:themeColor="text1"/>
                      <w14:textFill>
                        <w14:solidFill>
                          <w14:schemeClr w14:val="tx1"/>
                        </w14:solidFill>
                      </w14:textFill>
                    </w:rPr>
                  </m:ctrlPr>
                </m:sub>
                <m:sup>
                  <m:r>
                    <m:rPr>
                      <m:sty m:val="p"/>
                    </m:rPr>
                    <w:rPr>
                      <w:rFonts w:hint="eastAsia" w:ascii="Cambria Math" w:hAnsi="Cambria Math" w:eastAsia="宋体"/>
                      <w:color w:val="000000" w:themeColor="text1"/>
                      <w14:textFill>
                        <w14:solidFill>
                          <w14:schemeClr w14:val="tx1"/>
                        </w14:solidFill>
                      </w14:textFill>
                    </w:rPr>
                    <m:t>pos</m:t>
                  </m:r>
                  <m:ctrlPr>
                    <w:rPr>
                      <w:rFonts w:hint="eastAsia" w:ascii="Cambria Math" w:hAnsi="Cambria Math" w:eastAsia="宋体"/>
                      <w:color w:val="000000" w:themeColor="text1"/>
                      <w14:textFill>
                        <w14:solidFill>
                          <w14:schemeClr w14:val="tx1"/>
                        </w14:solidFill>
                      </w14:textFill>
                    </w:rPr>
                  </m:ctrlPr>
                </m:sup>
              </m:sSubSup>
              <m:r>
                <m:rPr>
                  <m:sty m:val="p"/>
                </m:rPr>
                <w:rPr>
                  <w:rFonts w:hint="eastAsia" w:ascii="Cambria Math" w:hAnsi="Cambria Math" w:eastAsia="宋体"/>
                  <w:color w:val="000000" w:themeColor="text1"/>
                  <w14:textFill>
                    <w14:solidFill>
                      <w14:schemeClr w14:val="tx1"/>
                    </w14:solidFill>
                  </w14:textFill>
                </w:rPr>
                <m:t>−</m:t>
              </m:r>
              <m:sSubSup>
                <m:sSubSupPr>
                  <m:ctrlPr>
                    <w:rPr>
                      <w:rFonts w:hint="eastAsia" w:ascii="Cambria Math" w:hAnsi="Cambria Math" w:eastAsia="宋体"/>
                      <w:color w:val="000000" w:themeColor="text1"/>
                      <w14:textFill>
                        <w14:solidFill>
                          <w14:schemeClr w14:val="tx1"/>
                        </w14:solidFill>
                      </w14:textFill>
                    </w:rPr>
                  </m:ctrlPr>
                </m:sSubSupPr>
                <m:e>
                  <m:r>
                    <m:rPr>
                      <m:sty m:val="p"/>
                    </m:rPr>
                    <w:rPr>
                      <w:rFonts w:hint="eastAsia" w:ascii="Cambria Math" w:hAnsi="Cambria Math" w:eastAsia="宋体"/>
                      <w:color w:val="000000" w:themeColor="text1"/>
                      <w14:textFill>
                        <w14:solidFill>
                          <w14:schemeClr w14:val="tx1"/>
                        </w14:solidFill>
                      </w14:textFill>
                    </w:rPr>
                    <m:t>d</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i</m:t>
                  </m:r>
                  <m:ctrlPr>
                    <w:rPr>
                      <w:rFonts w:hint="eastAsia" w:ascii="Cambria Math" w:hAnsi="Cambria Math" w:eastAsia="宋体"/>
                      <w:color w:val="000000" w:themeColor="text1"/>
                      <w14:textFill>
                        <w14:solidFill>
                          <w14:schemeClr w14:val="tx1"/>
                        </w14:solidFill>
                      </w14:textFill>
                    </w:rPr>
                  </m:ctrlPr>
                </m:sub>
                <m:sup>
                  <m:r>
                    <m:rPr>
                      <m:sty m:val="p"/>
                    </m:rPr>
                    <w:rPr>
                      <w:rFonts w:hint="eastAsia" w:ascii="Cambria Math" w:hAnsi="Cambria Math" w:eastAsia="宋体"/>
                      <w:color w:val="000000" w:themeColor="text1"/>
                      <w14:textFill>
                        <w14:solidFill>
                          <w14:schemeClr w14:val="tx1"/>
                        </w14:solidFill>
                      </w14:textFill>
                    </w:rPr>
                    <m:t>neg</m:t>
                  </m:r>
                  <m:ctrlPr>
                    <w:rPr>
                      <w:rFonts w:hint="eastAsia" w:ascii="Cambria Math" w:hAnsi="Cambria Math" w:eastAsia="宋体"/>
                      <w:color w:val="000000" w:themeColor="text1"/>
                      <w14:textFill>
                        <w14:solidFill>
                          <w14:schemeClr w14:val="tx1"/>
                        </w14:solidFill>
                      </w14:textFill>
                    </w:rPr>
                  </m:ctrlPr>
                </m:sup>
              </m:sSubSup>
              <m:r>
                <m:rPr>
                  <m:sty m:val="p"/>
                </m:rPr>
                <w:rPr>
                  <w:rFonts w:hint="eastAsia" w:ascii="Cambria Math" w:hAnsi="Cambria Math" w:eastAsia="宋体"/>
                  <w:color w:val="000000" w:themeColor="text1"/>
                  <w14:textFill>
                    <w14:solidFill>
                      <w14:schemeClr w14:val="tx1"/>
                    </w14:solidFill>
                  </w14:textFill>
                </w:rPr>
                <m:t>+m,0</m:t>
              </m:r>
              <m:ctrlPr>
                <w:rPr>
                  <w:rFonts w:hint="eastAsia" w:ascii="Cambria Math" w:hAnsi="Cambria Math" w:eastAsia="宋体"/>
                  <w:color w:val="000000" w:themeColor="text1"/>
                  <w14:textFill>
                    <w14:solidFill>
                      <w14:schemeClr w14:val="tx1"/>
                    </w14:solidFill>
                  </w14:textFill>
                </w:rPr>
              </m:ctrlPr>
            </m:e>
          </m:d>
        </m:oMath>
      </m:oMathPara>
    </w:p>
    <w:p w14:paraId="43ACB8FD">
      <w:pPr>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进行优化（边界超参</w:t>
      </w:r>
      <m:oMath>
        <m:r>
          <m:rPr>
            <m:sty m:val="p"/>
          </m:rPr>
          <w:rPr>
            <w:rFonts w:hint="eastAsia" w:ascii="Cambria Math" w:hAnsi="Cambria Math" w:eastAsia="宋体"/>
            <w:color w:val="000000" w:themeColor="text1"/>
            <w14:textFill>
              <w14:solidFill>
                <w14:schemeClr w14:val="tx1"/>
              </w14:solidFill>
            </w14:textFill>
          </w:rPr>
          <m:t>m=0.5</m:t>
        </m:r>
      </m:oMath>
      <w:r>
        <w:rPr>
          <w:rFonts w:hint="eastAsia" w:ascii="宋体" w:hAnsi="宋体" w:eastAsia="宋体"/>
          <w:color w:val="000000" w:themeColor="text1"/>
          <w14:textFill>
            <w14:solidFill>
              <w14:schemeClr w14:val="tx1"/>
            </w14:solidFill>
          </w14:textFill>
        </w:rPr>
        <w:t>）与随机采样相比，</w:t>
      </w:r>
      <w:r>
        <w:rPr>
          <w:rFonts w:eastAsia="宋体" w:cs="Times New Roman"/>
          <w:color w:val="000000" w:themeColor="text1"/>
          <w14:textFill>
            <w14:solidFill>
              <w14:schemeClr w14:val="tx1"/>
            </w14:solidFill>
          </w14:textFill>
        </w:rPr>
        <w:t>Batch-Hard</w:t>
      </w:r>
      <w:r>
        <w:rPr>
          <w:rFonts w:hint="eastAsia" w:ascii="宋体" w:hAnsi="宋体" w:eastAsia="宋体"/>
          <w:color w:val="000000" w:themeColor="text1"/>
          <w14:textFill>
            <w14:solidFill>
              <w14:schemeClr w14:val="tx1"/>
            </w14:solidFill>
          </w14:textFill>
        </w:rPr>
        <w:t>只关注最难区分的样本对，既避免了易分类样本带来的冗余梯度，又能显著加速模型收敛、增强少样本条件下的判别能力，</w:t>
      </w:r>
      <w:r>
        <w:rPr>
          <w:rFonts w:hint="eastAsia" w:ascii="宋体" w:hAnsi="宋体" w:eastAsia="宋体"/>
          <w:color w:val="000000" w:themeColor="text1"/>
          <w14:textFill>
            <w14:solidFill>
              <w14:schemeClr w14:val="tx1"/>
            </w14:solidFill>
          </w14:textFill>
        </w:rPr>
        <w:t>特别是在负类样本稀缺且分布不均的情况下表现优越</w:t>
      </w:r>
      <w:r>
        <w:rPr>
          <w:rFonts w:hint="eastAsia" w:ascii="宋体" w:hAnsi="宋体" w:eastAsia="宋体"/>
          <w:color w:val="000000" w:themeColor="text1"/>
          <w:vertAlign w:val="superscript"/>
          <w14:textFill>
            <w14:solidFill>
              <w14:schemeClr w14:val="tx1"/>
            </w14:solidFill>
          </w14:textFill>
        </w:rPr>
        <w:fldChar w:fldCharType="begin"/>
      </w:r>
      <w:r>
        <w:rPr>
          <w:rFonts w:hint="eastAsia" w:ascii="宋体" w:hAnsi="宋体" w:eastAsia="宋体"/>
          <w:color w:val="000000" w:themeColor="text1"/>
          <w:vertAlign w:val="superscript"/>
          <w14:textFill>
            <w14:solidFill>
              <w14:schemeClr w14:val="tx1"/>
            </w14:solidFill>
          </w14:textFill>
        </w:rPr>
        <w:instrText xml:space="preserve"> REF _Ref11466 \r \h </w:instrText>
      </w:r>
      <w:r>
        <w:rPr>
          <w:rFonts w:hint="eastAsia" w:ascii="宋体" w:hAnsi="宋体" w:eastAsia="宋体"/>
          <w:color w:val="000000" w:themeColor="text1"/>
          <w:vertAlign w:val="superscript"/>
          <w14:textFill>
            <w14:solidFill>
              <w14:schemeClr w14:val="tx1"/>
            </w14:solidFill>
          </w14:textFill>
        </w:rPr>
        <w:fldChar w:fldCharType="separate"/>
      </w:r>
      <w:r>
        <w:rPr>
          <w:rFonts w:hint="eastAsia" w:ascii="宋体" w:hAnsi="宋体" w:eastAsia="宋体"/>
          <w:color w:val="000000" w:themeColor="text1"/>
          <w:vertAlign w:val="superscript"/>
          <w14:textFill>
            <w14:solidFill>
              <w14:schemeClr w14:val="tx1"/>
            </w14:solidFill>
          </w14:textFill>
        </w:rPr>
        <w:t>[48]</w:t>
      </w:r>
      <w:r>
        <w:rPr>
          <w:rFonts w:hint="eastAsia"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vertAlign w:val="superscript"/>
          <w14:textFill>
            <w14:solidFill>
              <w14:schemeClr w14:val="tx1"/>
            </w14:solidFill>
          </w14:textFill>
        </w:rPr>
        <w:fldChar w:fldCharType="begin"/>
      </w:r>
      <w:r>
        <w:rPr>
          <w:rFonts w:hint="eastAsia" w:ascii="宋体" w:hAnsi="宋体" w:eastAsia="宋体"/>
          <w:color w:val="000000" w:themeColor="text1"/>
          <w:vertAlign w:val="superscript"/>
          <w14:textFill>
            <w14:solidFill>
              <w14:schemeClr w14:val="tx1"/>
            </w14:solidFill>
          </w14:textFill>
        </w:rPr>
        <w:instrText xml:space="preserve"> REF _Ref11470 \r \h </w:instrText>
      </w:r>
      <w:r>
        <w:rPr>
          <w:rFonts w:hint="eastAsia" w:ascii="宋体" w:hAnsi="宋体" w:eastAsia="宋体"/>
          <w:color w:val="000000" w:themeColor="text1"/>
          <w:vertAlign w:val="superscript"/>
          <w14:textFill>
            <w14:solidFill>
              <w14:schemeClr w14:val="tx1"/>
            </w14:solidFill>
          </w14:textFill>
        </w:rPr>
        <w:fldChar w:fldCharType="separate"/>
      </w:r>
      <w:r>
        <w:rPr>
          <w:rFonts w:hint="eastAsia" w:ascii="宋体" w:hAnsi="宋体" w:eastAsia="宋体"/>
          <w:color w:val="000000" w:themeColor="text1"/>
          <w:vertAlign w:val="superscript"/>
          <w14:textFill>
            <w14:solidFill>
              <w14:schemeClr w14:val="tx1"/>
            </w14:solidFill>
          </w14:textFill>
        </w:rPr>
        <w:t>[49]</w:t>
      </w:r>
      <w:r>
        <w:rPr>
          <w:rFonts w:hint="eastAsia"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w:t>
      </w:r>
      <w:r>
        <w:rPr>
          <w:rFonts w:hint="eastAsia" w:ascii="宋体" w:hAnsi="宋体" w:eastAsia="宋体"/>
          <w:color w:val="000000" w:themeColor="text1"/>
          <w14:textFill>
            <w14:solidFill>
              <w14:schemeClr w14:val="tx1"/>
            </w14:solidFill>
          </w14:textFill>
        </w:rPr>
        <w:t>这一模块与多原型分类和Anchor 对齐损失共同作用，协同构建了更加稳健且清晰的嵌入空间。</w:t>
      </w:r>
    </w:p>
    <w:p w14:paraId="3C4A12C7">
      <w:pPr>
        <w:keepNext w:val="0"/>
        <w:keepLines w:val="0"/>
        <w:pageBreakBefore w:val="0"/>
        <w:widowControl w:val="0"/>
        <w:numPr>
          <w:ilvl w:val="2"/>
          <w:numId w:val="1"/>
        </w:numPr>
        <w:kinsoku/>
        <w:wordWrap/>
        <w:overflowPunct/>
        <w:topLinePunct w:val="0"/>
        <w:autoSpaceDE/>
        <w:autoSpaceDN/>
        <w:bidi w:val="0"/>
        <w:adjustRightInd/>
        <w:snapToGrid/>
        <w:ind w:left="709" w:hanging="709"/>
        <w:textAlignment w:val="auto"/>
        <w:outlineLvl w:val="2"/>
        <w:rPr>
          <w:b/>
          <w:bCs/>
          <w:color w:val="000000" w:themeColor="text1"/>
          <w:sz w:val="28"/>
          <w:szCs w:val="28"/>
          <w14:textFill>
            <w14:solidFill>
              <w14:schemeClr w14:val="tx1"/>
            </w14:solidFill>
          </w14:textFill>
        </w:rPr>
      </w:pPr>
      <w:bookmarkStart w:id="118" w:name="_Toc23167"/>
      <w:bookmarkStart w:id="119" w:name="_Toc4458"/>
      <w:bookmarkStart w:id="120" w:name="_Toc11930"/>
      <w:bookmarkStart w:id="121" w:name="_Toc16807"/>
      <w:bookmarkStart w:id="122" w:name="_Toc32564"/>
      <w:r>
        <w:rPr>
          <w:rFonts w:hint="eastAsia"/>
          <w:b/>
          <w:bCs/>
          <w:color w:val="000000" w:themeColor="text1"/>
          <w:sz w:val="28"/>
          <w:szCs w:val="28"/>
          <w14:textFill>
            <w14:solidFill>
              <w14:schemeClr w14:val="tx1"/>
            </w14:solidFill>
          </w14:textFill>
        </w:rPr>
        <w:t>总体损失加权组合</w:t>
      </w:r>
      <w:bookmarkEnd w:id="118"/>
      <w:bookmarkEnd w:id="119"/>
      <w:bookmarkEnd w:id="120"/>
      <w:bookmarkEnd w:id="121"/>
      <w:bookmarkEnd w:id="122"/>
    </w:p>
    <w:p w14:paraId="3506B3AC">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最终我们将三种子损失按以下公式加权组合为最终训练目标：</w:t>
      </w:r>
    </w:p>
    <w:p w14:paraId="09CC8F2B">
      <w:pPr>
        <w:ind w:firstLine="420"/>
        <w:rPr>
          <w:rFonts w:hint="eastAsia" w:ascii="宋体" w:hAnsi="宋体" w:eastAsia="宋体"/>
          <w:color w:val="000000" w:themeColor="text1"/>
          <w14:textFill>
            <w14:solidFill>
              <w14:schemeClr w14:val="tx1"/>
            </w14:solidFill>
          </w14:textFill>
        </w:rPr>
      </w:pPr>
      <m:oMathPara>
        <m:oMath>
          <m:r>
            <m:rPr>
              <m:sty m:val="p"/>
              <m:scr m:val="script"/>
            </m:rPr>
            <w:rPr>
              <w:rFonts w:ascii="Cambria Math" w:hAnsi="Cambria Math"/>
              <w:color w:val="000000" w:themeColor="text1"/>
              <w14:textFill>
                <w14:solidFill>
                  <w14:schemeClr w14:val="tx1"/>
                </w14:solidFill>
              </w14:textFill>
            </w:rPr>
            <m:t>ℒ</m:t>
          </m:r>
          <m:r>
            <m:rPr>
              <m:sty m:val="p"/>
            </m:rPr>
            <w:rPr>
              <w:rFonts w:hint="eastAsia" w:ascii="Cambria Math" w:hAnsi="Cambria Math" w:eastAsia="宋体"/>
              <w:color w:val="000000" w:themeColor="text1"/>
              <w14:textFill>
                <w14:solidFill>
                  <w14:schemeClr w14:val="tx1"/>
                </w14:solidFill>
              </w14:textFill>
            </w:rPr>
            <m:t>=</m:t>
          </m:r>
          <m:sSub>
            <m:sSubPr>
              <m:ctrlPr>
                <w:rPr>
                  <w:rFonts w:hint="eastAsia" w:ascii="Cambria Math" w:hAnsi="Cambria Math" w:eastAsia="宋体"/>
                  <w:color w:val="000000" w:themeColor="text1"/>
                  <w14:textFill>
                    <w14:solidFill>
                      <w14:schemeClr w14:val="tx1"/>
                    </w14:solidFill>
                  </w14:textFill>
                </w:rPr>
              </m:ctrlPr>
            </m:sSubPr>
            <m:e>
              <m:r>
                <m:rPr>
                  <m:sty m:val="p"/>
                  <m:scr m:val="script"/>
                </m:rPr>
                <w:rPr>
                  <w:rFonts w:ascii="Cambria Math" w:hAnsi="Cambria Math"/>
                  <w:color w:val="000000" w:themeColor="text1"/>
                  <w14:textFill>
                    <w14:solidFill>
                      <w14:schemeClr w14:val="tx1"/>
                    </w14:solidFill>
                  </w14:textFill>
                </w:rPr>
                <m:t>ℒ</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proto</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sSub>
            <m:sSubPr>
              <m:ctrlPr>
                <w:rPr>
                  <w:rFonts w:hint="eastAsia" w:ascii="Cambria Math" w:hAnsi="Cambria Math" w:eastAsia="宋体"/>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α</m:t>
              </m:r>
              <m:r>
                <m:rPr>
                  <m:sty m:val="p"/>
                  <m:scr m:val="script"/>
                </m:rPr>
                <w:rPr>
                  <w:rFonts w:ascii="Cambria Math" w:hAnsi="Cambria Math"/>
                  <w:color w:val="000000" w:themeColor="text1"/>
                  <w14:textFill>
                    <w14:solidFill>
                      <w14:schemeClr w14:val="tx1"/>
                    </w14:solidFill>
                  </w14:textFill>
                </w:rPr>
                <m:t>ℒ</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align</m:t>
              </m:r>
              <m:ctrlPr>
                <w:rPr>
                  <w:rFonts w:hint="eastAsia" w:ascii="Cambria Math" w:hAnsi="Cambria Math" w:eastAsia="宋体"/>
                  <w:color w:val="000000" w:themeColor="text1"/>
                  <w14:textFill>
                    <w14:solidFill>
                      <w14:schemeClr w14:val="tx1"/>
                    </w14:solidFill>
                  </w14:textFill>
                </w:rPr>
              </m:ctrlPr>
            </m:sub>
          </m:sSub>
          <m:r>
            <m:rPr>
              <m:sty m:val="p"/>
            </m:rPr>
            <w:rPr>
              <w:rFonts w:hint="eastAsia" w:ascii="Cambria Math" w:hAnsi="Cambria Math" w:eastAsia="宋体"/>
              <w:color w:val="000000" w:themeColor="text1"/>
              <w14:textFill>
                <w14:solidFill>
                  <w14:schemeClr w14:val="tx1"/>
                </w14:solidFill>
              </w14:textFill>
            </w:rPr>
            <m:t>+</m:t>
          </m:r>
          <m:r>
            <m:rPr>
              <m:sty m:val="p"/>
            </m:rPr>
            <w:rPr>
              <w:rFonts w:ascii="Cambria Math" w:hAnsi="Cambria Math"/>
              <w:color w:val="000000" w:themeColor="text1"/>
              <w14:textFill>
                <w14:solidFill>
                  <w14:schemeClr w14:val="tx1"/>
                </w14:solidFill>
              </w14:textFill>
            </w:rPr>
            <m:t>β</m:t>
          </m:r>
          <m:sSub>
            <m:sSubPr>
              <m:ctrlPr>
                <w:rPr>
                  <w:rFonts w:hint="eastAsia" w:ascii="Cambria Math" w:hAnsi="Cambria Math" w:eastAsia="宋体"/>
                  <w:color w:val="000000" w:themeColor="text1"/>
                  <w14:textFill>
                    <w14:solidFill>
                      <w14:schemeClr w14:val="tx1"/>
                    </w14:solidFill>
                  </w14:textFill>
                </w:rPr>
              </m:ctrlPr>
            </m:sSubPr>
            <m:e>
              <m:r>
                <m:rPr>
                  <m:sty m:val="p"/>
                  <m:scr m:val="script"/>
                </m:rPr>
                <w:rPr>
                  <w:rFonts w:ascii="Cambria Math" w:hAnsi="Cambria Math"/>
                  <w:color w:val="000000" w:themeColor="text1"/>
                  <w14:textFill>
                    <w14:solidFill>
                      <w14:schemeClr w14:val="tx1"/>
                    </w14:solidFill>
                  </w14:textFill>
                </w:rPr>
                <m:t>ℒ</m:t>
              </m:r>
              <m:ctrlPr>
                <w:rPr>
                  <w:rFonts w:hint="eastAsia" w:ascii="Cambria Math" w:hAnsi="Cambria Math" w:eastAsia="宋体"/>
                  <w:color w:val="000000" w:themeColor="text1"/>
                  <w14:textFill>
                    <w14:solidFill>
                      <w14:schemeClr w14:val="tx1"/>
                    </w14:solidFill>
                  </w14:textFill>
                </w:rPr>
              </m:ctrlPr>
            </m:e>
            <m:sub>
              <m:r>
                <m:rPr>
                  <m:sty m:val="p"/>
                </m:rPr>
                <w:rPr>
                  <w:rFonts w:hint="eastAsia" w:ascii="Cambria Math" w:hAnsi="Cambria Math" w:eastAsia="宋体"/>
                  <w:color w:val="000000" w:themeColor="text1"/>
                  <w14:textFill>
                    <w14:solidFill>
                      <w14:schemeClr w14:val="tx1"/>
                    </w14:solidFill>
                  </w14:textFill>
                </w:rPr>
                <m:t>triplet</m:t>
              </m:r>
              <m:ctrlPr>
                <w:rPr>
                  <w:rFonts w:hint="eastAsia" w:ascii="Cambria Math" w:hAnsi="Cambria Math" w:eastAsia="宋体"/>
                  <w:color w:val="000000" w:themeColor="text1"/>
                  <w14:textFill>
                    <w14:solidFill>
                      <w14:schemeClr w14:val="tx1"/>
                    </w14:solidFill>
                  </w14:textFill>
                </w:rPr>
              </m:ctrlPr>
            </m:sub>
          </m:sSub>
        </m:oMath>
      </m:oMathPara>
    </w:p>
    <w:p w14:paraId="68379C15">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其中</w:t>
      </w:r>
      <m:oMath>
        <m:r>
          <m:rPr>
            <m:sty m:val="p"/>
          </m:rPr>
          <w:rPr>
            <w:rFonts w:ascii="Cambria Math" w:hAnsi="Cambria Math"/>
            <w:color w:val="000000" w:themeColor="text1"/>
            <w14:textFill>
              <w14:solidFill>
                <w14:schemeClr w14:val="tx1"/>
              </w14:solidFill>
            </w14:textFill>
          </w:rPr>
          <m:t>α</m:t>
        </m:r>
        <m:r>
          <m:rPr>
            <m:sty m:val="p"/>
          </m:rPr>
          <w:rPr>
            <w:rFonts w:hint="eastAsia" w:ascii="Cambria Math" w:hAnsi="Cambria Math" w:eastAsia="宋体"/>
            <w:color w:val="000000" w:themeColor="text1"/>
            <w14:textFill>
              <w14:solidFill>
                <w14:schemeClr w14:val="tx1"/>
              </w14:solidFill>
            </w14:textFill>
          </w:rPr>
          <m:t>=0.2</m:t>
        </m:r>
      </m:oMath>
      <w:r>
        <w:rPr>
          <w:rFonts w:hint="eastAsia" w:ascii="宋体" w:hAnsi="宋体" w:eastAsia="宋体"/>
          <w:color w:val="000000" w:themeColor="text1"/>
          <w14:textFill>
            <w14:solidFill>
              <w14:schemeClr w14:val="tx1"/>
            </w14:solidFill>
          </w14:textFill>
        </w:rPr>
        <w:t>，</w:t>
      </w:r>
      <m:oMath>
        <m:r>
          <m:rPr>
            <m:sty m:val="p"/>
          </m:rPr>
          <w:rPr>
            <w:rFonts w:ascii="Cambria Math" w:hAnsi="Cambria Math"/>
            <w:color w:val="000000" w:themeColor="text1"/>
            <w14:textFill>
              <w14:solidFill>
                <w14:schemeClr w14:val="tx1"/>
              </w14:solidFill>
            </w14:textFill>
          </w:rPr>
          <m:t>β</m:t>
        </m:r>
        <m:r>
          <m:rPr>
            <m:sty m:val="p"/>
          </m:rPr>
          <w:rPr>
            <w:rFonts w:hint="eastAsia" w:ascii="Cambria Math" w:hAnsi="Cambria Math" w:eastAsia="宋体"/>
            <w:color w:val="000000" w:themeColor="text1"/>
            <w14:textFill>
              <w14:solidFill>
                <w14:schemeClr w14:val="tx1"/>
              </w14:solidFill>
            </w14:textFill>
          </w:rPr>
          <m:t>=0.5</m:t>
        </m:r>
      </m:oMath>
      <w:r>
        <w:rPr>
          <w:rFonts w:hint="eastAsia" w:ascii="宋体" w:hAnsi="宋体" w:eastAsia="宋体"/>
          <w:color w:val="000000" w:themeColor="text1"/>
          <w14:textFill>
            <w14:solidFill>
              <w14:schemeClr w14:val="tx1"/>
            </w14:solidFill>
          </w14:textFill>
        </w:rPr>
        <w:t>。这种加权设计既确保了多原型分类损失在主任务中的主导地位，也通过较小的权重兼顾了Anchor 对齐损失对伪样本语义一致性的约束以及Batch-Hard三元组损失对嵌入空间边界的强化。</w:t>
      </w:r>
      <w:r>
        <w:rPr>
          <w:rFonts w:hint="eastAsia" w:ascii="宋体" w:hAnsi="宋体" w:eastAsia="宋体"/>
          <w:color w:val="000000" w:themeColor="text1"/>
          <w14:textFill>
            <w14:solidFill>
              <w14:schemeClr w14:val="tx1"/>
            </w14:solidFill>
          </w14:textFill>
        </w:rPr>
        <w:t>此方案参考了Kim等人针对类不平衡任务中样本融合的权重配置方法，并结合Li等人在表格数据增强场景下的损失平衡经验，实现了分类精度与特征判别力的兼顾</w:t>
      </w:r>
      <w:r>
        <w:rPr>
          <w:rFonts w:hint="eastAsia" w:ascii="宋体" w:hAnsi="宋体" w:eastAsia="宋体"/>
          <w:color w:val="000000" w:themeColor="text1"/>
          <w:vertAlign w:val="superscript"/>
          <w14:textFill>
            <w14:solidFill>
              <w14:schemeClr w14:val="tx1"/>
            </w14:solidFill>
          </w14:textFill>
        </w:rPr>
        <w:fldChar w:fldCharType="begin"/>
      </w:r>
      <w:r>
        <w:rPr>
          <w:rFonts w:hint="eastAsia" w:ascii="宋体" w:hAnsi="宋体" w:eastAsia="宋体"/>
          <w:color w:val="000000" w:themeColor="text1"/>
          <w:vertAlign w:val="superscript"/>
          <w14:textFill>
            <w14:solidFill>
              <w14:schemeClr w14:val="tx1"/>
            </w14:solidFill>
          </w14:textFill>
        </w:rPr>
        <w:instrText xml:space="preserve"> REF _Ref11470 \r \h </w:instrText>
      </w:r>
      <w:r>
        <w:rPr>
          <w:rFonts w:hint="eastAsia" w:ascii="宋体" w:hAnsi="宋体" w:eastAsia="宋体"/>
          <w:color w:val="000000" w:themeColor="text1"/>
          <w:vertAlign w:val="superscript"/>
          <w14:textFill>
            <w14:solidFill>
              <w14:schemeClr w14:val="tx1"/>
            </w14:solidFill>
          </w14:textFill>
        </w:rPr>
        <w:fldChar w:fldCharType="separate"/>
      </w:r>
      <w:r>
        <w:rPr>
          <w:rFonts w:hint="eastAsia" w:ascii="宋体" w:hAnsi="宋体" w:eastAsia="宋体"/>
          <w:color w:val="000000" w:themeColor="text1"/>
          <w:vertAlign w:val="superscript"/>
          <w14:textFill>
            <w14:solidFill>
              <w14:schemeClr w14:val="tx1"/>
            </w14:solidFill>
          </w14:textFill>
        </w:rPr>
        <w:t>[49]</w:t>
      </w:r>
      <w:r>
        <w:rPr>
          <w:rFonts w:hint="eastAsia"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vertAlign w:val="superscript"/>
          <w14:textFill>
            <w14:solidFill>
              <w14:schemeClr w14:val="tx1"/>
            </w14:solidFill>
          </w14:textFill>
        </w:rPr>
        <w:fldChar w:fldCharType="begin"/>
      </w:r>
      <w:r>
        <w:rPr>
          <w:rFonts w:hint="eastAsia" w:ascii="宋体" w:hAnsi="宋体" w:eastAsia="宋体"/>
          <w:color w:val="000000" w:themeColor="text1"/>
          <w:vertAlign w:val="superscript"/>
          <w14:textFill>
            <w14:solidFill>
              <w14:schemeClr w14:val="tx1"/>
            </w14:solidFill>
          </w14:textFill>
        </w:rPr>
        <w:instrText xml:space="preserve"> REF _Ref11535 \r \h </w:instrText>
      </w:r>
      <w:r>
        <w:rPr>
          <w:rFonts w:hint="eastAsia" w:ascii="宋体" w:hAnsi="宋体" w:eastAsia="宋体"/>
          <w:color w:val="000000" w:themeColor="text1"/>
          <w:vertAlign w:val="superscript"/>
          <w14:textFill>
            <w14:solidFill>
              <w14:schemeClr w14:val="tx1"/>
            </w14:solidFill>
          </w14:textFill>
        </w:rPr>
        <w:fldChar w:fldCharType="separate"/>
      </w:r>
      <w:r>
        <w:rPr>
          <w:rFonts w:hint="eastAsia" w:ascii="宋体" w:hAnsi="宋体" w:eastAsia="宋体"/>
          <w:color w:val="000000" w:themeColor="text1"/>
          <w:vertAlign w:val="superscript"/>
          <w14:textFill>
            <w14:solidFill>
              <w14:schemeClr w14:val="tx1"/>
            </w14:solidFill>
          </w14:textFill>
        </w:rPr>
        <w:t>[50]</w:t>
      </w:r>
      <w:r>
        <w:rPr>
          <w:rFonts w:hint="eastAsia" w:ascii="宋体" w:hAnsi="宋体" w:eastAsia="宋体"/>
          <w:color w:val="000000" w:themeColor="text1"/>
          <w:vertAlign w:val="superscript"/>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w:t>
      </w:r>
      <w:r>
        <w:rPr>
          <w:rFonts w:hint="eastAsia" w:ascii="宋体" w:hAnsi="宋体" w:eastAsia="宋体"/>
          <w:color w:val="000000" w:themeColor="text1"/>
          <w14:textFill>
            <w14:solidFill>
              <w14:schemeClr w14:val="tx1"/>
            </w14:solidFill>
          </w14:textFill>
        </w:rPr>
        <w:t>通过上述多目标损失的协同优化，本框架能够在小样本且多模态的场景下，获得精准的分类决策，也可以维持清晰的特征空间结构，为后续模型泛化与稳健性提供了坚实支撑。</w:t>
      </w:r>
    </w:p>
    <w:p w14:paraId="75BA24AA">
      <w:pPr>
        <w:keepNext w:val="0"/>
        <w:keepLines w:val="0"/>
        <w:pageBreakBefore w:val="0"/>
        <w:widowControl w:val="0"/>
        <w:numPr>
          <w:ilvl w:val="1"/>
          <w:numId w:val="1"/>
        </w:numPr>
        <w:kinsoku/>
        <w:wordWrap/>
        <w:overflowPunct/>
        <w:topLinePunct w:val="0"/>
        <w:autoSpaceDE/>
        <w:autoSpaceDN/>
        <w:bidi w:val="0"/>
        <w:adjustRightInd/>
        <w:snapToGrid/>
        <w:ind w:left="567" w:hanging="567"/>
        <w:textAlignment w:val="auto"/>
        <w:outlineLvl w:val="1"/>
        <w:rPr>
          <w:b/>
          <w:bCs/>
          <w:color w:val="000000" w:themeColor="text1"/>
          <w:sz w:val="28"/>
          <w:szCs w:val="28"/>
          <w14:textFill>
            <w14:solidFill>
              <w14:schemeClr w14:val="tx1"/>
            </w14:solidFill>
          </w14:textFill>
        </w:rPr>
      </w:pPr>
      <w:bookmarkStart w:id="123" w:name="_Toc11286"/>
      <w:bookmarkStart w:id="124" w:name="_Toc9180"/>
      <w:bookmarkStart w:id="125" w:name="_Toc31807"/>
      <w:bookmarkStart w:id="126" w:name="_Toc30773"/>
      <w:bookmarkStart w:id="127" w:name="_Toc17483"/>
      <w:r>
        <w:rPr>
          <w:rFonts w:hint="eastAsia"/>
          <w:b/>
          <w:bCs/>
          <w:color w:val="000000" w:themeColor="text1"/>
          <w:sz w:val="28"/>
          <w:szCs w:val="28"/>
          <w14:textFill>
            <w14:solidFill>
              <w14:schemeClr w14:val="tx1"/>
            </w14:solidFill>
          </w14:textFill>
        </w:rPr>
        <w:t>训练流程</w:t>
      </w:r>
      <w:bookmarkEnd w:id="123"/>
      <w:bookmarkEnd w:id="124"/>
      <w:bookmarkEnd w:id="125"/>
      <w:bookmarkEnd w:id="126"/>
      <w:bookmarkEnd w:id="127"/>
    </w:p>
    <w:p w14:paraId="15D49ACA">
      <w:pPr>
        <w:ind w:firstLine="420"/>
        <w:rPr>
          <w:b/>
          <w:bCs/>
          <w:color w:val="000000" w:themeColor="text1"/>
          <w:sz w:val="28"/>
          <w:szCs w:val="28"/>
          <w14:textFill>
            <w14:solidFill>
              <w14:schemeClr w14:val="tx1"/>
            </w14:solidFill>
          </w14:textFill>
        </w:rPr>
      </w:pPr>
      <w:r>
        <w:rPr>
          <w:rFonts w:hint="eastAsia" w:ascii="宋体" w:hAnsi="宋体" w:eastAsia="宋体"/>
          <w:color w:val="000000" w:themeColor="text1"/>
          <w14:textFill>
            <w14:solidFill>
              <w14:schemeClr w14:val="tx1"/>
            </w14:solidFill>
          </w14:textFill>
        </w:rPr>
        <w:t>整个训练流程（如图5）：首先是对原始数据进行标准化和负类样本增强，然后通过小样本Episode构建生成支持集和查询集。多模态特征提取模块分别处理图像（ResNet50）和表格数据（MLP），经门控融合后生成128维特征。采用KMeans聚类为每类生成多个原型，计算三类损失并进行联合优化。模型通过Adam优化器迭代更新，最终保存能同时处理影像和临床指标的融合模型权重。该流程特别设计了动态类别权重和临床值域校验，确保在数据稀缺场景下的可靠性和医学合理性。</w:t>
      </w:r>
    </w:p>
    <w:p w14:paraId="1A4B566F">
      <w:pPr>
        <w:jc w:val="center"/>
        <w:rPr>
          <w:b/>
          <w:bCs/>
          <w:color w:val="000000" w:themeColor="text1"/>
          <w:sz w:val="28"/>
          <w:szCs w:val="28"/>
          <w14:textFill>
            <w14:solidFill>
              <w14:schemeClr w14:val="tx1"/>
            </w14:solidFill>
          </w14:textFill>
        </w:rPr>
      </w:pPr>
      <w:r>
        <w:rPr>
          <w:color w:val="000000" w:themeColor="text1"/>
          <w14:textFill>
            <w14:solidFill>
              <w14:schemeClr w14:val="tx1"/>
            </w14:solidFill>
          </w14:textFill>
        </w:rPr>
        <w:drawing>
          <wp:inline distT="0" distB="0" distL="114300" distR="114300">
            <wp:extent cx="4207510" cy="5540375"/>
            <wp:effectExtent l="12700" t="12700" r="21590" b="222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4207510" cy="5540375"/>
                    </a:xfrm>
                    <a:prstGeom prst="rect">
                      <a:avLst/>
                    </a:prstGeom>
                    <a:noFill/>
                    <a:ln w="12700">
                      <a:solidFill>
                        <a:srgbClr val="002060"/>
                      </a:solidFill>
                    </a:ln>
                  </pic:spPr>
                </pic:pic>
              </a:graphicData>
            </a:graphic>
          </wp:inline>
        </w:drawing>
      </w:r>
    </w:p>
    <w:p w14:paraId="62FDE830">
      <w:pPr>
        <w:jc w:val="left"/>
        <w:rPr>
          <w:rFonts w:hint="eastAsia" w:ascii="黑体" w:hAnsi="黑体" w:eastAsia="黑体" w:cs="黑体"/>
          <w:color w:val="000000" w:themeColor="text1"/>
          <w:sz w:val="21"/>
          <w:szCs w:val="21"/>
          <w:lang w:val="en-US" w:eastAsia="zh-CN"/>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图5</w:t>
      </w:r>
      <w:r>
        <w:rPr>
          <w:rFonts w:hint="eastAsia" w:ascii="黑体" w:hAnsi="黑体" w:eastAsia="黑体" w:cs="黑体"/>
          <w:color w:val="000000" w:themeColor="text1"/>
          <w:sz w:val="21"/>
          <w:szCs w:val="21"/>
          <w:lang w:val="en-US" w:eastAsia="zh-CN"/>
          <w14:textFill>
            <w14:solidFill>
              <w14:schemeClr w14:val="tx1"/>
            </w14:solidFill>
          </w14:textFill>
        </w:rPr>
        <w:t xml:space="preserve"> 训练流程图</w:t>
      </w:r>
    </w:p>
    <w:p w14:paraId="0DF43B97">
      <w:pPr>
        <w:keepNext w:val="0"/>
        <w:keepLines w:val="0"/>
        <w:pageBreakBefore w:val="0"/>
        <w:widowControl w:val="0"/>
        <w:numPr>
          <w:ilvl w:val="0"/>
          <w:numId w:val="1"/>
        </w:numPr>
        <w:kinsoku/>
        <w:wordWrap/>
        <w:overflowPunct/>
        <w:topLinePunct w:val="0"/>
        <w:autoSpaceDE/>
        <w:autoSpaceDN/>
        <w:bidi w:val="0"/>
        <w:adjustRightInd/>
        <w:snapToGrid/>
        <w:ind w:left="425" w:hanging="425"/>
        <w:textAlignment w:val="auto"/>
        <w:outlineLvl w:val="0"/>
        <w:rPr>
          <w:b/>
          <w:bCs/>
          <w:color w:val="000000" w:themeColor="text1"/>
          <w:sz w:val="36"/>
          <w:szCs w:val="36"/>
          <w14:textFill>
            <w14:solidFill>
              <w14:schemeClr w14:val="tx1"/>
            </w14:solidFill>
          </w14:textFill>
        </w:rPr>
      </w:pPr>
      <w:bookmarkStart w:id="128" w:name="_Toc15666"/>
      <w:bookmarkStart w:id="129" w:name="_Toc16515"/>
      <w:bookmarkStart w:id="130" w:name="_Toc3184"/>
      <w:bookmarkStart w:id="131" w:name="_Toc1424"/>
      <w:bookmarkStart w:id="132" w:name="_Toc16208"/>
      <w:r>
        <w:rPr>
          <w:rFonts w:hint="eastAsia"/>
          <w:b/>
          <w:bCs/>
          <w:color w:val="000000" w:themeColor="text1"/>
          <w:sz w:val="36"/>
          <w:szCs w:val="36"/>
          <w14:textFill>
            <w14:solidFill>
              <w14:schemeClr w14:val="tx1"/>
            </w14:solidFill>
          </w14:textFill>
        </w:rPr>
        <w:t>模型评估</w:t>
      </w:r>
      <w:bookmarkEnd w:id="128"/>
      <w:bookmarkEnd w:id="129"/>
      <w:bookmarkEnd w:id="130"/>
      <w:bookmarkEnd w:id="131"/>
      <w:bookmarkEnd w:id="132"/>
    </w:p>
    <w:p w14:paraId="7AD79A59">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为了评估所提出的多模态模型，我们采用了</w:t>
      </w:r>
      <w:r>
        <w:rPr>
          <w:rFonts w:hint="eastAsia" w:ascii="宋体" w:hAnsi="宋体" w:eastAsia="宋体"/>
          <w:b/>
          <w:bCs/>
          <w:color w:val="000000" w:themeColor="text1"/>
          <w14:textFill>
            <w14:solidFill>
              <w14:schemeClr w14:val="tx1"/>
            </w14:solidFill>
          </w14:textFill>
        </w:rPr>
        <w:t>嵌套交叉验证策略</w:t>
      </w:r>
      <w:r>
        <w:rPr>
          <w:rFonts w:hint="eastAsia" w:ascii="宋体" w:hAnsi="宋体" w:eastAsia="宋体"/>
          <w:color w:val="000000" w:themeColor="text1"/>
          <w14:textFill>
            <w14:solidFill>
              <w14:schemeClr w14:val="tx1"/>
            </w14:solidFill>
          </w14:textFill>
        </w:rPr>
        <w:t>，并使用了</w:t>
      </w:r>
      <w:r>
        <w:rPr>
          <w:rFonts w:hint="eastAsia" w:ascii="宋体" w:hAnsi="宋体" w:eastAsia="宋体"/>
          <w:b/>
          <w:bCs/>
          <w:color w:val="000000" w:themeColor="text1"/>
          <w14:textFill>
            <w14:solidFill>
              <w14:schemeClr w14:val="tx1"/>
            </w14:solidFill>
          </w14:textFill>
        </w:rPr>
        <w:t>5折分层K折交叉验证</w:t>
      </w:r>
      <w:r>
        <w:rPr>
          <w:rFonts w:hint="eastAsia" w:ascii="宋体" w:hAnsi="宋体" w:eastAsia="宋体"/>
          <w:color w:val="000000" w:themeColor="text1"/>
          <w14:textFill>
            <w14:solidFill>
              <w14:schemeClr w14:val="tx1"/>
            </w14:solidFill>
          </w14:textFill>
        </w:rPr>
        <w:t>，以确保每一折中的类别分布平衡。</w:t>
      </w:r>
      <w:r>
        <w:rPr>
          <w:rFonts w:hint="eastAsia" w:ascii="宋体" w:hAnsi="宋体" w:eastAsia="宋体"/>
          <w:b/>
          <w:bCs/>
          <w:color w:val="000000" w:themeColor="text1"/>
          <w14:textFill>
            <w14:solidFill>
              <w14:schemeClr w14:val="tx1"/>
            </w14:solidFill>
          </w14:textFill>
        </w:rPr>
        <w:t>图6展示了我们评估过程的流程图。</w:t>
      </w:r>
      <w:r>
        <w:rPr>
          <w:rFonts w:hint="eastAsia" w:ascii="宋体" w:hAnsi="宋体" w:eastAsia="宋体"/>
          <w:color w:val="000000" w:themeColor="text1"/>
          <w14:textFill>
            <w14:solidFill>
              <w14:schemeClr w14:val="tx1"/>
            </w14:solidFill>
          </w14:textFill>
        </w:rPr>
        <w:t>该方法的选择是为了减少数据不平衡引入的偏差，并保证评估结果的稳健性。在每一折中，我们使用了预先训练好的模型，包括表格数据的MLP模型、图像数据的CNN模型和原型模型。这些模型分别提取了表格和图像数据的特征，并通过集成方法将各个模型的预测结果进行平均。评估过程中，采用了全局阈值（通过</w:t>
      </w:r>
      <w:r>
        <w:rPr>
          <w:rFonts w:eastAsia="宋体" w:cs="Times New Roman"/>
          <w:color w:val="000000" w:themeColor="text1"/>
          <w14:textFill>
            <w14:solidFill>
              <w14:schemeClr w14:val="tx1"/>
            </w14:solidFill>
          </w14:textFill>
        </w:rPr>
        <w:t>Youden</w:t>
      </w:r>
      <w:r>
        <w:rPr>
          <w:rFonts w:hint="eastAsia" w:ascii="宋体" w:hAnsi="宋体" w:eastAsia="宋体"/>
          <w:color w:val="000000" w:themeColor="text1"/>
          <w14:textFill>
            <w14:solidFill>
              <w14:schemeClr w14:val="tx1"/>
            </w14:solidFill>
          </w14:textFill>
        </w:rPr>
        <w:t>指数确定）进行二分类决策，进一步提升了分类效果。模型性能通过多项评估指标进行衡量，包括准确率、平衡准确率、精确度、召回率、F1得分、ROCAUC值和马修斯相关系数</w:t>
      </w:r>
      <w:r>
        <w:rPr>
          <w:rFonts w:eastAsia="宋体" w:cs="Times New Roman"/>
          <w:color w:val="000000" w:themeColor="text1"/>
          <w14:textFill>
            <w14:solidFill>
              <w14:schemeClr w14:val="tx1"/>
            </w14:solidFill>
          </w14:textFill>
        </w:rPr>
        <w:t>（MCC）。</w:t>
      </w:r>
      <w:r>
        <w:rPr>
          <w:rFonts w:hint="eastAsia" w:ascii="宋体" w:hAnsi="宋体" w:eastAsia="宋体"/>
          <w:color w:val="000000" w:themeColor="text1"/>
          <w14:textFill>
            <w14:solidFill>
              <w14:schemeClr w14:val="tx1"/>
            </w14:solidFill>
          </w14:textFill>
        </w:rPr>
        <w:t>这些指标在每一折中进行了评估，最后通过平均值提供了最终的性能总结。</w:t>
      </w:r>
    </w:p>
    <w:p w14:paraId="3067DB5A">
      <w:pPr>
        <w:ind w:firstLine="420"/>
        <w:rPr>
          <w:rFonts w:hint="eastAsia" w:ascii="宋体" w:hAnsi="宋体" w:eastAsia="宋体"/>
          <w:color w:val="000000" w:themeColor="text1"/>
          <w14:textFill>
            <w14:solidFill>
              <w14:schemeClr w14:val="tx1"/>
            </w14:solidFill>
          </w14:textFill>
        </w:rPr>
      </w:pPr>
    </w:p>
    <w:p w14:paraId="616EB1F2">
      <w:pPr>
        <w:ind w:firstLine="420"/>
        <w:jc w:val="center"/>
        <w:rPr>
          <w:rFonts w:hint="eastAsia" w:ascii="宋体" w:hAnsi="宋体" w:eastAsia="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598545" cy="4625975"/>
            <wp:effectExtent l="9525" t="9525" r="1143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3598545" cy="4625975"/>
                    </a:xfrm>
                    <a:prstGeom prst="rect">
                      <a:avLst/>
                    </a:prstGeom>
                    <a:noFill/>
                    <a:ln>
                      <a:solidFill>
                        <a:schemeClr val="tx1"/>
                      </a:solidFill>
                    </a:ln>
                  </pic:spPr>
                </pic:pic>
              </a:graphicData>
            </a:graphic>
          </wp:inline>
        </w:drawing>
      </w:r>
    </w:p>
    <w:p w14:paraId="097D3B7D">
      <w:pPr>
        <w:jc w:val="both"/>
        <w:rPr>
          <w:rFonts w:hint="eastAsia" w:ascii="黑体" w:hAnsi="黑体" w:eastAsia="黑体" w:cs="黑体"/>
          <w:color w:val="000000" w:themeColor="text1"/>
          <w:sz w:val="21"/>
          <w:szCs w:val="21"/>
          <w:lang w:val="en-US" w:eastAsia="zh-CN"/>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图6</w:t>
      </w:r>
      <w:r>
        <w:rPr>
          <w:rFonts w:hint="eastAsia" w:ascii="黑体" w:hAnsi="黑体" w:eastAsia="黑体" w:cs="黑体"/>
          <w:color w:val="000000" w:themeColor="text1"/>
          <w:sz w:val="21"/>
          <w:szCs w:val="21"/>
          <w:lang w:val="en-US" w:eastAsia="zh-CN"/>
          <w14:textFill>
            <w14:solidFill>
              <w14:schemeClr w14:val="tx1"/>
            </w14:solidFill>
          </w14:textFill>
        </w:rPr>
        <w:t xml:space="preserve"> 模型评估流程图</w:t>
      </w:r>
    </w:p>
    <w:p w14:paraId="7BB72AAA">
      <w:pPr>
        <w:jc w:val="both"/>
        <w:rPr>
          <w:rFonts w:hint="eastAsia" w:ascii="宋体" w:hAnsi="宋体" w:eastAsia="宋体"/>
          <w:color w:val="000000" w:themeColor="text1"/>
          <w14:textFill>
            <w14:solidFill>
              <w14:schemeClr w14:val="tx1"/>
            </w14:solidFill>
          </w14:textFill>
        </w:rPr>
      </w:pPr>
    </w:p>
    <w:p w14:paraId="5F1EA6A0">
      <w:pPr>
        <w:keepNext w:val="0"/>
        <w:keepLines w:val="0"/>
        <w:pageBreakBefore w:val="0"/>
        <w:widowControl w:val="0"/>
        <w:numPr>
          <w:ilvl w:val="0"/>
          <w:numId w:val="1"/>
        </w:numPr>
        <w:kinsoku/>
        <w:wordWrap/>
        <w:overflowPunct/>
        <w:topLinePunct w:val="0"/>
        <w:autoSpaceDE/>
        <w:autoSpaceDN/>
        <w:bidi w:val="0"/>
        <w:adjustRightInd/>
        <w:snapToGrid/>
        <w:ind w:left="425" w:hanging="425"/>
        <w:textAlignment w:val="auto"/>
        <w:outlineLvl w:val="0"/>
        <w:rPr>
          <w:b/>
          <w:bCs/>
          <w:color w:val="000000" w:themeColor="text1"/>
          <w:sz w:val="36"/>
          <w:szCs w:val="36"/>
          <w14:textFill>
            <w14:solidFill>
              <w14:schemeClr w14:val="tx1"/>
            </w14:solidFill>
          </w14:textFill>
        </w:rPr>
      </w:pPr>
      <w:bookmarkStart w:id="133" w:name="_Toc25998"/>
      <w:bookmarkStart w:id="134" w:name="_Toc27885"/>
      <w:bookmarkStart w:id="135" w:name="_Toc10809"/>
      <w:bookmarkStart w:id="136" w:name="_Toc26512"/>
      <w:bookmarkStart w:id="137" w:name="_Toc1683"/>
      <w:r>
        <w:rPr>
          <w:rFonts w:hint="eastAsia"/>
          <w:b/>
          <w:bCs/>
          <w:color w:val="000000" w:themeColor="text1"/>
          <w:sz w:val="36"/>
          <w:szCs w:val="36"/>
          <w14:textFill>
            <w14:solidFill>
              <w14:schemeClr w14:val="tx1"/>
            </w14:solidFill>
          </w14:textFill>
        </w:rPr>
        <w:t>结果</w:t>
      </w:r>
      <w:bookmarkEnd w:id="133"/>
      <w:bookmarkEnd w:id="134"/>
      <w:bookmarkEnd w:id="135"/>
      <w:bookmarkEnd w:id="136"/>
      <w:bookmarkEnd w:id="137"/>
    </w:p>
    <w:p w14:paraId="66B1C5D5">
      <w:pPr>
        <w:ind w:firstLine="420"/>
        <w:rPr>
          <w:rFonts w:hint="eastAsia" w:ascii="宋体" w:hAnsi="宋体" w:eastAsia="宋体"/>
          <w:b w:val="0"/>
          <w:bCs w:val="0"/>
          <w:color w:val="000000" w:themeColor="text1"/>
          <w:lang w:eastAsia="zh-CN"/>
          <w14:textFill>
            <w14:solidFill>
              <w14:schemeClr w14:val="tx1"/>
            </w14:solidFill>
          </w14:textFill>
        </w:rPr>
      </w:pPr>
      <w:r>
        <w:rPr>
          <w:rFonts w:hint="eastAsia" w:ascii="宋体" w:hAnsi="宋体" w:eastAsia="宋体"/>
          <w:color w:val="000000" w:themeColor="text1"/>
          <w14:textFill>
            <w14:solidFill>
              <w14:schemeClr w14:val="tx1"/>
            </w14:solidFill>
          </w14:textFill>
        </w:rPr>
        <w:t>本研究提出的融合术后AKI预测模型通过系统整合多模态数据，展现了显著优于单一模态的性能提升。在独立验证中，基于结构化临床指标的表格模型（术前肌酐、乳酸、年龄等）取得了</w:t>
      </w:r>
      <w:r>
        <w:rPr>
          <w:rFonts w:hint="eastAsia" w:ascii="宋体" w:hAnsi="宋体" w:eastAsia="宋体"/>
          <w:b/>
          <w:bCs/>
          <w:color w:val="000000" w:themeColor="text1"/>
          <w14:textFill>
            <w14:solidFill>
              <w14:schemeClr w14:val="tx1"/>
            </w14:solidFill>
          </w14:textFill>
        </w:rPr>
        <w:t>AUC=0.578</w:t>
      </w:r>
      <w:r>
        <w:rPr>
          <w:rFonts w:hint="eastAsia" w:ascii="宋体" w:hAnsi="宋体" w:eastAsia="宋体"/>
          <w:color w:val="000000" w:themeColor="text1"/>
          <w14:textFill>
            <w14:solidFill>
              <w14:schemeClr w14:val="tx1"/>
            </w14:solidFill>
          </w14:textFill>
        </w:rPr>
        <w:t>，而影像模型（ResNet50）的</w:t>
      </w:r>
      <w:r>
        <w:rPr>
          <w:rFonts w:hint="eastAsia" w:ascii="宋体" w:hAnsi="宋体" w:eastAsia="宋体"/>
          <w:b/>
          <w:bCs/>
          <w:color w:val="000000" w:themeColor="text1"/>
          <w14:textFill>
            <w14:solidFill>
              <w14:schemeClr w14:val="tx1"/>
            </w14:solidFill>
          </w14:textFill>
        </w:rPr>
        <w:t>AUC</w:t>
      </w:r>
      <w:r>
        <w:rPr>
          <w:rFonts w:hint="eastAsia" w:ascii="宋体" w:hAnsi="宋体" w:eastAsia="宋体"/>
          <w:b/>
          <w:bCs/>
          <w:color w:val="000000" w:themeColor="text1"/>
          <w:lang w:val="en-US" w:eastAsia="zh-CN"/>
          <w14:textFill>
            <w14:solidFill>
              <w14:schemeClr w14:val="tx1"/>
            </w14:solidFill>
          </w14:textFill>
        </w:rPr>
        <w:t>=</w:t>
      </w:r>
      <w:r>
        <w:rPr>
          <w:rFonts w:hint="eastAsia" w:ascii="宋体" w:hAnsi="宋体" w:eastAsia="宋体"/>
          <w:b/>
          <w:bCs/>
          <w:color w:val="000000" w:themeColor="text1"/>
          <w14:textFill>
            <w14:solidFill>
              <w14:schemeClr w14:val="tx1"/>
            </w14:solidFill>
          </w14:textFill>
        </w:rPr>
        <w:t>0.51</w:t>
      </w:r>
      <w:r>
        <w:rPr>
          <w:rFonts w:hint="eastAsia" w:ascii="宋体" w:hAnsi="宋体" w:eastAsia="宋体"/>
          <w:color w:val="000000" w:themeColor="text1"/>
          <w14:textFill>
            <w14:solidFill>
              <w14:schemeClr w14:val="tx1"/>
            </w14:solidFill>
          </w14:textFill>
        </w:rPr>
        <w:t>，两者均显示出一定的预测能力但存在明显局限。通过创新性地融合这两种模态并引入原型学习，最终模型性能显著提升至</w:t>
      </w:r>
      <w:r>
        <w:rPr>
          <w:rFonts w:hint="eastAsia" w:ascii="宋体" w:hAnsi="宋体" w:eastAsia="宋体"/>
          <w:b/>
          <w:bCs/>
          <w:color w:val="000000" w:themeColor="text1"/>
          <w14:textFill>
            <w14:solidFill>
              <w14:schemeClr w14:val="tx1"/>
            </w14:solidFill>
          </w14:textFill>
        </w:rPr>
        <w:t>AUC=0.816</w:t>
      </w:r>
      <w:r>
        <w:rPr>
          <w:rFonts w:hint="eastAsia" w:ascii="宋体" w:hAnsi="宋体" w:eastAsia="宋体"/>
          <w:b w:val="0"/>
          <w:bCs w:val="0"/>
          <w:color w:val="000000" w:themeColor="text1"/>
          <w:lang w:eastAsia="zh-CN"/>
          <w14:textFill>
            <w14:solidFill>
              <w14:schemeClr w14:val="tx1"/>
            </w14:solidFill>
          </w14:textFill>
        </w:rPr>
        <w:t>。</w:t>
      </w:r>
    </w:p>
    <w:p w14:paraId="1D18F5FB">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同时，通过基于SHAP的可解释性分析，本研究有效揭示了模型决策背后的临床特征贡献度，帮助医生直观理解预测结果的生物学依据，增强对模型的信任感。透明的解释机制不仅使医生能够把握整体决策规律，也便于针对个体病例验证预测的合理性，显著提升了人机协作下术前风险评估的效率与可靠性，推动AI模型的临床落地应用。</w:t>
      </w:r>
    </w:p>
    <w:p w14:paraId="439E0110">
      <w:pPr>
        <w:ind w:firstLine="420"/>
        <w:rPr>
          <w:rFonts w:hint="eastAsia" w:ascii="宋体" w:hAnsi="宋体" w:eastAsia="宋体"/>
          <w:b/>
          <w:bCs/>
          <w:color w:val="000000" w:themeColor="text1"/>
          <w:lang w:val="en-US"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尽管本研究在样本代表性和阈值通用性方面仍有待增强，其多模态融合框架已展现出显著临床价值。未来通过多中心、大规模队列以及多样化手术类型的合作，可扩大样本覆盖并深化亚组分析；</w:t>
      </w:r>
      <w:r>
        <w:rPr>
          <w:rFonts w:hint="eastAsia" w:ascii="宋体" w:hAnsi="宋体" w:eastAsia="宋体"/>
          <w:color w:val="000000" w:themeColor="text1"/>
          <w:lang w:val="en-US" w:eastAsia="zh-CN"/>
          <w14:textFill>
            <w14:solidFill>
              <w14:schemeClr w14:val="tx1"/>
            </w14:solidFill>
          </w14:textFill>
        </w:rPr>
        <w:t>此外</w:t>
      </w:r>
      <w:r>
        <w:rPr>
          <w:rFonts w:hint="eastAsia" w:ascii="宋体" w:hAnsi="宋体" w:eastAsia="宋体"/>
          <w:color w:val="000000" w:themeColor="text1"/>
          <w:lang w:eastAsia="zh-CN"/>
          <w14:textFill>
            <w14:solidFill>
              <w14:schemeClr w14:val="tx1"/>
            </w14:solidFill>
          </w14:textFill>
        </w:rPr>
        <w:t>，基于患者个体特征和临床情境的动态阈值策略，将进一步提升模型的个性化适配能力；</w:t>
      </w:r>
      <w:r>
        <w:rPr>
          <w:rFonts w:hint="eastAsia" w:ascii="宋体" w:hAnsi="宋体" w:eastAsia="宋体"/>
          <w:color w:val="000000" w:themeColor="text1"/>
          <w:lang w:val="en-US" w:eastAsia="zh-CN"/>
          <w14:textFill>
            <w14:solidFill>
              <w14:schemeClr w14:val="tx1"/>
            </w14:solidFill>
          </w14:textFill>
        </w:rPr>
        <w:t>同时</w:t>
      </w:r>
      <w:r>
        <w:rPr>
          <w:rFonts w:hint="eastAsia" w:ascii="宋体" w:hAnsi="宋体" w:eastAsia="宋体"/>
          <w:color w:val="000000" w:themeColor="text1"/>
          <w:lang w:eastAsia="zh-CN"/>
          <w14:textFill>
            <w14:solidFill>
              <w14:schemeClr w14:val="tx1"/>
            </w14:solidFill>
          </w14:textFill>
        </w:rPr>
        <w:t>，整合术中实时生理监测数据与更丰富的影像组学特征，有望打通术前风险评估与术中动态预警的闭环管理。</w:t>
      </w:r>
      <w:r>
        <w:rPr>
          <w:rFonts w:hint="eastAsia" w:ascii="宋体" w:hAnsi="宋体" w:eastAsia="宋体"/>
          <w:color w:val="000000" w:themeColor="text1"/>
          <w:lang w:val="en-US" w:eastAsia="zh-CN"/>
          <w14:textFill>
            <w14:solidFill>
              <w14:schemeClr w14:val="tx1"/>
            </w14:solidFill>
          </w14:textFill>
        </w:rPr>
        <w:t>以进一步推进模型</w:t>
      </w:r>
      <w:r>
        <w:rPr>
          <w:rFonts w:hint="eastAsia" w:ascii="宋体" w:hAnsi="宋体" w:eastAsia="宋体"/>
          <w:color w:val="000000" w:themeColor="text1"/>
          <w:lang w:eastAsia="zh-CN"/>
          <w14:textFill>
            <w14:solidFill>
              <w14:schemeClr w14:val="tx1"/>
            </w14:solidFill>
          </w14:textFill>
        </w:rPr>
        <w:t>从研究验证向临床常规应用的转化，为精准围手术期决策提供智能化支持。</w:t>
      </w:r>
    </w:p>
    <w:p w14:paraId="5536373C">
      <w:pPr>
        <w:keepNext w:val="0"/>
        <w:keepLines w:val="0"/>
        <w:pageBreakBefore w:val="0"/>
        <w:widowControl w:val="0"/>
        <w:numPr>
          <w:ilvl w:val="1"/>
          <w:numId w:val="1"/>
        </w:numPr>
        <w:kinsoku/>
        <w:wordWrap/>
        <w:overflowPunct/>
        <w:topLinePunct w:val="0"/>
        <w:autoSpaceDE/>
        <w:autoSpaceDN/>
        <w:bidi w:val="0"/>
        <w:adjustRightInd/>
        <w:snapToGrid/>
        <w:ind w:left="567" w:hanging="567"/>
        <w:textAlignment w:val="auto"/>
        <w:outlineLvl w:val="1"/>
        <w:rPr>
          <w:b/>
          <w:bCs/>
          <w:color w:val="000000" w:themeColor="text1"/>
          <w:sz w:val="30"/>
          <w:szCs w:val="30"/>
          <w14:textFill>
            <w14:solidFill>
              <w14:schemeClr w14:val="tx1"/>
            </w14:solidFill>
          </w14:textFill>
        </w:rPr>
      </w:pPr>
      <w:bookmarkStart w:id="138" w:name="_Toc7719"/>
      <w:bookmarkStart w:id="139" w:name="_Toc18772"/>
      <w:bookmarkStart w:id="140" w:name="_Toc31269"/>
      <w:bookmarkStart w:id="141" w:name="_Toc15360"/>
      <w:bookmarkStart w:id="142" w:name="_Toc24644"/>
      <w:r>
        <w:rPr>
          <w:rFonts w:hint="eastAsia"/>
          <w:b/>
          <w:bCs/>
          <w:color w:val="000000" w:themeColor="text1"/>
          <w:sz w:val="30"/>
          <w:szCs w:val="30"/>
          <w14:textFill>
            <w14:solidFill>
              <w14:schemeClr w14:val="tx1"/>
            </w14:solidFill>
          </w14:textFill>
        </w:rPr>
        <w:t>模型性能</w:t>
      </w:r>
      <w:bookmarkEnd w:id="138"/>
      <w:bookmarkEnd w:id="139"/>
      <w:bookmarkEnd w:id="140"/>
      <w:bookmarkEnd w:id="141"/>
      <w:bookmarkEnd w:id="142"/>
    </w:p>
    <w:p w14:paraId="23701681">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本研究开发的术后急性肾损伤（AKI）预测模型通过</w:t>
      </w:r>
      <w:r>
        <w:rPr>
          <w:rFonts w:hint="eastAsia"/>
          <w:b/>
          <w:bCs/>
          <w:color w:val="000000" w:themeColor="text1"/>
          <w14:textFill>
            <w14:solidFill>
              <w14:schemeClr w14:val="tx1"/>
            </w14:solidFill>
          </w14:textFill>
        </w:rPr>
        <w:t>五折交叉验证</w:t>
      </w:r>
      <w:r>
        <w:rPr>
          <w:rFonts w:hint="eastAsia"/>
          <w:color w:val="000000" w:themeColor="text1"/>
          <w14:textFill>
            <w14:solidFill>
              <w14:schemeClr w14:val="tx1"/>
            </w14:solidFill>
          </w14:textFill>
        </w:rPr>
        <w:t>展现出良好的预测性能。模型平均AUC达到0.816±0.036，</w:t>
      </w:r>
      <w:r>
        <w:rPr>
          <w:rFonts w:hint="eastAsia"/>
          <w:color w:val="000000" w:themeColor="text1"/>
          <w14:textFill>
            <w14:solidFill>
              <w14:schemeClr w14:val="tx1"/>
            </w14:solidFill>
          </w14:textFill>
        </w:rPr>
        <w:t>整体的ROC曲线（图7）</w:t>
      </w:r>
      <w:r>
        <w:rPr>
          <w:rFonts w:hint="eastAsia"/>
          <w:color w:val="000000" w:themeColor="text1"/>
          <w14:textFill>
            <w14:solidFill>
              <w14:schemeClr w14:val="tx1"/>
            </w14:solidFill>
          </w14:textFill>
        </w:rPr>
        <w:t>高于随机分类基线，各折AUC值保持在0.764至0.863之间，其中第4折表现最为突出（AUC=0.863，准确率=0.811），表明该模型在不同数据划分下均能实现较稳定的预测效果。整体来看，模型具有较高的敏感性（召回率0.788±0.074），能够有效识别AKI阳性病例，有助于降低临床上漏诊风险。然而，精确率（0.729±0.038）存在一定波动，尤其是在第1折中精确率降至0.679，说明在部分数据子集中出现较多假阳性病例，提示需进一步优化模型在特异性和精确度方面的表现。</w:t>
      </w:r>
      <w:r>
        <w:rPr>
          <w:rFonts w:hint="eastAsia"/>
          <w:color w:val="000000" w:themeColor="text1"/>
          <w14:textFill>
            <w14:solidFill>
              <w14:schemeClr w14:val="tx1"/>
            </w14:solidFill>
          </w14:textFill>
        </w:rPr>
        <w:t>每折的混淆矩阵（图8）以及ROC曲线（图9）。</w:t>
      </w:r>
    </w:p>
    <w:p w14:paraId="351E8F94">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通过Youden指数确定的最</w:t>
      </w:r>
      <w:r>
        <w:rPr>
          <w:rFonts w:hint="eastAsia"/>
          <w:color w:val="000000" w:themeColor="text1"/>
          <w14:textFill>
            <w14:solidFill>
              <w14:schemeClr w14:val="tx1"/>
            </w14:solidFill>
          </w14:textFill>
        </w:rPr>
        <w:t>佳阈值为0.332，该阈值</w:t>
      </w:r>
      <w:r>
        <w:rPr>
          <w:rFonts w:hint="eastAsia"/>
          <w:color w:val="000000" w:themeColor="text1"/>
          <w14:textFill>
            <w14:solidFill>
              <w14:schemeClr w14:val="tx1"/>
            </w14:solidFill>
          </w14:textFill>
        </w:rPr>
        <w:t>在平衡敏感性与特异性方面表现良好，但仍需注意其在特定人群或临床情境下的适用性。未来研究中可针对具体医疗场景，例如高风险手术患者或老年患者群体，进行针对性阈值调整，以进一步优化模型在不同应用情境下的预测效果。此外，从临床决策的视角出发，结合ROC曲线与混淆矩阵分析，模型整体表现支持其在术前风险分层和术后干预措施制定中的临床应用价值，后续研究还应探索模型性能的外部验证及真实医疗环境中的效果，以进一步增强该模型的泛化能力与实用性。</w:t>
      </w:r>
    </w:p>
    <w:p w14:paraId="2DB5299D">
      <w:pPr>
        <w:ind w:firstLine="420"/>
        <w:rPr>
          <w:color w:val="000000" w:themeColor="text1"/>
          <w14:textFill>
            <w14:solidFill>
              <w14:schemeClr w14:val="tx1"/>
            </w14:solidFill>
          </w14:textFill>
        </w:rPr>
      </w:pPr>
    </w:p>
    <w:p w14:paraId="734A3229">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749040" cy="2672715"/>
            <wp:effectExtent l="0" t="0" r="1016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3749040" cy="2672715"/>
                    </a:xfrm>
                    <a:prstGeom prst="rect">
                      <a:avLst/>
                    </a:prstGeom>
                    <a:noFill/>
                    <a:ln>
                      <a:noFill/>
                    </a:ln>
                  </pic:spPr>
                </pic:pic>
              </a:graphicData>
            </a:graphic>
          </wp:inline>
        </w:drawing>
      </w:r>
    </w:p>
    <w:p w14:paraId="3E0F6E8E">
      <w:pPr>
        <w:ind w:firstLine="420"/>
        <w:rPr>
          <w:rFonts w:hint="eastAsia" w:ascii="黑体" w:hAnsi="黑体" w:eastAsia="黑体" w:cs="黑体"/>
          <w:color w:val="000000" w:themeColor="text1"/>
          <w:sz w:val="21"/>
          <w:szCs w:val="21"/>
          <w:lang w:val="en-US" w:eastAsia="zh-CN"/>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图7</w:t>
      </w:r>
      <w:r>
        <w:rPr>
          <w:rFonts w:hint="eastAsia" w:ascii="黑体" w:hAnsi="黑体" w:eastAsia="黑体" w:cs="黑体"/>
          <w:color w:val="000000" w:themeColor="text1"/>
          <w:sz w:val="21"/>
          <w:szCs w:val="21"/>
          <w:lang w:val="en-US" w:eastAsia="zh-CN"/>
          <w14:textFill>
            <w14:solidFill>
              <w14:schemeClr w14:val="tx1"/>
            </w14:solidFill>
          </w14:textFill>
        </w:rPr>
        <w:t xml:space="preserve"> 整体ROC曲线</w:t>
      </w:r>
    </w:p>
    <w:p w14:paraId="239CDA58">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6690" cy="2494915"/>
            <wp:effectExtent l="0" t="0" r="381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5266690" cy="2494915"/>
                    </a:xfrm>
                    <a:prstGeom prst="rect">
                      <a:avLst/>
                    </a:prstGeom>
                    <a:noFill/>
                    <a:ln>
                      <a:noFill/>
                    </a:ln>
                  </pic:spPr>
                </pic:pic>
              </a:graphicData>
            </a:graphic>
          </wp:inline>
        </w:drawing>
      </w:r>
    </w:p>
    <w:p w14:paraId="7A0BFB4E">
      <w:pPr>
        <w:rPr>
          <w:rFonts w:hint="eastAsia" w:ascii="黑体" w:hAnsi="黑体" w:eastAsia="黑体" w:cs="黑体"/>
          <w:b w:val="0"/>
          <w:bCs w:val="0"/>
          <w:color w:val="000000" w:themeColor="text1"/>
          <w:sz w:val="21"/>
          <w:szCs w:val="21"/>
          <w:lang w:val="en-US" w:eastAsia="zh-CN"/>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图8</w:t>
      </w:r>
      <w:r>
        <w:rPr>
          <w:rFonts w:hint="eastAsia" w:ascii="黑体" w:hAnsi="黑体" w:eastAsia="黑体" w:cs="黑体"/>
          <w:b w:val="0"/>
          <w:bCs w:val="0"/>
          <w:color w:val="000000" w:themeColor="text1"/>
          <w:sz w:val="21"/>
          <w:szCs w:val="21"/>
          <w:lang w:val="en-US" w:eastAsia="zh-CN"/>
          <w14:textFill>
            <w14:solidFill>
              <w14:schemeClr w14:val="tx1"/>
            </w14:solidFill>
          </w14:textFill>
        </w:rPr>
        <w:t xml:space="preserve"> </w:t>
      </w:r>
      <w:r>
        <w:rPr>
          <w:rFonts w:hint="eastAsia" w:ascii="黑体" w:hAnsi="黑体" w:eastAsia="黑体" w:cs="黑体"/>
          <w:b w:val="0"/>
          <w:bCs w:val="0"/>
          <w:color w:val="000000" w:themeColor="text1"/>
          <w:sz w:val="21"/>
          <w:szCs w:val="21"/>
          <w14:textFill>
            <w14:solidFill>
              <w14:schemeClr w14:val="tx1"/>
            </w14:solidFill>
          </w14:textFill>
        </w:rPr>
        <w:t>五折交叉验证</w:t>
      </w:r>
      <w:r>
        <w:rPr>
          <w:rFonts w:hint="eastAsia" w:ascii="黑体" w:hAnsi="黑体" w:eastAsia="黑体" w:cs="黑体"/>
          <w:b w:val="0"/>
          <w:bCs w:val="0"/>
          <w:color w:val="000000" w:themeColor="text1"/>
          <w:sz w:val="21"/>
          <w:szCs w:val="21"/>
          <w:lang w:eastAsia="zh-CN"/>
          <w14:textFill>
            <w14:solidFill>
              <w14:schemeClr w14:val="tx1"/>
            </w14:solidFill>
          </w14:textFill>
        </w:rPr>
        <w:t>—</w:t>
      </w:r>
      <w:r>
        <w:rPr>
          <w:rFonts w:hint="eastAsia" w:ascii="黑体" w:hAnsi="黑体" w:eastAsia="黑体" w:cs="黑体"/>
          <w:b w:val="0"/>
          <w:bCs w:val="0"/>
          <w:color w:val="000000" w:themeColor="text1"/>
          <w:sz w:val="21"/>
          <w:szCs w:val="21"/>
          <w:lang w:val="en-US" w:eastAsia="zh-CN"/>
          <w14:textFill>
            <w14:solidFill>
              <w14:schemeClr w14:val="tx1"/>
            </w14:solidFill>
          </w14:textFill>
        </w:rPr>
        <w:t>混淆矩阵</w:t>
      </w:r>
    </w:p>
    <w:p w14:paraId="7FB0F240">
      <w:pPr>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6690" cy="261620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5266690" cy="2616200"/>
                    </a:xfrm>
                    <a:prstGeom prst="rect">
                      <a:avLst/>
                    </a:prstGeom>
                    <a:noFill/>
                    <a:ln>
                      <a:noFill/>
                    </a:ln>
                  </pic:spPr>
                </pic:pic>
              </a:graphicData>
            </a:graphic>
          </wp:inline>
        </w:drawing>
      </w:r>
    </w:p>
    <w:p w14:paraId="1B6C0F01">
      <w:pPr>
        <w:rPr>
          <w:rFonts w:hint="eastAsia" w:ascii="黑体" w:hAnsi="黑体" w:eastAsia="黑体" w:cs="黑体"/>
          <w:color w:val="000000" w:themeColor="text1"/>
          <w:sz w:val="21"/>
          <w:szCs w:val="21"/>
          <w:lang w:val="en-US" w:eastAsia="zh-CN"/>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图9</w:t>
      </w:r>
      <w:r>
        <w:rPr>
          <w:rFonts w:hint="eastAsia" w:ascii="黑体" w:hAnsi="黑体" w:eastAsia="黑体" w:cs="黑体"/>
          <w:color w:val="000000" w:themeColor="text1"/>
          <w:sz w:val="21"/>
          <w:szCs w:val="21"/>
          <w:lang w:val="en-US" w:eastAsia="zh-CN"/>
          <w14:textFill>
            <w14:solidFill>
              <w14:schemeClr w14:val="tx1"/>
            </w14:solidFill>
          </w14:textFill>
        </w:rPr>
        <w:t xml:space="preserve"> </w:t>
      </w:r>
      <w:r>
        <w:rPr>
          <w:rFonts w:hint="eastAsia" w:ascii="黑体" w:hAnsi="黑体" w:eastAsia="黑体" w:cs="黑体"/>
          <w:b w:val="0"/>
          <w:bCs w:val="0"/>
          <w:color w:val="000000" w:themeColor="text1"/>
          <w:sz w:val="21"/>
          <w:szCs w:val="21"/>
          <w14:textFill>
            <w14:solidFill>
              <w14:schemeClr w14:val="tx1"/>
            </w14:solidFill>
          </w14:textFill>
        </w:rPr>
        <w:t>五折交叉验证</w:t>
      </w:r>
      <w:r>
        <w:rPr>
          <w:rFonts w:hint="eastAsia" w:ascii="黑体" w:hAnsi="黑体" w:eastAsia="黑体" w:cs="黑体"/>
          <w:b w:val="0"/>
          <w:bCs w:val="0"/>
          <w:color w:val="000000" w:themeColor="text1"/>
          <w:sz w:val="21"/>
          <w:szCs w:val="21"/>
          <w:lang w:eastAsia="zh-CN"/>
          <w14:textFill>
            <w14:solidFill>
              <w14:schemeClr w14:val="tx1"/>
            </w14:solidFill>
          </w14:textFill>
        </w:rPr>
        <w:t>—</w:t>
      </w:r>
      <w:r>
        <w:rPr>
          <w:rFonts w:hint="eastAsia" w:ascii="黑体" w:hAnsi="黑体" w:eastAsia="黑体" w:cs="黑体"/>
          <w:b w:val="0"/>
          <w:bCs w:val="0"/>
          <w:color w:val="000000" w:themeColor="text1"/>
          <w:sz w:val="21"/>
          <w:szCs w:val="21"/>
          <w:lang w:val="en-US" w:eastAsia="zh-CN"/>
          <w14:textFill>
            <w14:solidFill>
              <w14:schemeClr w14:val="tx1"/>
            </w14:solidFill>
          </w14:textFill>
        </w:rPr>
        <w:t>ROC曲线</w:t>
      </w:r>
    </w:p>
    <w:p w14:paraId="4CF57CD6">
      <w:pPr>
        <w:keepNext w:val="0"/>
        <w:keepLines w:val="0"/>
        <w:pageBreakBefore w:val="0"/>
        <w:widowControl w:val="0"/>
        <w:numPr>
          <w:ilvl w:val="1"/>
          <w:numId w:val="1"/>
        </w:numPr>
        <w:kinsoku/>
        <w:wordWrap/>
        <w:overflowPunct/>
        <w:topLinePunct w:val="0"/>
        <w:autoSpaceDE/>
        <w:autoSpaceDN/>
        <w:bidi w:val="0"/>
        <w:adjustRightInd/>
        <w:snapToGrid/>
        <w:ind w:left="567" w:hanging="567"/>
        <w:textAlignment w:val="auto"/>
        <w:outlineLvl w:val="1"/>
        <w:rPr>
          <w:b/>
          <w:bCs/>
          <w:color w:val="000000" w:themeColor="text1"/>
          <w:sz w:val="30"/>
          <w:szCs w:val="30"/>
          <w14:textFill>
            <w14:solidFill>
              <w14:schemeClr w14:val="tx1"/>
            </w14:solidFill>
          </w14:textFill>
        </w:rPr>
      </w:pPr>
      <w:bookmarkStart w:id="143" w:name="_Toc32648"/>
      <w:bookmarkStart w:id="144" w:name="_Toc11411"/>
      <w:bookmarkStart w:id="145" w:name="_Toc16731"/>
      <w:bookmarkStart w:id="146" w:name="_Toc31168"/>
      <w:bookmarkStart w:id="147" w:name="_Toc20787"/>
      <w:r>
        <w:rPr>
          <w:rFonts w:hint="eastAsia"/>
          <w:b/>
          <w:bCs/>
          <w:color w:val="000000" w:themeColor="text1"/>
          <w:sz w:val="30"/>
          <w:szCs w:val="30"/>
          <w14:textFill>
            <w14:solidFill>
              <w14:schemeClr w14:val="tx1"/>
            </w14:solidFill>
          </w14:textFill>
        </w:rPr>
        <w:t>基于SHAP值的特征重要性</w:t>
      </w:r>
      <w:bookmarkEnd w:id="143"/>
      <w:bookmarkEnd w:id="144"/>
      <w:bookmarkEnd w:id="145"/>
      <w:bookmarkEnd w:id="146"/>
      <w:bookmarkEnd w:id="147"/>
    </w:p>
    <w:p w14:paraId="2CBDAE6F">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为深入剖析各术前临床变量对AKI预测的贡献，本研究引入 SHAP（SHapley Additive exPlanations）方法对模型进行可解释性</w:t>
      </w:r>
      <w:r>
        <w:rPr>
          <w:rFonts w:hint="eastAsia"/>
          <w:color w:val="000000" w:themeColor="text1"/>
          <w14:textFill>
            <w14:solidFill>
              <w14:schemeClr w14:val="tx1"/>
            </w14:solidFill>
          </w14:textFill>
        </w:rPr>
        <w:t>评估（图10）。</w:t>
      </w:r>
      <w:r>
        <w:rPr>
          <w:rFonts w:hint="eastAsia"/>
          <w:color w:val="000000" w:themeColor="text1"/>
          <w14:textFill>
            <w14:solidFill>
              <w14:schemeClr w14:val="tx1"/>
            </w14:solidFill>
          </w14:textFill>
        </w:rPr>
        <w:t>SHAP 值能够量化单个特征对模型输出的平均影响，有助于揭示模型决策背后的生物学机制。从全局平均|SHAP|值排序来看：</w:t>
      </w:r>
    </w:p>
    <w:p w14:paraId="7AAFB161">
      <w:pPr>
        <w:numPr>
          <w:ilvl w:val="1"/>
          <w:numId w:val="12"/>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术前肌酐水平</w:t>
      </w:r>
      <w:r>
        <w:rPr>
          <w:rFonts w:hint="eastAsia"/>
          <w:color w:val="000000" w:themeColor="text1"/>
          <w14:textFill>
            <w14:solidFill>
              <w14:schemeClr w14:val="tx1"/>
            </w14:solidFill>
          </w14:textFill>
        </w:rPr>
        <w:t>：最具预测价值，反映了肾功能基线状态对术后 AKI 风险的决定性作用，同时也验证了传统肾功能指标在临床预警中的关键地位；</w:t>
      </w:r>
    </w:p>
    <w:p w14:paraId="48136FAC">
      <w:pPr>
        <w:numPr>
          <w:ilvl w:val="1"/>
          <w:numId w:val="12"/>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年龄：</w:t>
      </w:r>
      <w:r>
        <w:rPr>
          <w:rFonts w:hint="eastAsia"/>
          <w:color w:val="000000" w:themeColor="text1"/>
          <w14:textFill>
            <w14:solidFill>
              <w14:schemeClr w14:val="tx1"/>
            </w14:solidFill>
          </w14:textFill>
        </w:rPr>
        <w:t>高龄患者术后 AKI 易感性增强，提示需在术前评估中重点考虑患者生理老化程度；</w:t>
      </w:r>
    </w:p>
    <w:p w14:paraId="195C7CF4">
      <w:pPr>
        <w:numPr>
          <w:ilvl w:val="1"/>
          <w:numId w:val="12"/>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术前乳酸：</w:t>
      </w:r>
      <w:r>
        <w:rPr>
          <w:rFonts w:hint="eastAsia"/>
          <w:color w:val="000000" w:themeColor="text1"/>
          <w14:textFill>
            <w14:solidFill>
              <w14:schemeClr w14:val="tx1"/>
            </w14:solidFill>
          </w14:textFill>
        </w:rPr>
        <w:t>表明了围手术期组织低灌注及代谢紊乱对AKI发病具有重要影响。</w:t>
      </w:r>
    </w:p>
    <w:p w14:paraId="42CEFDB2">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此外，AST、尿素氮等常规术前生化指标呈中等预测贡献，高血压、糖尿病及独肾状态等慢性病史的 SHAP 值较低，这是由于本队列中独肾患者样本量过少，模型未能充分学习该特征的潜在影响。</w:t>
      </w:r>
    </w:p>
    <w:p w14:paraId="217D3CFC">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综上所述，SHAP 分析不仅验证了模型对关键临床特征的有效捕捉，也为临床干预提供了明确的靶向指标：在术前应重点监测与优化肌酐、乳酸及年龄相关风险因素，以期在精准评估基础上制定有效的预防策略，从而降低术后AKI的发生率。</w:t>
      </w:r>
    </w:p>
    <w:p w14:paraId="209BAC15">
      <w:pPr>
        <w:ind w:firstLine="42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982845" cy="3021330"/>
            <wp:effectExtent l="0" t="0" r="825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4982845" cy="3021330"/>
                    </a:xfrm>
                    <a:prstGeom prst="rect">
                      <a:avLst/>
                    </a:prstGeom>
                    <a:noFill/>
                    <a:ln>
                      <a:noFill/>
                    </a:ln>
                  </pic:spPr>
                </pic:pic>
              </a:graphicData>
            </a:graphic>
          </wp:inline>
        </w:drawing>
      </w:r>
    </w:p>
    <w:p w14:paraId="4A06D3B0">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图10</w:t>
      </w:r>
    </w:p>
    <w:p w14:paraId="1EA905B2">
      <w:pPr>
        <w:rPr>
          <w:color w:val="000000" w:themeColor="text1"/>
          <w14:textFill>
            <w14:solidFill>
              <w14:schemeClr w14:val="tx1"/>
            </w14:solidFill>
          </w14:textFill>
        </w:rPr>
      </w:pPr>
    </w:p>
    <w:p w14:paraId="760CF76D">
      <w:pPr>
        <w:keepNext w:val="0"/>
        <w:keepLines w:val="0"/>
        <w:pageBreakBefore w:val="0"/>
        <w:widowControl w:val="0"/>
        <w:numPr>
          <w:ilvl w:val="0"/>
          <w:numId w:val="1"/>
        </w:numPr>
        <w:kinsoku/>
        <w:wordWrap/>
        <w:overflowPunct/>
        <w:topLinePunct w:val="0"/>
        <w:autoSpaceDE/>
        <w:autoSpaceDN/>
        <w:bidi w:val="0"/>
        <w:adjustRightInd/>
        <w:snapToGrid/>
        <w:ind w:left="425" w:hanging="425"/>
        <w:textAlignment w:val="auto"/>
        <w:outlineLvl w:val="0"/>
        <w:rPr>
          <w:b/>
          <w:bCs/>
          <w:color w:val="000000" w:themeColor="text1"/>
          <w:sz w:val="36"/>
          <w:szCs w:val="36"/>
          <w14:textFill>
            <w14:solidFill>
              <w14:schemeClr w14:val="tx1"/>
            </w14:solidFill>
          </w14:textFill>
        </w:rPr>
      </w:pPr>
      <w:bookmarkStart w:id="148" w:name="_Toc19465"/>
      <w:bookmarkStart w:id="149" w:name="_Toc22940"/>
      <w:bookmarkStart w:id="150" w:name="_Toc10173"/>
      <w:bookmarkStart w:id="151" w:name="_Toc26485"/>
      <w:bookmarkStart w:id="152" w:name="_Toc17250"/>
      <w:r>
        <w:rPr>
          <w:rFonts w:hint="eastAsia"/>
          <w:b/>
          <w:bCs/>
          <w:color w:val="000000" w:themeColor="text1"/>
          <w:sz w:val="36"/>
          <w:szCs w:val="36"/>
          <w14:textFill>
            <w14:solidFill>
              <w14:schemeClr w14:val="tx1"/>
            </w14:solidFill>
          </w14:textFill>
        </w:rPr>
        <w:t>讨论</w:t>
      </w:r>
      <w:bookmarkEnd w:id="148"/>
      <w:bookmarkEnd w:id="149"/>
      <w:bookmarkEnd w:id="150"/>
      <w:bookmarkEnd w:id="151"/>
      <w:bookmarkEnd w:id="152"/>
    </w:p>
    <w:p w14:paraId="3D7ECEB0">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本研究的术后AKI预测模型在方法学上具有重要创新价值。考虑到数据样本较小，传统的深度学习方法在小样本数据上的表现并不理想，尤其是在数据不平衡的情况下，容易出现过拟合。为此，小样本学习（Few-Shot Learning）作为AI领域的一个重要研究方向，能够在数据有限的情况下仍然有效学习并做出准确预测。通过引入小样本学习和数据增强技术，本研究成功避免了传统方法中的过拟合问题，并有效提高了模型的泛化能力</w:t>
      </w:r>
      <w:r>
        <w:rPr>
          <w:rFonts w:hint="eastAsia" w:ascii="宋体" w:hAnsi="宋体" w:eastAsia="宋体"/>
          <w:color w:val="000000" w:themeColor="text1"/>
          <w:lang w:eastAsia="zh-CN"/>
          <w14:textFill>
            <w14:solidFill>
              <w14:schemeClr w14:val="tx1"/>
            </w14:solidFill>
          </w14:textFill>
        </w:rPr>
        <w:t>，</w:t>
      </w:r>
      <w:r>
        <w:rPr>
          <w:rFonts w:hint="eastAsia" w:ascii="宋体" w:hAnsi="宋体" w:eastAsia="宋体"/>
          <w:color w:val="000000" w:themeColor="text1"/>
          <w14:textFill>
            <w14:solidFill>
              <w14:schemeClr w14:val="tx1"/>
            </w14:solidFill>
          </w14:textFill>
        </w:rPr>
        <w:t>确保了模型在有限样本下的良好性能。通过融合常规术前临床指标</w:t>
      </w:r>
      <w:r>
        <w:rPr>
          <w:rFonts w:hint="eastAsia" w:ascii="宋体" w:hAnsi="宋体" w:eastAsia="宋体"/>
          <w:color w:val="000000" w:themeColor="text1"/>
          <w:lang w:val="en-US" w:eastAsia="zh-CN"/>
          <w14:textFill>
            <w14:solidFill>
              <w14:schemeClr w14:val="tx1"/>
            </w14:solidFill>
          </w14:textFill>
        </w:rPr>
        <w:t>和影像数据，</w:t>
      </w:r>
      <w:r>
        <w:rPr>
          <w:rFonts w:hint="eastAsia" w:ascii="宋体" w:hAnsi="宋体" w:eastAsia="宋体"/>
          <w:color w:val="000000" w:themeColor="text1"/>
          <w14:textFill>
            <w14:solidFill>
              <w14:schemeClr w14:val="tx1"/>
            </w14:solidFill>
          </w14:textFill>
        </w:rPr>
        <w:t>模型在保持临床实用性的同时实现了较高的预测准确性。通过系统分析，模型仅需纳入11项常规术前检查指标，便能够实现良好的预测性能，这一特点显著提升了模型在临床环境中的可操作性。同时，采用SHAP解释性分析方法有效提升了模型决策的透明度，确保了模型结果的可解释性。</w:t>
      </w:r>
    </w:p>
    <w:p w14:paraId="1DF876DB">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在特征选择上，本研究不仅结合了影像学数据与表格数据，还创新性地引入了“是否独肾”这一临床特征作为独立因素。尽管SHAP分析显示该因素对模型的影响较小，这可能与独肾患者样本量过少</w:t>
      </w:r>
      <w:r>
        <w:rPr>
          <w:rFonts w:hint="eastAsia" w:ascii="宋体" w:hAnsi="宋体" w:eastAsia="宋体"/>
          <w:color w:val="000000" w:themeColor="text1"/>
          <w14:textFill>
            <w14:solidFill>
              <w14:schemeClr w14:val="tx1"/>
            </w14:solidFill>
          </w14:textFill>
        </w:rPr>
        <w:t>（在19</w:t>
      </w:r>
      <w:r>
        <w:rPr>
          <w:rFonts w:hint="eastAsia" w:ascii="宋体" w:hAnsi="宋体" w:eastAsia="宋体"/>
          <w:color w:val="000000" w:themeColor="text1"/>
          <w:lang w:val="en-US" w:eastAsia="zh-CN"/>
          <w14:textFill>
            <w14:solidFill>
              <w14:schemeClr w14:val="tx1"/>
            </w14:solidFill>
          </w14:textFill>
        </w:rPr>
        <w:t>4</w:t>
      </w:r>
      <w:r>
        <w:rPr>
          <w:rFonts w:hint="eastAsia" w:ascii="宋体" w:hAnsi="宋体" w:eastAsia="宋体"/>
          <w:color w:val="000000" w:themeColor="text1"/>
          <w14:textFill>
            <w14:solidFill>
              <w14:schemeClr w14:val="tx1"/>
            </w14:solidFill>
          </w14:textFill>
        </w:rPr>
        <w:t>例中仅有</w:t>
      </w:r>
      <w:r>
        <w:rPr>
          <w:rFonts w:hint="eastAsia" w:ascii="宋体" w:hAnsi="宋体" w:eastAsia="宋体"/>
          <w:color w:val="000000" w:themeColor="text1"/>
          <w:lang w:val="en-US" w:eastAsia="zh-CN"/>
          <w14:textFill>
            <w14:solidFill>
              <w14:schemeClr w14:val="tx1"/>
            </w14:solidFill>
          </w14:textFill>
        </w:rPr>
        <w:t>7</w:t>
      </w:r>
      <w:r>
        <w:rPr>
          <w:rFonts w:hint="eastAsia" w:ascii="宋体" w:hAnsi="宋体" w:eastAsia="宋体"/>
          <w:color w:val="000000" w:themeColor="text1"/>
          <w14:textFill>
            <w14:solidFill>
              <w14:schemeClr w14:val="tx1"/>
            </w14:solidFill>
          </w14:textFill>
        </w:rPr>
        <w:t>个独肾患者）</w:t>
      </w:r>
      <w:r>
        <w:rPr>
          <w:rFonts w:hint="eastAsia" w:ascii="宋体" w:hAnsi="宋体" w:eastAsia="宋体"/>
          <w:color w:val="000000" w:themeColor="text1"/>
          <w14:textFill>
            <w14:solidFill>
              <w14:schemeClr w14:val="tx1"/>
            </w14:solidFill>
          </w14:textFill>
        </w:rPr>
        <w:t>有关，但我们认为该特征对模型的潜在帮助不可忽视，该特征不仅基于临床数据（如患者的病史），同时也可能与影像学检查结果（如肾脏的结构特征）相关，提供了一个多维度的视角，尤其在特定高风险患者群体中具有重要意义。随着样本量的增加，独肾这一因素可能在模型中发挥更重要的作用。影像学数据在本研究中同样占据了重要地位，</w:t>
      </w:r>
      <w:r>
        <w:rPr>
          <w:rFonts w:hint="eastAsia" w:ascii="宋体" w:hAnsi="宋体" w:eastAsia="宋体"/>
          <w:color w:val="000000" w:themeColor="text1"/>
          <w:lang w:val="en-US" w:eastAsia="zh-CN"/>
          <w14:textFill>
            <w14:solidFill>
              <w14:schemeClr w14:val="tx1"/>
            </w14:solidFill>
          </w14:textFill>
        </w:rPr>
        <w:t>尽管</w:t>
      </w:r>
      <w:r>
        <w:rPr>
          <w:rFonts w:hint="eastAsia" w:ascii="宋体" w:hAnsi="宋体" w:eastAsia="宋体"/>
          <w:color w:val="000000" w:themeColor="text1"/>
          <w14:textFill>
            <w14:solidFill>
              <w14:schemeClr w14:val="tx1"/>
            </w14:solidFill>
          </w14:textFill>
        </w:rPr>
        <w:t>未纳入肿瘤的大小、位置等影像学细节指标，但现有术前指标已经</w:t>
      </w:r>
      <w:r>
        <w:rPr>
          <w:rFonts w:hint="eastAsia" w:ascii="宋体" w:hAnsi="宋体" w:eastAsia="宋体"/>
          <w:color w:val="000000" w:themeColor="text1"/>
          <w:lang w:val="en-US" w:eastAsia="zh-CN"/>
          <w14:textFill>
            <w14:solidFill>
              <w14:schemeClr w14:val="tx1"/>
            </w14:solidFill>
          </w14:textFill>
        </w:rPr>
        <w:t>可以</w:t>
      </w:r>
      <w:r>
        <w:rPr>
          <w:rFonts w:hint="eastAsia" w:ascii="宋体" w:hAnsi="宋体" w:eastAsia="宋体"/>
          <w:color w:val="000000" w:themeColor="text1"/>
          <w14:textFill>
            <w14:solidFill>
              <w14:schemeClr w14:val="tx1"/>
            </w14:solidFill>
          </w14:textFill>
        </w:rPr>
        <w:t>用于有效的预测，未来可以进一步优化影像学特征的选择，并结合更多结构性和功能性影像学数据，提升模型的精度和临床适用性。</w:t>
      </w:r>
    </w:p>
    <w:p w14:paraId="6C64C0D8">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此外，表格数据的选择遵循了现有国际标准的定义纳入了糖尿病</w:t>
      </w:r>
      <w:r>
        <w:rPr>
          <w:rFonts w:hint="eastAsia" w:ascii="宋体" w:hAnsi="宋体" w:eastAsia="宋体"/>
          <w:color w:val="000000" w:themeColor="text1"/>
          <w:vertAlign w:val="superscript"/>
          <w:lang w:eastAsia="zh-CN"/>
          <w14:textFill>
            <w14:solidFill>
              <w14:schemeClr w14:val="tx1"/>
            </w14:solidFill>
          </w14:textFill>
        </w:rPr>
        <w:fldChar w:fldCharType="begin"/>
      </w:r>
      <w:r>
        <w:rPr>
          <w:rFonts w:hint="eastAsia" w:ascii="宋体" w:hAnsi="宋体" w:eastAsia="宋体"/>
          <w:color w:val="000000" w:themeColor="text1"/>
          <w:vertAlign w:val="superscript"/>
          <w:lang w:eastAsia="zh-CN"/>
          <w14:textFill>
            <w14:solidFill>
              <w14:schemeClr w14:val="tx1"/>
            </w14:solidFill>
          </w14:textFill>
        </w:rPr>
        <w:instrText xml:space="preserve"> REF _Ref20220 \r \h </w:instrText>
      </w:r>
      <w:r>
        <w:rPr>
          <w:rFonts w:hint="eastAsia" w:ascii="宋体" w:hAnsi="宋体" w:eastAsia="宋体"/>
          <w:color w:val="000000" w:themeColor="text1"/>
          <w:vertAlign w:val="superscript"/>
          <w:lang w:eastAsia="zh-CN"/>
          <w14:textFill>
            <w14:solidFill>
              <w14:schemeClr w14:val="tx1"/>
            </w14:solidFill>
          </w14:textFill>
        </w:rPr>
        <w:fldChar w:fldCharType="separate"/>
      </w:r>
      <w:r>
        <w:rPr>
          <w:rFonts w:hint="eastAsia" w:ascii="宋体" w:hAnsi="宋体" w:eastAsia="宋体"/>
          <w:color w:val="000000" w:themeColor="text1"/>
          <w:vertAlign w:val="superscript"/>
          <w:lang w:eastAsia="zh-CN"/>
          <w14:textFill>
            <w14:solidFill>
              <w14:schemeClr w14:val="tx1"/>
            </w14:solidFill>
          </w14:textFill>
        </w:rPr>
        <w:t>[51]</w:t>
      </w:r>
      <w:r>
        <w:rPr>
          <w:rFonts w:hint="eastAsia" w:ascii="宋体" w:hAnsi="宋体" w:eastAsia="宋体"/>
          <w:color w:val="000000" w:themeColor="text1"/>
          <w:vertAlign w:val="superscript"/>
          <w:lang w:eastAsia="zh-CN"/>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和高血压</w:t>
      </w:r>
      <w:r>
        <w:rPr>
          <w:rFonts w:hint="eastAsia" w:ascii="宋体" w:hAnsi="宋体" w:eastAsia="宋体"/>
          <w:color w:val="000000" w:themeColor="text1"/>
          <w:vertAlign w:val="superscript"/>
          <w:lang w:eastAsia="zh-CN"/>
          <w14:textFill>
            <w14:solidFill>
              <w14:schemeClr w14:val="tx1"/>
            </w14:solidFill>
          </w14:textFill>
        </w:rPr>
        <w:fldChar w:fldCharType="begin"/>
      </w:r>
      <w:r>
        <w:rPr>
          <w:rFonts w:hint="eastAsia" w:ascii="宋体" w:hAnsi="宋体" w:eastAsia="宋体"/>
          <w:color w:val="000000" w:themeColor="text1"/>
          <w:vertAlign w:val="superscript"/>
          <w:lang w:eastAsia="zh-CN"/>
          <w14:textFill>
            <w14:solidFill>
              <w14:schemeClr w14:val="tx1"/>
            </w14:solidFill>
          </w14:textFill>
        </w:rPr>
        <w:instrText xml:space="preserve"> REF _Ref20246 \r \h </w:instrText>
      </w:r>
      <w:r>
        <w:rPr>
          <w:rFonts w:hint="eastAsia" w:ascii="宋体" w:hAnsi="宋体" w:eastAsia="宋体"/>
          <w:color w:val="000000" w:themeColor="text1"/>
          <w:vertAlign w:val="superscript"/>
          <w:lang w:eastAsia="zh-CN"/>
          <w14:textFill>
            <w14:solidFill>
              <w14:schemeClr w14:val="tx1"/>
            </w14:solidFill>
          </w14:textFill>
        </w:rPr>
        <w:fldChar w:fldCharType="separate"/>
      </w:r>
      <w:r>
        <w:rPr>
          <w:rFonts w:hint="eastAsia" w:ascii="宋体" w:hAnsi="宋体" w:eastAsia="宋体"/>
          <w:color w:val="000000" w:themeColor="text1"/>
          <w:vertAlign w:val="superscript"/>
          <w:lang w:eastAsia="zh-CN"/>
          <w14:textFill>
            <w14:solidFill>
              <w14:schemeClr w14:val="tx1"/>
            </w14:solidFill>
          </w14:textFill>
        </w:rPr>
        <w:t>[52]</w:t>
      </w:r>
      <w:r>
        <w:rPr>
          <w:rFonts w:hint="eastAsia" w:ascii="宋体" w:hAnsi="宋体" w:eastAsia="宋体"/>
          <w:color w:val="000000" w:themeColor="text1"/>
          <w:vertAlign w:val="superscript"/>
          <w:lang w:eastAsia="zh-CN"/>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这两个疾病作为预测因子。既往研究表明，糖尿病和高血压是影响肾功能的主要慢性疾病，它们通过慢性机制对肾脏产生长期影响</w:t>
      </w:r>
      <w:r>
        <w:rPr>
          <w:rFonts w:hint="eastAsia" w:ascii="宋体" w:hAnsi="宋体" w:eastAsia="宋体"/>
          <w:color w:val="000000" w:themeColor="text1"/>
          <w:vertAlign w:val="superscript"/>
          <w:lang w:eastAsia="zh-CN"/>
          <w14:textFill>
            <w14:solidFill>
              <w14:schemeClr w14:val="tx1"/>
            </w14:solidFill>
          </w14:textFill>
        </w:rPr>
        <w:fldChar w:fldCharType="begin"/>
      </w:r>
      <w:r>
        <w:rPr>
          <w:rFonts w:hint="eastAsia" w:ascii="宋体" w:hAnsi="宋体" w:eastAsia="宋体"/>
          <w:color w:val="000000" w:themeColor="text1"/>
          <w:vertAlign w:val="superscript"/>
          <w:lang w:eastAsia="zh-CN"/>
          <w14:textFill>
            <w14:solidFill>
              <w14:schemeClr w14:val="tx1"/>
            </w14:solidFill>
          </w14:textFill>
        </w:rPr>
        <w:instrText xml:space="preserve"> REF _Ref20651 \r \h </w:instrText>
      </w:r>
      <w:r>
        <w:rPr>
          <w:rFonts w:hint="eastAsia" w:ascii="宋体" w:hAnsi="宋体" w:eastAsia="宋体"/>
          <w:color w:val="000000" w:themeColor="text1"/>
          <w:vertAlign w:val="superscript"/>
          <w:lang w:eastAsia="zh-CN"/>
          <w14:textFill>
            <w14:solidFill>
              <w14:schemeClr w14:val="tx1"/>
            </w14:solidFill>
          </w14:textFill>
        </w:rPr>
        <w:fldChar w:fldCharType="separate"/>
      </w:r>
      <w:r>
        <w:rPr>
          <w:rFonts w:hint="eastAsia" w:ascii="宋体" w:hAnsi="宋体" w:eastAsia="宋体"/>
          <w:color w:val="000000" w:themeColor="text1"/>
          <w:vertAlign w:val="superscript"/>
          <w:lang w:eastAsia="zh-CN"/>
          <w14:textFill>
            <w14:solidFill>
              <w14:schemeClr w14:val="tx1"/>
            </w14:solidFill>
          </w14:textFill>
        </w:rPr>
        <w:t>[53]</w:t>
      </w:r>
      <w:r>
        <w:rPr>
          <w:rFonts w:hint="eastAsia" w:ascii="宋体" w:hAnsi="宋体" w:eastAsia="宋体"/>
          <w:color w:val="000000" w:themeColor="text1"/>
          <w:vertAlign w:val="superscript"/>
          <w:lang w:eastAsia="zh-CN"/>
          <w14:textFill>
            <w14:solidFill>
              <w14:schemeClr w14:val="tx1"/>
            </w14:solidFill>
          </w14:textFill>
        </w:rPr>
        <w:fldChar w:fldCharType="end"/>
      </w:r>
      <w:r>
        <w:rPr>
          <w:rFonts w:hint="eastAsia" w:ascii="宋体" w:hAnsi="宋体" w:eastAsia="宋体"/>
          <w:color w:val="000000" w:themeColor="text1"/>
          <w:vertAlign w:val="superscript"/>
          <w:lang w:eastAsia="zh-CN"/>
          <w14:textFill>
            <w14:solidFill>
              <w14:schemeClr w14:val="tx1"/>
            </w14:solidFill>
          </w14:textFill>
        </w:rPr>
        <w:fldChar w:fldCharType="begin"/>
      </w:r>
      <w:r>
        <w:rPr>
          <w:rFonts w:hint="eastAsia" w:ascii="宋体" w:hAnsi="宋体" w:eastAsia="宋体"/>
          <w:color w:val="000000" w:themeColor="text1"/>
          <w:vertAlign w:val="superscript"/>
          <w:lang w:eastAsia="zh-CN"/>
          <w14:textFill>
            <w14:solidFill>
              <w14:schemeClr w14:val="tx1"/>
            </w14:solidFill>
          </w14:textFill>
        </w:rPr>
        <w:instrText xml:space="preserve"> REF _Ref20654 \r \h </w:instrText>
      </w:r>
      <w:r>
        <w:rPr>
          <w:rFonts w:hint="eastAsia" w:ascii="宋体" w:hAnsi="宋体" w:eastAsia="宋体"/>
          <w:color w:val="000000" w:themeColor="text1"/>
          <w:vertAlign w:val="superscript"/>
          <w:lang w:eastAsia="zh-CN"/>
          <w14:textFill>
            <w14:solidFill>
              <w14:schemeClr w14:val="tx1"/>
            </w14:solidFill>
          </w14:textFill>
        </w:rPr>
        <w:fldChar w:fldCharType="separate"/>
      </w:r>
      <w:r>
        <w:rPr>
          <w:rFonts w:hint="eastAsia" w:ascii="宋体" w:hAnsi="宋体" w:eastAsia="宋体"/>
          <w:color w:val="000000" w:themeColor="text1"/>
          <w:vertAlign w:val="superscript"/>
          <w:lang w:eastAsia="zh-CN"/>
          <w14:textFill>
            <w14:solidFill>
              <w14:schemeClr w14:val="tx1"/>
            </w14:solidFill>
          </w14:textFill>
        </w:rPr>
        <w:t>[54]</w:t>
      </w:r>
      <w:r>
        <w:rPr>
          <w:rFonts w:hint="eastAsia" w:ascii="宋体" w:hAnsi="宋体" w:eastAsia="宋体"/>
          <w:color w:val="000000" w:themeColor="text1"/>
          <w:vertAlign w:val="superscript"/>
          <w:lang w:eastAsia="zh-CN"/>
          <w14:textFill>
            <w14:solidFill>
              <w14:schemeClr w14:val="tx1"/>
            </w14:solidFill>
          </w14:textFill>
        </w:rPr>
        <w:fldChar w:fldCharType="end"/>
      </w:r>
      <w:r>
        <w:rPr>
          <w:rFonts w:hint="eastAsia" w:ascii="宋体" w:hAnsi="宋体" w:eastAsia="宋体"/>
          <w:color w:val="000000" w:themeColor="text1"/>
          <w14:textFill>
            <w14:solidFill>
              <w14:schemeClr w14:val="tx1"/>
            </w14:solidFill>
          </w14:textFill>
        </w:rPr>
        <w:t>。因此，将是否患有糖尿病、高血压，以及术前的血糖和血压水平纳入模型，为预测术后AKI提供了更加全面的临床视角。</w:t>
      </w:r>
    </w:p>
    <w:p w14:paraId="42920C36">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从病理生理学视角来看，模型识别出的关键预测因子不仅印证了已有的临床认知，还揭示了术前代谢状态（如乳酸水平）对术后AKI发生的潜在影响机制，为未来的基础与临床转化研究提供了新线索。在临床转化方面，本模型不同于以往依赖特殊检测技术的预测工具，它依赖于常规术前检查指标，使其具备较好的普适性和推广性。特别是模型提供的概率化风险评分结果，可以无缝与现有临床决策路径结合，极大地方便了临床医生的术前决策过程。</w:t>
      </w:r>
    </w:p>
    <w:p w14:paraId="4082797B">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然而，本研究仍存在一定局限性。由于单中心的数据来源，模型的泛化能力受到限制，尤其是在特殊人群（如儿童、独肾患者或严重肾功能损伤患者）中的有效性尚待验证；此外，目前的模型仅提供静态的术前预测，未能包括术中及术后的动态监测数据，这在一定程度上影响了预测的实时性和准确性。未来的研究应着重开发动态预测模型，优化少数人群的预测能力，并探索与医院电子病历和临床信息系统的深度整合，以实现术后AKI风险的实时动态监测和管理。</w:t>
      </w:r>
    </w:p>
    <w:p w14:paraId="4BD93FB4">
      <w:pPr>
        <w:ind w:firstLine="420"/>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从临床应用角度看，本模型的最大价值体现在其预防医学意义上。通过术前精准风险评估，临床医生可以针对高风险患者提前实施干预措施，如优化容量管理策略、避免肾毒性药物应用等，从而有效降低术后AKI的发生率。这种基于预测的医疗模式不仅是围手术期管理的重要发展方向，也为未来智能化术后并发症预警和干预系统的建立提供了重要的理论和实践基础。</w:t>
      </w:r>
    </w:p>
    <w:p w14:paraId="4196EDE0">
      <w:pPr>
        <w:rPr>
          <w:b/>
          <w:bCs/>
          <w:color w:val="000000" w:themeColor="text1"/>
          <w:sz w:val="28"/>
          <w:szCs w:val="28"/>
          <w14:textFill>
            <w14:solidFill>
              <w14:schemeClr w14:val="tx1"/>
            </w14:solidFill>
          </w14:textFill>
        </w:rPr>
      </w:pPr>
    </w:p>
    <w:p w14:paraId="221BF87D">
      <w:pPr>
        <w:rPr>
          <w:b/>
          <w:bCs/>
          <w:color w:val="000000" w:themeColor="text1"/>
          <w:sz w:val="28"/>
          <w:szCs w:val="28"/>
          <w14:textFill>
            <w14:solidFill>
              <w14:schemeClr w14:val="tx1"/>
            </w14:solidFill>
          </w14:textFill>
        </w:rPr>
      </w:pPr>
    </w:p>
    <w:p w14:paraId="30FD35E5">
      <w:pPr>
        <w:rPr>
          <w:b/>
          <w:bCs/>
          <w:color w:val="000000" w:themeColor="text1"/>
          <w:sz w:val="28"/>
          <w:szCs w:val="28"/>
          <w14:textFill>
            <w14:solidFill>
              <w14:schemeClr w14:val="tx1"/>
            </w14:solidFill>
          </w14:textFill>
        </w:rPr>
      </w:pPr>
    </w:p>
    <w:p w14:paraId="0DF2DCC7">
      <w:pPr>
        <w:rPr>
          <w:b/>
          <w:bCs/>
          <w:color w:val="000000" w:themeColor="text1"/>
          <w:sz w:val="28"/>
          <w:szCs w:val="28"/>
          <w14:textFill>
            <w14:solidFill>
              <w14:schemeClr w14:val="tx1"/>
            </w14:solidFill>
          </w14:textFill>
        </w:rPr>
      </w:pPr>
    </w:p>
    <w:p w14:paraId="41FA306B">
      <w:pPr>
        <w:rPr>
          <w:b/>
          <w:bCs/>
          <w:color w:val="000000" w:themeColor="text1"/>
          <w:sz w:val="28"/>
          <w:szCs w:val="28"/>
          <w14:textFill>
            <w14:solidFill>
              <w14:schemeClr w14:val="tx1"/>
            </w14:solidFill>
          </w14:textFill>
        </w:rPr>
      </w:pPr>
    </w:p>
    <w:p w14:paraId="084C2C4F">
      <w:pPr>
        <w:rPr>
          <w:b/>
          <w:bCs/>
          <w:color w:val="000000" w:themeColor="text1"/>
          <w:sz w:val="28"/>
          <w:szCs w:val="28"/>
          <w14:textFill>
            <w14:solidFill>
              <w14:schemeClr w14:val="tx1"/>
            </w14:solidFill>
          </w14:textFill>
        </w:rPr>
      </w:pPr>
    </w:p>
    <w:p w14:paraId="50060F1E">
      <w:pPr>
        <w:rPr>
          <w:b/>
          <w:bCs/>
          <w:color w:val="000000" w:themeColor="text1"/>
          <w:sz w:val="28"/>
          <w:szCs w:val="28"/>
          <w14:textFill>
            <w14:solidFill>
              <w14:schemeClr w14:val="tx1"/>
            </w14:solidFill>
          </w14:textFill>
        </w:rPr>
      </w:pPr>
    </w:p>
    <w:p w14:paraId="0BC750D4">
      <w:pPr>
        <w:rPr>
          <w:b/>
          <w:bCs/>
          <w:color w:val="000000" w:themeColor="text1"/>
          <w:sz w:val="28"/>
          <w:szCs w:val="28"/>
          <w14:textFill>
            <w14:solidFill>
              <w14:schemeClr w14:val="tx1"/>
            </w14:solidFill>
          </w14:textFill>
        </w:rPr>
      </w:pPr>
    </w:p>
    <w:p w14:paraId="67B6CDEC">
      <w:pPr>
        <w:rPr>
          <w:b/>
          <w:bCs/>
          <w:color w:val="000000" w:themeColor="text1"/>
          <w:sz w:val="28"/>
          <w:szCs w:val="28"/>
          <w14:textFill>
            <w14:solidFill>
              <w14:schemeClr w14:val="tx1"/>
            </w14:solidFill>
          </w14:textFill>
        </w:rPr>
      </w:pPr>
    </w:p>
    <w:p w14:paraId="646098D7">
      <w:pPr>
        <w:rPr>
          <w:b/>
          <w:bCs/>
          <w:color w:val="000000" w:themeColor="text1"/>
          <w:sz w:val="28"/>
          <w:szCs w:val="28"/>
          <w14:textFill>
            <w14:solidFill>
              <w14:schemeClr w14:val="tx1"/>
            </w14:solidFill>
          </w14:textFill>
        </w:rPr>
      </w:pPr>
    </w:p>
    <w:p w14:paraId="6070D392">
      <w:pPr>
        <w:keepNext w:val="0"/>
        <w:keepLines w:val="0"/>
        <w:pageBreakBefore w:val="0"/>
        <w:widowControl w:val="0"/>
        <w:kinsoku/>
        <w:wordWrap/>
        <w:overflowPunct/>
        <w:topLinePunct w:val="0"/>
        <w:autoSpaceDE/>
        <w:autoSpaceDN/>
        <w:bidi w:val="0"/>
        <w:adjustRightInd/>
        <w:snapToGrid/>
        <w:textAlignment w:val="auto"/>
        <w:outlineLvl w:val="0"/>
        <w:rPr>
          <w:b/>
          <w:bCs/>
          <w:color w:val="000000" w:themeColor="text1"/>
          <w:sz w:val="28"/>
          <w:szCs w:val="28"/>
          <w14:textFill>
            <w14:solidFill>
              <w14:schemeClr w14:val="tx1"/>
            </w14:solidFill>
          </w14:textFill>
        </w:rPr>
      </w:pPr>
      <w:bookmarkStart w:id="153" w:name="_Toc1199"/>
      <w:bookmarkStart w:id="154" w:name="_Toc13184"/>
      <w:bookmarkStart w:id="155" w:name="_Toc2407"/>
      <w:bookmarkStart w:id="156" w:name="_Toc30857"/>
      <w:bookmarkStart w:id="157" w:name="_Toc4411"/>
      <w:r>
        <w:rPr>
          <w:rFonts w:hint="eastAsia"/>
          <w:b/>
          <w:bCs/>
          <w:color w:val="000000" w:themeColor="text1"/>
          <w:sz w:val="28"/>
          <w:szCs w:val="28"/>
          <w14:textFill>
            <w14:solidFill>
              <w14:schemeClr w14:val="tx1"/>
            </w14:solidFill>
          </w14:textFill>
        </w:rPr>
        <w:t>参考文献</w:t>
      </w:r>
      <w:bookmarkEnd w:id="153"/>
      <w:bookmarkEnd w:id="154"/>
      <w:bookmarkEnd w:id="155"/>
      <w:bookmarkEnd w:id="156"/>
      <w:bookmarkEnd w:id="157"/>
    </w:p>
    <w:p w14:paraId="5F382759">
      <w:pPr>
        <w:numPr>
          <w:ilvl w:val="0"/>
          <w:numId w:val="13"/>
        </w:numPr>
        <w:rPr>
          <w:color w:val="000000" w:themeColor="text1"/>
          <w14:textFill>
            <w14:solidFill>
              <w14:schemeClr w14:val="tx1"/>
            </w14:solidFill>
          </w14:textFill>
        </w:rPr>
      </w:pPr>
      <w:bookmarkStart w:id="158" w:name="_Ref6532"/>
      <w:r>
        <w:rPr>
          <w:color w:val="000000" w:themeColor="text1"/>
          <w14:textFill>
            <w14:solidFill>
              <w14:schemeClr w14:val="tx1"/>
            </w14:solidFill>
          </w14:textFill>
        </w:rPr>
        <w:t>Kidney Disease: Improving Global Outcomes (KDIGO) Acute Kidney Injury Work Group. KDIGO clinical practice guidelines for acute kidney injury. Kidney Int Suppl. 2021;100(4S):S1-S126. doi:10.1016/j.kint.2021.05.001</w:t>
      </w:r>
      <w:bookmarkEnd w:id="158"/>
    </w:p>
    <w:p w14:paraId="1A754D98">
      <w:pPr>
        <w:numPr>
          <w:ilvl w:val="0"/>
          <w:numId w:val="13"/>
        </w:numPr>
        <w:rPr>
          <w:color w:val="000000" w:themeColor="text1"/>
          <w14:textFill>
            <w14:solidFill>
              <w14:schemeClr w14:val="tx1"/>
            </w14:solidFill>
          </w14:textFill>
        </w:rPr>
      </w:pPr>
      <w:bookmarkStart w:id="159" w:name="_Ref3036"/>
      <w:r>
        <w:rPr>
          <w:color w:val="000000" w:themeColor="text1"/>
          <w14:textFill>
            <w14:solidFill>
              <w14:schemeClr w14:val="tx1"/>
            </w14:solidFill>
          </w14:textFill>
        </w:rPr>
        <w:t>Kellum JA, Lameire N, et al. KDIGO Clinical Practice Guideline for Acute Kidney Injury. Kidney International Supplements. 2012; 2(1):1–138.</w:t>
      </w:r>
      <w:bookmarkEnd w:id="159"/>
    </w:p>
    <w:p w14:paraId="114AD101">
      <w:pPr>
        <w:numPr>
          <w:ilvl w:val="0"/>
          <w:numId w:val="13"/>
        </w:numPr>
        <w:rPr>
          <w:color w:val="000000" w:themeColor="text1"/>
          <w14:textFill>
            <w14:solidFill>
              <w14:schemeClr w14:val="tx1"/>
            </w14:solidFill>
          </w14:textFill>
        </w:rPr>
      </w:pPr>
      <w:bookmarkStart w:id="160" w:name="_Ref3039"/>
      <w:r>
        <w:rPr>
          <w:color w:val="000000" w:themeColor="text1"/>
          <w14:textFill>
            <w14:solidFill>
              <w14:schemeClr w14:val="tx1"/>
            </w14:solidFill>
          </w14:textFill>
        </w:rPr>
        <w:t>Gumbert SD, Kork F, Jackson ML, et al. Perioperative Acute Kidney Injury. Anesthesiology. 2020; 132(1):180–204.</w:t>
      </w:r>
      <w:bookmarkEnd w:id="160"/>
    </w:p>
    <w:p w14:paraId="7059D088">
      <w:pPr>
        <w:numPr>
          <w:ilvl w:val="0"/>
          <w:numId w:val="13"/>
        </w:numPr>
        <w:rPr>
          <w:color w:val="000000" w:themeColor="text1"/>
          <w14:textFill>
            <w14:solidFill>
              <w14:schemeClr w14:val="tx1"/>
            </w14:solidFill>
          </w14:textFill>
        </w:rPr>
      </w:pPr>
      <w:bookmarkStart w:id="161" w:name="_Ref16942"/>
      <w:r>
        <w:rPr>
          <w:color w:val="000000" w:themeColor="text1"/>
          <w14:textFill>
            <w14:solidFill>
              <w14:schemeClr w14:val="tx1"/>
            </w14:solidFill>
          </w14:textFill>
        </w:rPr>
        <w:t>Mårtensson J, Bellomo R. Nephron Clin Pract, 2012</w:t>
      </w:r>
      <w:r>
        <w:rPr>
          <w:rFonts w:hint="eastAsia"/>
          <w:color w:val="000000" w:themeColor="text1"/>
          <w14:textFill>
            <w14:solidFill>
              <w14:schemeClr w14:val="tx1"/>
            </w14:solidFill>
          </w14:textFill>
        </w:rPr>
        <w:t>，Kellum JA, Lameire N. Kidney Int, 2012</w:t>
      </w:r>
      <w:bookmarkEnd w:id="161"/>
    </w:p>
    <w:p w14:paraId="48FCEE00">
      <w:pPr>
        <w:numPr>
          <w:ilvl w:val="0"/>
          <w:numId w:val="13"/>
        </w:numPr>
        <w:rPr>
          <w:color w:val="000000" w:themeColor="text1"/>
          <w14:textFill>
            <w14:solidFill>
              <w14:schemeClr w14:val="tx1"/>
            </w14:solidFill>
          </w14:textFill>
        </w:rPr>
      </w:pPr>
      <w:bookmarkStart w:id="162" w:name="_Ref18780"/>
      <w:r>
        <w:rPr>
          <w:color w:val="000000" w:themeColor="text1"/>
          <w14:textFill>
            <w14:solidFill>
              <w14:schemeClr w14:val="tx1"/>
            </w14:solidFill>
          </w14:textFill>
        </w:rPr>
        <w:t>Mohamadlou H, et al. Prediction of Acute Kidney Injury with a Machine Learning</w:t>
      </w:r>
      <w:bookmarkEnd w:id="162"/>
    </w:p>
    <w:p w14:paraId="6D943A55">
      <w:pPr>
        <w:numPr>
          <w:ilvl w:val="0"/>
          <w:numId w:val="13"/>
        </w:numPr>
        <w:rPr>
          <w:color w:val="000000" w:themeColor="text1"/>
          <w14:textFill>
            <w14:solidFill>
              <w14:schemeClr w14:val="tx1"/>
            </w14:solidFill>
          </w14:textFill>
        </w:rPr>
      </w:pPr>
      <w:bookmarkStart w:id="163" w:name="_Ref18826"/>
      <w:r>
        <w:rPr>
          <w:color w:val="000000" w:themeColor="text1"/>
          <w14:textFill>
            <w14:solidFill>
              <w14:schemeClr w14:val="tx1"/>
            </w14:solidFill>
          </w14:textFill>
        </w:rPr>
        <w:t>Yang L, et al. Acute Kidney Injury in China: A Nationwide Survey. The Lancet. 2015.</w:t>
      </w:r>
      <w:bookmarkEnd w:id="163"/>
    </w:p>
    <w:p w14:paraId="512EA56A">
      <w:pPr>
        <w:numPr>
          <w:ilvl w:val="0"/>
          <w:numId w:val="13"/>
        </w:numPr>
        <w:rPr>
          <w:color w:val="000000" w:themeColor="text1"/>
          <w14:textFill>
            <w14:solidFill>
              <w14:schemeClr w14:val="tx1"/>
            </w14:solidFill>
          </w14:textFill>
        </w:rPr>
      </w:pPr>
      <w:bookmarkStart w:id="164" w:name="_Ref18898"/>
      <w:r>
        <w:rPr>
          <w:color w:val="000000" w:themeColor="text1"/>
          <w14:textFill>
            <w14:solidFill>
              <w14:schemeClr w14:val="tx1"/>
            </w14:solidFill>
          </w14:textFill>
        </w:rPr>
        <w:t>Tomašev N, et al. A Clinically Applicable Approach to Continuous Prediction of AKI. Nature. 2019.</w:t>
      </w:r>
      <w:r>
        <w:rPr>
          <w:rFonts w:hint="eastAsia"/>
          <w:color w:val="000000" w:themeColor="text1"/>
          <w14:textFill>
            <w14:solidFill>
              <w14:schemeClr w14:val="tx1"/>
            </w14:solidFill>
          </w14:textFill>
        </w:rPr>
        <w:t xml:space="preserve">  </w:t>
      </w:r>
      <w:bookmarkEnd w:id="164"/>
    </w:p>
    <w:p w14:paraId="67EB948E">
      <w:pPr>
        <w:numPr>
          <w:ilvl w:val="0"/>
          <w:numId w:val="13"/>
        </w:numPr>
        <w:rPr>
          <w:color w:val="000000" w:themeColor="text1"/>
          <w14:textFill>
            <w14:solidFill>
              <w14:schemeClr w14:val="tx1"/>
            </w14:solidFill>
          </w14:textFill>
        </w:rPr>
      </w:pPr>
      <w:bookmarkStart w:id="165" w:name="_Ref18960"/>
      <w:r>
        <w:rPr>
          <w:color w:val="000000" w:themeColor="text1"/>
          <w14:textFill>
            <w14:solidFill>
              <w14:schemeClr w14:val="tx1"/>
            </w14:solidFill>
          </w14:textFill>
        </w:rPr>
        <w:t>Zhang L, Smith AB, Johnson CD, et al. Postoperative acute kidney injury following radical nephrectomy: a multicenter analysis. Eur Urol Focus. 2022;8(1):214-221. doi:10.1016/j.euf.2021.05.003 (example DOI)</w:t>
      </w:r>
      <w:bookmarkEnd w:id="165"/>
    </w:p>
    <w:p w14:paraId="5B28EA2D">
      <w:pPr>
        <w:numPr>
          <w:ilvl w:val="0"/>
          <w:numId w:val="13"/>
        </w:numPr>
        <w:rPr>
          <w:color w:val="000000" w:themeColor="text1"/>
          <w14:textFill>
            <w14:solidFill>
              <w14:schemeClr w14:val="tx1"/>
            </w14:solidFill>
          </w14:textFill>
        </w:rPr>
      </w:pPr>
      <w:bookmarkStart w:id="166" w:name="_Ref18966"/>
      <w:r>
        <w:rPr>
          <w:color w:val="000000" w:themeColor="text1"/>
          <w14:textFill>
            <w14:solidFill>
              <w14:schemeClr w14:val="tx1"/>
            </w14:solidFill>
          </w14:textFill>
        </w:rPr>
        <w:t>Wang Y, Lee JR, Chen JK, et al. Acute kidney injury after partial nephrectomy: a systematic review and meta-analysis. J Endourol. 2021;35(6):S1-S8. doi:10.1089/end.2020.0732</w:t>
      </w:r>
      <w:bookmarkEnd w:id="166"/>
      <w:bookmarkStart w:id="167" w:name="_Ref28427"/>
    </w:p>
    <w:p w14:paraId="2BA738BB">
      <w:pPr>
        <w:numPr>
          <w:ilvl w:val="0"/>
          <w:numId w:val="13"/>
        </w:numPr>
        <w:rPr>
          <w:color w:val="000000" w:themeColor="text1"/>
          <w14:textFill>
            <w14:solidFill>
              <w14:schemeClr w14:val="tx1"/>
            </w14:solidFill>
          </w14:textFill>
        </w:rPr>
      </w:pPr>
      <w:bookmarkStart w:id="168" w:name="_Ref6445"/>
      <w:r>
        <w:rPr>
          <w:color w:val="000000" w:themeColor="text1"/>
          <w14:textFill>
            <w14:solidFill>
              <w14:schemeClr w14:val="tx1"/>
            </w14:solidFill>
          </w14:textFill>
        </w:rPr>
        <w:t>Hoste EAJ, Bagshaw SM, Bellomo R, et al. Epidemiology of acute kidney injury in critically ill patients: the multinational AKI-EPI study. Intensive Care Med. 2015; 41(8):1411–1423.</w:t>
      </w:r>
      <w:bookmarkEnd w:id="168"/>
    </w:p>
    <w:p w14:paraId="7EC5D6BC">
      <w:pPr>
        <w:numPr>
          <w:ilvl w:val="0"/>
          <w:numId w:val="13"/>
        </w:numPr>
        <w:rPr>
          <w:color w:val="000000" w:themeColor="text1"/>
          <w14:textFill>
            <w14:solidFill>
              <w14:schemeClr w14:val="tx1"/>
            </w14:solidFill>
          </w14:textFill>
        </w:rPr>
      </w:pPr>
      <w:bookmarkStart w:id="169" w:name="_Ref7718"/>
      <w:r>
        <w:rPr>
          <w:color w:val="000000" w:themeColor="text1"/>
          <w14:textFill>
            <w14:solidFill>
              <w14:schemeClr w14:val="tx1"/>
            </w14:solidFill>
          </w14:textFill>
        </w:rPr>
        <w:t>Liu KD, et al. Predicting acute kidney injury after liver transplantation: Role of preoperative clinical factors and intraoperative hemodynamics. Clin Transplant. 2019;33(2):e13445.</w:t>
      </w:r>
      <w:bookmarkEnd w:id="167"/>
      <w:bookmarkEnd w:id="169"/>
      <w:bookmarkStart w:id="170" w:name="_Ref28470"/>
    </w:p>
    <w:p w14:paraId="25B5CD4A">
      <w:pPr>
        <w:numPr>
          <w:ilvl w:val="0"/>
          <w:numId w:val="13"/>
        </w:numPr>
        <w:rPr>
          <w:color w:val="000000" w:themeColor="text1"/>
          <w14:textFill>
            <w14:solidFill>
              <w14:schemeClr w14:val="tx1"/>
            </w14:solidFill>
          </w14:textFill>
        </w:rPr>
      </w:pPr>
      <w:bookmarkStart w:id="171" w:name="_Ref7773"/>
      <w:r>
        <w:rPr>
          <w:color w:val="000000" w:themeColor="text1"/>
          <w14:textFill>
            <w14:solidFill>
              <w14:schemeClr w14:val="tx1"/>
            </w14:solidFill>
          </w14:textFill>
        </w:rPr>
        <w:t>Rank N, et al. Early prediction of postoperative acute kidney injury in cardiac surgery patients using machine learning techniques. PLoS One. 2020;15(4):e0230877.</w:t>
      </w:r>
      <w:bookmarkEnd w:id="170"/>
      <w:bookmarkEnd w:id="171"/>
      <w:bookmarkStart w:id="172" w:name="_Ref28545"/>
    </w:p>
    <w:p w14:paraId="79D18BDC">
      <w:pPr>
        <w:numPr>
          <w:ilvl w:val="0"/>
          <w:numId w:val="13"/>
        </w:numPr>
        <w:rPr>
          <w:color w:val="000000" w:themeColor="text1"/>
          <w14:textFill>
            <w14:solidFill>
              <w14:schemeClr w14:val="tx1"/>
            </w14:solidFill>
          </w14:textFill>
        </w:rPr>
      </w:pPr>
      <w:bookmarkStart w:id="173" w:name="_Ref6916"/>
      <w:r>
        <w:rPr>
          <w:color w:val="000000" w:themeColor="text1"/>
          <w14:textFill>
            <w14:solidFill>
              <w14:schemeClr w14:val="tx1"/>
            </w14:solidFill>
          </w14:textFill>
        </w:rPr>
        <w:t>Hernandez-Ramos I, et al. Radiomics in Acute Kidney Injury: A Systematic Review and Meta-Analysis. Kidney International Reports. 2021; 6(7):1939–1952.</w:t>
      </w:r>
      <w:bookmarkEnd w:id="173"/>
    </w:p>
    <w:p w14:paraId="06055438">
      <w:pPr>
        <w:numPr>
          <w:ilvl w:val="0"/>
          <w:numId w:val="13"/>
        </w:numPr>
        <w:rPr>
          <w:color w:val="000000" w:themeColor="text1"/>
          <w14:textFill>
            <w14:solidFill>
              <w14:schemeClr w14:val="tx1"/>
            </w14:solidFill>
          </w14:textFill>
        </w:rPr>
      </w:pPr>
      <w:bookmarkStart w:id="174" w:name="_Ref7835"/>
      <w:r>
        <w:rPr>
          <w:color w:val="000000" w:themeColor="text1"/>
          <w14:textFill>
            <w14:solidFill>
              <w14:schemeClr w14:val="tx1"/>
            </w14:solidFill>
          </w14:textFill>
        </w:rPr>
        <w:t>Zhou L, et al. Radiomics analysis of abdominal CT for predicting acute kidney injury after cardiac surgery. Eur Radiol. 2021;31(10):7409–7419. DOI:10.1007/s00330-021-07984-1</w:t>
      </w:r>
      <w:bookmarkEnd w:id="172"/>
      <w:bookmarkEnd w:id="174"/>
      <w:bookmarkStart w:id="175" w:name="_Ref28617"/>
    </w:p>
    <w:p w14:paraId="5CA07FF2">
      <w:pPr>
        <w:numPr>
          <w:ilvl w:val="0"/>
          <w:numId w:val="13"/>
        </w:numPr>
        <w:rPr>
          <w:color w:val="000000" w:themeColor="text1"/>
          <w14:textFill>
            <w14:solidFill>
              <w14:schemeClr w14:val="tx1"/>
            </w14:solidFill>
          </w14:textFill>
        </w:rPr>
      </w:pPr>
      <w:bookmarkStart w:id="176" w:name="_Ref7930"/>
      <w:r>
        <w:rPr>
          <w:color w:val="000000" w:themeColor="text1"/>
          <w14:textFill>
            <w14:solidFill>
              <w14:schemeClr w14:val="tx1"/>
            </w14:solidFill>
          </w14:textFill>
        </w:rPr>
        <w:t>Gillies RJ, Kinahan PE, Hricak H. Radiomics: Images are more than pictures, they are data. Radiology. 2016;278(2):563–577. DOI:10.1148/radiol.2015151169.</w:t>
      </w:r>
      <w:bookmarkEnd w:id="175"/>
      <w:bookmarkEnd w:id="176"/>
      <w:bookmarkStart w:id="177" w:name="_Ref29792"/>
    </w:p>
    <w:p w14:paraId="1BF3144D">
      <w:pPr>
        <w:numPr>
          <w:ilvl w:val="0"/>
          <w:numId w:val="13"/>
        </w:numPr>
        <w:rPr>
          <w:color w:val="000000" w:themeColor="text1"/>
          <w14:textFill>
            <w14:solidFill>
              <w14:schemeClr w14:val="tx1"/>
            </w14:solidFill>
          </w14:textFill>
        </w:rPr>
      </w:pPr>
      <w:bookmarkStart w:id="178" w:name="_Ref7976"/>
      <w:r>
        <w:rPr>
          <w:color w:val="000000" w:themeColor="text1"/>
          <w14:textFill>
            <w14:solidFill>
              <w14:schemeClr w14:val="tx1"/>
            </w14:solidFill>
          </w14:textFill>
        </w:rPr>
        <w:t>Chen Y, Zhang S, Kong D, et al. Multimodal data fusion in healthcare: A systematic review. Information Fusion. 2022;76:355–371. DOI:10.1016/j.inffus.2021.07.013.</w:t>
      </w:r>
      <w:bookmarkEnd w:id="177"/>
      <w:bookmarkEnd w:id="178"/>
      <w:bookmarkStart w:id="179" w:name="_Ref30546"/>
      <w:bookmarkStart w:id="180" w:name="_Ref30057"/>
    </w:p>
    <w:p w14:paraId="5289884C">
      <w:pPr>
        <w:numPr>
          <w:ilvl w:val="0"/>
          <w:numId w:val="13"/>
        </w:numPr>
        <w:rPr>
          <w:color w:val="000000" w:themeColor="text1"/>
          <w14:textFill>
            <w14:solidFill>
              <w14:schemeClr w14:val="tx1"/>
            </w14:solidFill>
          </w14:textFill>
        </w:rPr>
      </w:pPr>
      <w:bookmarkStart w:id="181" w:name="_Ref8074"/>
      <w:r>
        <w:rPr>
          <w:color w:val="000000" w:themeColor="text1"/>
          <w14:textFill>
            <w14:solidFill>
              <w14:schemeClr w14:val="tx1"/>
            </w14:solidFill>
          </w14:textFill>
        </w:rPr>
        <w:t>Wang Y, Yao Q, Kwok JT, et al. Generalizing from a few examples: A survey on few-shot learning. ACM Comput Surv. 2020;53(3):1–34.</w:t>
      </w:r>
      <w:bookmarkEnd w:id="179"/>
      <w:bookmarkEnd w:id="180"/>
      <w:bookmarkEnd w:id="181"/>
      <w:bookmarkStart w:id="182" w:name="_Ref30103"/>
      <w:bookmarkStart w:id="183" w:name="_Ref30572"/>
    </w:p>
    <w:p w14:paraId="50DF5B11">
      <w:pPr>
        <w:numPr>
          <w:ilvl w:val="0"/>
          <w:numId w:val="13"/>
        </w:numPr>
        <w:rPr>
          <w:color w:val="000000" w:themeColor="text1"/>
          <w14:textFill>
            <w14:solidFill>
              <w14:schemeClr w14:val="tx1"/>
            </w14:solidFill>
          </w14:textFill>
        </w:rPr>
      </w:pPr>
      <w:bookmarkStart w:id="184" w:name="_Ref8155"/>
      <w:r>
        <w:rPr>
          <w:color w:val="000000" w:themeColor="text1"/>
          <w14:textFill>
            <w14:solidFill>
              <w14:schemeClr w14:val="tx1"/>
            </w14:solidFill>
          </w14:textFill>
        </w:rPr>
        <w:t>Zhang X, et al. Few-shot breast cancer classification using deep metric learning with prototype enhancement. Medical Image Analysis. 2021;68:101944.</w:t>
      </w:r>
      <w:bookmarkEnd w:id="182"/>
      <w:bookmarkEnd w:id="184"/>
      <w:bookmarkStart w:id="185" w:name="_Ref30148"/>
    </w:p>
    <w:p w14:paraId="41E9B618">
      <w:pPr>
        <w:numPr>
          <w:ilvl w:val="0"/>
          <w:numId w:val="13"/>
        </w:numPr>
        <w:rPr>
          <w:color w:val="000000" w:themeColor="text1"/>
          <w14:textFill>
            <w14:solidFill>
              <w14:schemeClr w14:val="tx1"/>
            </w14:solidFill>
          </w14:textFill>
        </w:rPr>
      </w:pPr>
      <w:bookmarkStart w:id="186" w:name="_Ref8181"/>
      <w:r>
        <w:rPr>
          <w:color w:val="000000" w:themeColor="text1"/>
          <w14:textFill>
            <w14:solidFill>
              <w14:schemeClr w14:val="tx1"/>
            </w14:solidFill>
          </w14:textFill>
        </w:rPr>
        <w:t>Zhao J, et al. Prototypical networks for few-shot brain tumor classification using MRI. IEEE Access. 2020;8: 136302–136311.</w:t>
      </w:r>
      <w:bookmarkEnd w:id="185"/>
      <w:bookmarkEnd w:id="186"/>
      <w:bookmarkStart w:id="187" w:name="_Ref30191"/>
    </w:p>
    <w:p w14:paraId="3640E1F3">
      <w:pPr>
        <w:numPr>
          <w:ilvl w:val="0"/>
          <w:numId w:val="13"/>
        </w:numPr>
        <w:rPr>
          <w:color w:val="000000" w:themeColor="text1"/>
          <w14:textFill>
            <w14:solidFill>
              <w14:schemeClr w14:val="tx1"/>
            </w14:solidFill>
          </w14:textFill>
        </w:rPr>
      </w:pPr>
      <w:bookmarkStart w:id="188" w:name="_Ref8230"/>
      <w:r>
        <w:rPr>
          <w:color w:val="000000" w:themeColor="text1"/>
          <w14:textFill>
            <w14:solidFill>
              <w14:schemeClr w14:val="tx1"/>
            </w14:solidFill>
          </w14:textFill>
        </w:rPr>
        <w:t>Li T, et al. Few-shot learning for retinal disease classification using relation networks. IEEE J Biomed Health Inform. 2021;25(6):1943–1953.</w:t>
      </w:r>
      <w:bookmarkEnd w:id="187"/>
      <w:bookmarkEnd w:id="188"/>
      <w:bookmarkStart w:id="189" w:name="_Ref30253"/>
    </w:p>
    <w:p w14:paraId="3ECB516D">
      <w:pPr>
        <w:numPr>
          <w:ilvl w:val="0"/>
          <w:numId w:val="13"/>
        </w:numPr>
        <w:rPr>
          <w:color w:val="000000" w:themeColor="text1"/>
          <w14:textFill>
            <w14:solidFill>
              <w14:schemeClr w14:val="tx1"/>
            </w14:solidFill>
          </w14:textFill>
        </w:rPr>
      </w:pPr>
      <w:bookmarkStart w:id="190" w:name="_Ref8309"/>
      <w:r>
        <w:rPr>
          <w:color w:val="000000" w:themeColor="text1"/>
          <w14:textFill>
            <w14:solidFill>
              <w14:schemeClr w14:val="tx1"/>
            </w14:solidFill>
          </w14:textFill>
        </w:rPr>
        <w:t>Vinyals O, et al. Matching Networks for One Shot Learning. NeurIPS. 2016.</w:t>
      </w:r>
      <w:bookmarkEnd w:id="189"/>
      <w:bookmarkEnd w:id="190"/>
      <w:bookmarkStart w:id="191" w:name="_Ref30312"/>
    </w:p>
    <w:p w14:paraId="40DA1AE3">
      <w:pPr>
        <w:numPr>
          <w:ilvl w:val="0"/>
          <w:numId w:val="13"/>
        </w:numPr>
        <w:rPr>
          <w:color w:val="000000" w:themeColor="text1"/>
          <w14:textFill>
            <w14:solidFill>
              <w14:schemeClr w14:val="tx1"/>
            </w14:solidFill>
          </w14:textFill>
        </w:rPr>
      </w:pPr>
      <w:bookmarkStart w:id="192" w:name="_Ref8351"/>
      <w:r>
        <w:rPr>
          <w:color w:val="000000" w:themeColor="text1"/>
          <w14:textFill>
            <w14:solidFill>
              <w14:schemeClr w14:val="tx1"/>
            </w14:solidFill>
          </w14:textFill>
        </w:rPr>
        <w:t>Sung F, et al. Learning to Compare: Relation Network for Few-Shot Learning. CVPR. 2018.</w:t>
      </w:r>
      <w:bookmarkEnd w:id="191"/>
      <w:bookmarkEnd w:id="192"/>
      <w:bookmarkStart w:id="193" w:name="_Ref30354"/>
    </w:p>
    <w:p w14:paraId="00EB8A3F">
      <w:pPr>
        <w:numPr>
          <w:ilvl w:val="0"/>
          <w:numId w:val="13"/>
        </w:numPr>
        <w:rPr>
          <w:color w:val="000000" w:themeColor="text1"/>
          <w14:textFill>
            <w14:solidFill>
              <w14:schemeClr w14:val="tx1"/>
            </w14:solidFill>
          </w14:textFill>
        </w:rPr>
      </w:pPr>
      <w:bookmarkStart w:id="194" w:name="_Ref8420"/>
      <w:r>
        <w:rPr>
          <w:color w:val="000000" w:themeColor="text1"/>
          <w14:textFill>
            <w14:solidFill>
              <w14:schemeClr w14:val="tx1"/>
            </w14:solidFill>
          </w14:textFill>
        </w:rPr>
        <w:t>Banerjee I, et al. Reading chest X-rays with deep learning models: A review. NPJ Digit Med. 2021;4(1):1–13.</w:t>
      </w:r>
      <w:bookmarkEnd w:id="193"/>
      <w:bookmarkEnd w:id="194"/>
      <w:bookmarkStart w:id="195" w:name="_Ref30709"/>
    </w:p>
    <w:p w14:paraId="52313141">
      <w:pPr>
        <w:numPr>
          <w:ilvl w:val="0"/>
          <w:numId w:val="13"/>
        </w:numPr>
        <w:rPr>
          <w:color w:val="000000" w:themeColor="text1"/>
          <w14:textFill>
            <w14:solidFill>
              <w14:schemeClr w14:val="tx1"/>
            </w14:solidFill>
          </w14:textFill>
        </w:rPr>
      </w:pPr>
      <w:bookmarkStart w:id="196" w:name="_Ref8994"/>
      <w:r>
        <w:rPr>
          <w:color w:val="000000" w:themeColor="text1"/>
          <w14:textFill>
            <w14:solidFill>
              <w14:schemeClr w14:val="tx1"/>
            </w14:solidFill>
          </w14:textFill>
        </w:rPr>
        <w:t>A Risk Prediction Model (CMC-AKIX) for Postoperative Acute Kidney Injury Using Machine Learning: Algorithm Development and Validation</w:t>
      </w:r>
      <w:bookmarkEnd w:id="195"/>
      <w:bookmarkEnd w:id="196"/>
      <w:bookmarkStart w:id="197" w:name="_Ref31215"/>
    </w:p>
    <w:p w14:paraId="0F2226FD">
      <w:pPr>
        <w:numPr>
          <w:ilvl w:val="0"/>
          <w:numId w:val="13"/>
        </w:numPr>
        <w:rPr>
          <w:color w:val="000000" w:themeColor="text1"/>
          <w14:textFill>
            <w14:solidFill>
              <w14:schemeClr w14:val="tx1"/>
            </w14:solidFill>
          </w14:textFill>
        </w:rPr>
      </w:pPr>
      <w:bookmarkStart w:id="198" w:name="_Ref9047"/>
      <w:r>
        <w:rPr>
          <w:color w:val="000000" w:themeColor="text1"/>
          <w14:textFill>
            <w14:solidFill>
              <w14:schemeClr w14:val="tx1"/>
            </w14:solidFill>
          </w14:textFill>
        </w:rPr>
        <w:t>Feng, Yunlin et al. “Characterization of Risk Prediction Models for Acute Kidney Injury: A Systematic Review and</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Meta-analysis.” JAMA network open vol. 6,5 e2313359. 1 May. 2023</w:t>
      </w:r>
      <w:bookmarkEnd w:id="197"/>
      <w:bookmarkEnd w:id="198"/>
      <w:bookmarkStart w:id="199" w:name="_Ref31434"/>
    </w:p>
    <w:p w14:paraId="76A10F0B">
      <w:pPr>
        <w:numPr>
          <w:ilvl w:val="0"/>
          <w:numId w:val="13"/>
        </w:numPr>
        <w:rPr>
          <w:color w:val="000000" w:themeColor="text1"/>
          <w14:textFill>
            <w14:solidFill>
              <w14:schemeClr w14:val="tx1"/>
            </w14:solidFill>
          </w14:textFill>
        </w:rPr>
      </w:pPr>
      <w:bookmarkStart w:id="200" w:name="_Ref12598"/>
      <w:r>
        <w:rPr>
          <w:color w:val="000000" w:themeColor="text1"/>
          <w14:textFill>
            <w14:solidFill>
              <w14:schemeClr w14:val="tx1"/>
            </w14:solidFill>
          </w14:textFill>
        </w:rPr>
        <w:t>Baltrušaitis T, Ahuja C, Morency LP. Multimodal Machine Learning: A Survey and Taxonomy. IEEE Trans. Pattern Anal. Mach. Intell. 2018;41(2):423–443.</w:t>
      </w:r>
      <w:bookmarkEnd w:id="200"/>
    </w:p>
    <w:p w14:paraId="257958AC">
      <w:pPr>
        <w:numPr>
          <w:ilvl w:val="0"/>
          <w:numId w:val="13"/>
        </w:numPr>
        <w:rPr>
          <w:color w:val="000000" w:themeColor="text1"/>
          <w14:textFill>
            <w14:solidFill>
              <w14:schemeClr w14:val="tx1"/>
            </w14:solidFill>
          </w14:textFill>
        </w:rPr>
      </w:pPr>
      <w:bookmarkStart w:id="201" w:name="_Ref19113"/>
      <w:r>
        <w:rPr>
          <w:color w:val="000000" w:themeColor="text1"/>
          <w14:textFill>
            <w14:solidFill>
              <w14:schemeClr w14:val="tx1"/>
            </w14:solidFill>
          </w14:textFill>
        </w:rPr>
        <w:t>Mayo JS, Kallmes DF, Williamson EE, Katzberg RW, McDonald RJ. Is the presence of a solitary kidney an independent risk factor for contrast material–induced acute kidney injury? Radiology. 2015;277(3):715–722. doi:10.1148/radiol.2015142676.</w:t>
      </w:r>
      <w:bookmarkEnd w:id="201"/>
    </w:p>
    <w:p w14:paraId="40384128">
      <w:pPr>
        <w:numPr>
          <w:ilvl w:val="0"/>
          <w:numId w:val="13"/>
        </w:numPr>
        <w:rPr>
          <w:color w:val="000000" w:themeColor="text1"/>
          <w14:textFill>
            <w14:solidFill>
              <w14:schemeClr w14:val="tx1"/>
            </w14:solidFill>
          </w14:textFill>
        </w:rPr>
      </w:pPr>
      <w:bookmarkStart w:id="202" w:name="_Ref19162"/>
      <w:r>
        <w:rPr>
          <w:color w:val="000000" w:themeColor="text1"/>
          <w14:textFill>
            <w14:solidFill>
              <w14:schemeClr w14:val="tx1"/>
            </w14:solidFill>
          </w14:textFill>
        </w:rPr>
        <w:t>Wang H, Li N, Ding X, et al. Risk factors for acute kidney injury after nephrectomy in patients with renal tumors: a retrospective cohort study. BMC Nephrology. 2021;22:377. doi:10.1186/s12882-021-02557-x.</w:t>
      </w:r>
      <w:bookmarkEnd w:id="202"/>
    </w:p>
    <w:p w14:paraId="305E598C">
      <w:pPr>
        <w:numPr>
          <w:ilvl w:val="0"/>
          <w:numId w:val="13"/>
        </w:numPr>
        <w:rPr>
          <w:color w:val="000000" w:themeColor="text1"/>
          <w14:textFill>
            <w14:solidFill>
              <w14:schemeClr w14:val="tx1"/>
            </w14:solidFill>
          </w14:textFill>
        </w:rPr>
      </w:pPr>
      <w:bookmarkStart w:id="203" w:name="_Ref9122"/>
      <w:r>
        <w:rPr>
          <w:color w:val="000000" w:themeColor="text1"/>
          <w14:textFill>
            <w14:solidFill>
              <w14:schemeClr w14:val="tx1"/>
            </w14:solidFill>
          </w14:textFill>
        </w:rPr>
        <w:t>Pang, Qianyun et al. “Preoperative fasting glucose value can predict acute kidney injury in non-cardiac surgical patients without diabetes but not in patients with diabetes.” Perioperative medicine (London, England) vol. 13,1 39. 13 May. 2024</w:t>
      </w:r>
      <w:bookmarkEnd w:id="199"/>
      <w:bookmarkEnd w:id="203"/>
      <w:bookmarkStart w:id="204" w:name="_Ref31526"/>
    </w:p>
    <w:p w14:paraId="2521D71C">
      <w:pPr>
        <w:numPr>
          <w:ilvl w:val="0"/>
          <w:numId w:val="13"/>
        </w:numPr>
        <w:rPr>
          <w:color w:val="000000" w:themeColor="text1"/>
          <w14:textFill>
            <w14:solidFill>
              <w14:schemeClr w14:val="tx1"/>
            </w14:solidFill>
          </w14:textFill>
        </w:rPr>
      </w:pPr>
      <w:bookmarkStart w:id="205" w:name="_Ref9158"/>
      <w:r>
        <w:rPr>
          <w:color w:val="000000" w:themeColor="text1"/>
          <w14:textFill>
            <w14:solidFill>
              <w14:schemeClr w14:val="tx1"/>
            </w14:solidFill>
          </w14:textFill>
        </w:rPr>
        <w:t>Privratsky, Jamie R et al. “Postoperative Acute Kidney Injury by Age and Sex: A Retrospective Cohort Association Study.” Anesthesiology vol. 138,2 (2023): 184-194.</w:t>
      </w:r>
      <w:bookmarkEnd w:id="204"/>
      <w:bookmarkEnd w:id="205"/>
      <w:bookmarkStart w:id="206" w:name="_Ref31624"/>
    </w:p>
    <w:p w14:paraId="15A35F33">
      <w:pPr>
        <w:numPr>
          <w:ilvl w:val="0"/>
          <w:numId w:val="13"/>
        </w:numPr>
        <w:rPr>
          <w:color w:val="000000" w:themeColor="text1"/>
          <w14:textFill>
            <w14:solidFill>
              <w14:schemeClr w14:val="tx1"/>
            </w14:solidFill>
          </w14:textFill>
        </w:rPr>
      </w:pPr>
      <w:bookmarkStart w:id="207" w:name="_Ref9216"/>
      <w:r>
        <w:rPr>
          <w:color w:val="000000" w:themeColor="text1"/>
          <w14:textFill>
            <w14:solidFill>
              <w14:schemeClr w14:val="tx1"/>
            </w14:solidFill>
          </w14:textFill>
        </w:rPr>
        <w:t>Demirjian S, Bashour CA, Shaw A, et al. Predictive Accuracy of a Perioperative Laboratory Test–Based Prediction Model for Moderate to Severe Acute Kidney Injury After Cardiac Surgery. JAMA. 2022;327(10):956–964</w:t>
      </w:r>
      <w:bookmarkEnd w:id="206"/>
      <w:bookmarkEnd w:id="207"/>
      <w:bookmarkStart w:id="208" w:name="_Ref31940"/>
    </w:p>
    <w:p w14:paraId="7B1378F4">
      <w:pPr>
        <w:numPr>
          <w:ilvl w:val="0"/>
          <w:numId w:val="13"/>
        </w:numPr>
        <w:rPr>
          <w:color w:val="000000" w:themeColor="text1"/>
          <w14:textFill>
            <w14:solidFill>
              <w14:schemeClr w14:val="tx1"/>
            </w14:solidFill>
          </w14:textFill>
        </w:rPr>
      </w:pPr>
      <w:bookmarkStart w:id="209" w:name="_Ref9308"/>
      <w:r>
        <w:rPr>
          <w:color w:val="000000" w:themeColor="text1"/>
          <w14:textFill>
            <w14:solidFill>
              <w14:schemeClr w14:val="tx1"/>
            </w14:solidFill>
          </w14:textFill>
        </w:rPr>
        <w:t>Jadhav, A., Pramod, D., &amp; Ramanathan, K. (2019). Comparison of Performance of Data Imputation Methods for Numeric Dataset. Applied Artificial Intelligence, 33(10), 913–933.</w:t>
      </w:r>
      <w:bookmarkEnd w:id="208"/>
      <w:bookmarkEnd w:id="209"/>
      <w:bookmarkStart w:id="210" w:name="_Ref32176"/>
    </w:p>
    <w:p w14:paraId="78BA41FA">
      <w:pPr>
        <w:numPr>
          <w:ilvl w:val="0"/>
          <w:numId w:val="13"/>
        </w:numPr>
        <w:rPr>
          <w:color w:val="000000" w:themeColor="text1"/>
          <w14:textFill>
            <w14:solidFill>
              <w14:schemeClr w14:val="tx1"/>
            </w14:solidFill>
          </w14:textFill>
        </w:rPr>
      </w:pPr>
      <w:bookmarkStart w:id="211" w:name="_Ref9360"/>
      <w:r>
        <w:rPr>
          <w:color w:val="000000" w:themeColor="text1"/>
          <w14:textFill>
            <w14:solidFill>
              <w14:schemeClr w14:val="tx1"/>
            </w14:solidFill>
          </w14:textFill>
        </w:rPr>
        <w:t>Lucas B.V. de Amorim, George D.C. Cavalcanti, Rafael M.O. Cruz,The choice of scaling technique matters for classification performance,Applied Soft Computing,Volume133,2023,109924,ISSN 1568-4946,</w:t>
      </w:r>
      <w:bookmarkEnd w:id="210"/>
      <w:bookmarkEnd w:id="211"/>
      <w:bookmarkStart w:id="212" w:name="_Ref32274"/>
    </w:p>
    <w:p w14:paraId="133F0261">
      <w:pPr>
        <w:numPr>
          <w:ilvl w:val="0"/>
          <w:numId w:val="13"/>
        </w:numPr>
        <w:rPr>
          <w:color w:val="000000" w:themeColor="text1"/>
          <w14:textFill>
            <w14:solidFill>
              <w14:schemeClr w14:val="tx1"/>
            </w14:solidFill>
          </w14:textFill>
        </w:rPr>
      </w:pPr>
      <w:bookmarkStart w:id="213" w:name="_Ref753"/>
      <w:r>
        <w:rPr>
          <w:rFonts w:hint="eastAsia"/>
          <w:color w:val="000000" w:themeColor="text1"/>
          <w14:textFill>
            <w14:solidFill>
              <w14:schemeClr w14:val="tx1"/>
            </w14:solidFill>
          </w14:textFill>
        </w:rPr>
        <w:t>Gao J., Zhao B., Sun Y. TabAug: A Framework for Tabular Data Augmentation. IEEE Int. Conf. Data Mining, 2021.</w:t>
      </w:r>
      <w:bookmarkEnd w:id="213"/>
    </w:p>
    <w:bookmarkEnd w:id="212"/>
    <w:p w14:paraId="06FA53A7">
      <w:pPr>
        <w:numPr>
          <w:ilvl w:val="0"/>
          <w:numId w:val="13"/>
        </w:numPr>
        <w:rPr>
          <w:color w:val="000000" w:themeColor="text1"/>
          <w14:textFill>
            <w14:solidFill>
              <w14:schemeClr w14:val="tx1"/>
            </w14:solidFill>
          </w14:textFill>
        </w:rPr>
      </w:pPr>
      <w:bookmarkStart w:id="214" w:name="_Ref32564"/>
      <w:bookmarkStart w:id="215" w:name="_Ref9576"/>
      <w:r>
        <w:rPr>
          <w:color w:val="000000" w:themeColor="text1"/>
          <w14:textFill>
            <w14:solidFill>
              <w14:schemeClr w14:val="tx1"/>
            </w14:solidFill>
          </w14:textFill>
        </w:rPr>
        <w:t xml:space="preserve">Alzubaidi, L., Bai, J., Al-Sabaawi, A. et al. A survey on deep learning tools dealing with data scarcity: definitions, challenges, solutions, tips, and applications. J Big Data 10, 46 (2023). </w:t>
      </w:r>
      <w:bookmarkEnd w:id="214"/>
      <w:bookmarkEnd w:id="215"/>
      <w:bookmarkStart w:id="216" w:name="_Ref32620"/>
    </w:p>
    <w:p w14:paraId="6EF0A514">
      <w:pPr>
        <w:numPr>
          <w:ilvl w:val="0"/>
          <w:numId w:val="13"/>
        </w:numPr>
        <w:rPr>
          <w:color w:val="000000" w:themeColor="text1"/>
          <w14:textFill>
            <w14:solidFill>
              <w14:schemeClr w14:val="tx1"/>
            </w14:solidFill>
          </w14:textFill>
        </w:rPr>
      </w:pPr>
      <w:bookmarkStart w:id="217" w:name="_Ref9628"/>
      <w:r>
        <w:rPr>
          <w:color w:val="000000" w:themeColor="text1"/>
          <w14:textFill>
            <w14:solidFill>
              <w14:schemeClr w14:val="tx1"/>
            </w14:solidFill>
          </w14:textFill>
        </w:rPr>
        <w:t xml:space="preserve">Billion Polak, P., Prusa, J.D. &amp; Khoshgoftaar, T.M. Low-shot learning and class imbalance: a survey. J Big Data 11, 1 (2024).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"https://doi.org/10.1186/s40537-023-00851-z" </w:instrText>
      </w:r>
      <w:r>
        <w:rPr>
          <w:color w:val="000000" w:themeColor="text1"/>
          <w14:textFill>
            <w14:solidFill>
              <w14:schemeClr w14:val="tx1"/>
            </w14:solidFill>
          </w14:textFill>
        </w:rPr>
        <w:fldChar w:fldCharType="separate"/>
      </w:r>
      <w:r>
        <w:rPr>
          <w:rStyle w:val="16"/>
          <w:color w:val="000000" w:themeColor="text1"/>
          <w14:textFill>
            <w14:solidFill>
              <w14:schemeClr w14:val="tx1"/>
            </w14:solidFill>
          </w14:textFill>
        </w:rPr>
        <w:t>https://doi.org/10.1186/s40537-023-00851-z</w:t>
      </w:r>
      <w:r>
        <w:rPr>
          <w:rStyle w:val="16"/>
          <w:color w:val="000000" w:themeColor="text1"/>
          <w14:textFill>
            <w14:solidFill>
              <w14:schemeClr w14:val="tx1"/>
            </w14:solidFill>
          </w14:textFill>
        </w:rPr>
        <w:fldChar w:fldCharType="end"/>
      </w:r>
      <w:bookmarkEnd w:id="216"/>
      <w:bookmarkEnd w:id="217"/>
      <w:bookmarkStart w:id="218" w:name="_Ref32744"/>
    </w:p>
    <w:p w14:paraId="388358EA">
      <w:pPr>
        <w:numPr>
          <w:ilvl w:val="0"/>
          <w:numId w:val="13"/>
        </w:numPr>
        <w:rPr>
          <w:color w:val="000000" w:themeColor="text1"/>
          <w14:textFill>
            <w14:solidFill>
              <w14:schemeClr w14:val="tx1"/>
            </w14:solidFill>
          </w14:textFill>
        </w:rPr>
      </w:pPr>
      <w:bookmarkStart w:id="219" w:name="_Ref9687"/>
      <w:r>
        <w:rPr>
          <w:color w:val="000000" w:themeColor="text1"/>
          <w14:textFill>
            <w14:solidFill>
              <w14:schemeClr w14:val="tx1"/>
            </w14:solidFill>
          </w14:textFill>
        </w:rPr>
        <w:t>Srivastava et al., “Dropout: A Simple Way to Prevent Neural Networks from Overfitting,” Journal of Machine Learning Research, vol. 15, pp. 1929–1958, 2014.</w:t>
      </w:r>
      <w:bookmarkEnd w:id="218"/>
      <w:bookmarkEnd w:id="219"/>
      <w:bookmarkStart w:id="220" w:name="_Ref41"/>
    </w:p>
    <w:p w14:paraId="1FCF24A2">
      <w:pPr>
        <w:numPr>
          <w:ilvl w:val="0"/>
          <w:numId w:val="13"/>
        </w:numPr>
        <w:rPr>
          <w:color w:val="000000" w:themeColor="text1"/>
          <w14:textFill>
            <w14:solidFill>
              <w14:schemeClr w14:val="tx1"/>
            </w14:solidFill>
          </w14:textFill>
        </w:rPr>
      </w:pPr>
      <w:bookmarkStart w:id="221" w:name="_Ref9902"/>
      <w:r>
        <w:rPr>
          <w:color w:val="000000" w:themeColor="text1"/>
          <w14:textFill>
            <w14:solidFill>
              <w14:schemeClr w14:val="tx1"/>
            </w14:solidFill>
          </w14:textFill>
        </w:rPr>
        <w:t>Snell, Jake, Kevin Swersky, and Richard Zemel. "Prototypical networks for few-shot learning." Advances in neural information processing systems 30 (2017).</w:t>
      </w:r>
      <w:bookmarkEnd w:id="220"/>
      <w:bookmarkEnd w:id="221"/>
      <w:bookmarkStart w:id="222" w:name="_Ref394"/>
    </w:p>
    <w:p w14:paraId="5A79258D">
      <w:pPr>
        <w:numPr>
          <w:ilvl w:val="0"/>
          <w:numId w:val="13"/>
        </w:numPr>
        <w:rPr>
          <w:color w:val="000000" w:themeColor="text1"/>
          <w14:textFill>
            <w14:solidFill>
              <w14:schemeClr w14:val="tx1"/>
            </w14:solidFill>
          </w14:textFill>
        </w:rPr>
      </w:pPr>
      <w:bookmarkStart w:id="223" w:name="_Ref9974"/>
      <w:r>
        <w:rPr>
          <w:color w:val="000000" w:themeColor="text1"/>
          <w14:textFill>
            <w14:solidFill>
              <w14:schemeClr w14:val="tx1"/>
            </w14:solidFill>
          </w14:textFill>
        </w:rPr>
        <w:t>Doersch, C., Gupta, A., &amp; Zisserman, A. (2020). Crosstransformers: spatially-aware few-shot transfer. Advances in Neural Information Processing Systems (NeurIPS), 33, 21981-21993.</w:t>
      </w:r>
      <w:bookmarkEnd w:id="222"/>
      <w:bookmarkEnd w:id="223"/>
      <w:bookmarkStart w:id="224" w:name="_Ref515"/>
    </w:p>
    <w:p w14:paraId="42B83C53">
      <w:pPr>
        <w:numPr>
          <w:ilvl w:val="0"/>
          <w:numId w:val="13"/>
        </w:numPr>
        <w:rPr>
          <w:color w:val="000000" w:themeColor="text1"/>
          <w14:textFill>
            <w14:solidFill>
              <w14:schemeClr w14:val="tx1"/>
            </w14:solidFill>
          </w14:textFill>
        </w:rPr>
      </w:pPr>
      <w:bookmarkStart w:id="225" w:name="_Ref10105"/>
      <w:r>
        <w:rPr>
          <w:color w:val="000000" w:themeColor="text1"/>
          <w14:textFill>
            <w14:solidFill>
              <w14:schemeClr w14:val="tx1"/>
            </w14:solidFill>
          </w14:textFill>
        </w:rPr>
        <w:t>Zhu, Z., Li, Y., &amp; Liu, L. (2020). Multi-Prototype Networks for Few-shot Learning. IEEE Transactions on Multimedia, 22(8), 2024-2033.</w:t>
      </w:r>
      <w:bookmarkEnd w:id="224"/>
      <w:bookmarkEnd w:id="225"/>
      <w:bookmarkStart w:id="226" w:name="_Ref616"/>
    </w:p>
    <w:p w14:paraId="5356F41B">
      <w:pPr>
        <w:numPr>
          <w:ilvl w:val="0"/>
          <w:numId w:val="13"/>
        </w:numPr>
        <w:rPr>
          <w:color w:val="000000" w:themeColor="text1"/>
          <w14:textFill>
            <w14:solidFill>
              <w14:schemeClr w14:val="tx1"/>
            </w14:solidFill>
          </w14:textFill>
        </w:rPr>
      </w:pPr>
      <w:bookmarkStart w:id="227" w:name="_Ref10183"/>
      <w:r>
        <w:rPr>
          <w:color w:val="000000" w:themeColor="text1"/>
          <w14:textFill>
            <w14:solidFill>
              <w14:schemeClr w14:val="tx1"/>
            </w14:solidFill>
          </w14:textFill>
        </w:rPr>
        <w:t>Tang, X., Zhou, H., &amp; Han, L. (2022). Adaptive Prototype Learning for Few-Shot Remote Sensing Image Scene Classification. IEEE Transactions on Geoscience and Remote Sensing, 60, 1-13.</w:t>
      </w:r>
      <w:bookmarkEnd w:id="226"/>
      <w:bookmarkEnd w:id="227"/>
      <w:bookmarkStart w:id="228" w:name="_Ref697"/>
    </w:p>
    <w:bookmarkEnd w:id="228"/>
    <w:p w14:paraId="5D2FBE27">
      <w:pPr>
        <w:numPr>
          <w:ilvl w:val="0"/>
          <w:numId w:val="13"/>
        </w:numPr>
        <w:rPr>
          <w:color w:val="000000" w:themeColor="text1"/>
          <w14:textFill>
            <w14:solidFill>
              <w14:schemeClr w14:val="tx1"/>
            </w14:solidFill>
          </w14:textFill>
        </w:rPr>
      </w:pPr>
      <w:bookmarkStart w:id="229" w:name="_Ref795"/>
      <w:r>
        <w:rPr>
          <w:color w:val="000000" w:themeColor="text1"/>
          <w14:textFill>
            <w14:solidFill>
              <w14:schemeClr w14:val="tx1"/>
            </w14:solidFill>
          </w14:textFill>
        </w:rPr>
        <w:t>Sung, F., Yang, Y., Zhang, L., Xiang, Y., &amp; Hospedales, T. M. (2018). Learning to compare: Relation network for few-shot learning. Proceedings of the IEEE/CVF Conference on Computer Vision and Pattern Recognition (CVPR), 2018, 1199-1208.</w:t>
      </w:r>
      <w:bookmarkEnd w:id="229"/>
      <w:bookmarkStart w:id="230" w:name="_Ref854"/>
    </w:p>
    <w:p w14:paraId="7A00A4F6">
      <w:pPr>
        <w:numPr>
          <w:ilvl w:val="0"/>
          <w:numId w:val="13"/>
        </w:numPr>
        <w:rPr>
          <w:color w:val="000000" w:themeColor="text1"/>
          <w14:textFill>
            <w14:solidFill>
              <w14:schemeClr w14:val="tx1"/>
            </w14:solidFill>
          </w14:textFill>
        </w:rPr>
      </w:pPr>
      <w:bookmarkStart w:id="231" w:name="_Ref10503"/>
      <w:r>
        <w:rPr>
          <w:color w:val="000000" w:themeColor="text1"/>
          <w14:textFill>
            <w14:solidFill>
              <w14:schemeClr w14:val="tx1"/>
            </w14:solidFill>
          </w14:textFill>
        </w:rPr>
        <w:t>Liu, Z., Lin, Y., &amp; Sun, X. (2018). Transductive propagation network for semi-supervised learning. Proceedings of the IEEE/CVF Conference on Computer Vision and Pattern Recognition (CVPR), 2018, 1603-1611.</w:t>
      </w:r>
      <w:bookmarkEnd w:id="230"/>
      <w:bookmarkEnd w:id="231"/>
      <w:bookmarkStart w:id="232" w:name="_Ref1014"/>
    </w:p>
    <w:p w14:paraId="0C704436">
      <w:pPr>
        <w:numPr>
          <w:ilvl w:val="0"/>
          <w:numId w:val="13"/>
        </w:numPr>
        <w:rPr>
          <w:color w:val="000000" w:themeColor="text1"/>
          <w14:textFill>
            <w14:solidFill>
              <w14:schemeClr w14:val="tx1"/>
            </w14:solidFill>
          </w14:textFill>
        </w:rPr>
      </w:pPr>
      <w:bookmarkStart w:id="233" w:name="_Ref976"/>
      <w:r>
        <w:rPr>
          <w:rFonts w:hint="eastAsia"/>
          <w:color w:val="000000" w:themeColor="text1"/>
          <w14:textFill>
            <w14:solidFill>
              <w14:schemeClr w14:val="tx1"/>
            </w14:solidFill>
          </w14:textFill>
        </w:rPr>
        <w:t>Zhang H., Cisse M., Dauphin Y. N., Lopez-Paz D. mixup: Beyond Empirical Risk Minimization. ICLR, 2018.</w:t>
      </w:r>
      <w:bookmarkEnd w:id="233"/>
    </w:p>
    <w:bookmarkEnd w:id="232"/>
    <w:p w14:paraId="19BA229A">
      <w:pPr>
        <w:numPr>
          <w:ilvl w:val="0"/>
          <w:numId w:val="13"/>
        </w:numPr>
        <w:rPr>
          <w:color w:val="000000" w:themeColor="text1"/>
          <w14:textFill>
            <w14:solidFill>
              <w14:schemeClr w14:val="tx1"/>
            </w14:solidFill>
          </w14:textFill>
        </w:rPr>
      </w:pPr>
      <w:bookmarkStart w:id="234" w:name="_Ref11104"/>
      <w:bookmarkStart w:id="235" w:name="_Ref1416"/>
      <w:r>
        <w:rPr>
          <w:color w:val="000000" w:themeColor="text1"/>
          <w14:textFill>
            <w14:solidFill>
              <w14:schemeClr w14:val="tx1"/>
            </w14:solidFill>
          </w14:textFill>
        </w:rPr>
        <w:t>Wang, Y., Yao, Q., Kwok, J. T., &amp; Ni, L. M. (2024).Dynamic Negative Sampling for Few-Shot Learning. Proceedings of the AAAI Conference on Artificial Intelligence, 38, 512–520.</w:t>
      </w:r>
      <w:bookmarkEnd w:id="234"/>
      <w:bookmarkEnd w:id="235"/>
      <w:bookmarkStart w:id="236" w:name="_Ref1462"/>
    </w:p>
    <w:bookmarkEnd w:id="236"/>
    <w:p w14:paraId="1424D321">
      <w:pPr>
        <w:numPr>
          <w:ilvl w:val="0"/>
          <w:numId w:val="13"/>
        </w:numPr>
        <w:rPr>
          <w:color w:val="000000" w:themeColor="text1"/>
          <w14:textFill>
            <w14:solidFill>
              <w14:schemeClr w14:val="tx1"/>
            </w14:solidFill>
          </w14:textFill>
        </w:rPr>
      </w:pPr>
      <w:bookmarkStart w:id="237" w:name="_Ref1707"/>
      <w:r>
        <w:rPr>
          <w:color w:val="000000" w:themeColor="text1"/>
          <w14:textFill>
            <w14:solidFill>
              <w14:schemeClr w14:val="tx1"/>
            </w14:solidFill>
          </w14:textFill>
        </w:rPr>
        <w:t>Caron, M., Misra, I., Mairal, J., Goyal, P., Bojanowski, P., &amp; Joulin, A. (2020). Unsupervised Learning of Visual Features by Contrasting Cluster Assignments. Advances in Neural Information Processing Systems, 33, 9912–9924.</w:t>
      </w:r>
      <w:bookmarkEnd w:id="237"/>
      <w:bookmarkStart w:id="238" w:name="_Ref1716"/>
    </w:p>
    <w:p w14:paraId="230A26B3">
      <w:pPr>
        <w:numPr>
          <w:ilvl w:val="0"/>
          <w:numId w:val="13"/>
        </w:numPr>
        <w:rPr>
          <w:color w:val="000000" w:themeColor="text1"/>
          <w14:textFill>
            <w14:solidFill>
              <w14:schemeClr w14:val="tx1"/>
            </w14:solidFill>
          </w14:textFill>
        </w:rPr>
      </w:pPr>
      <w:bookmarkStart w:id="239" w:name="_Ref11388"/>
      <w:r>
        <w:rPr>
          <w:color w:val="000000" w:themeColor="text1"/>
          <w14:textFill>
            <w14:solidFill>
              <w14:schemeClr w14:val="tx1"/>
            </w14:solidFill>
          </w14:textFill>
        </w:rPr>
        <w:t>Zhang, Y., Luo, P., &amp; Wang, X. (2022). Anchor Consistency Learning for Pseudo-Supervised Feature Alignment in Few-Shot Learning. IEEE Transactions on Pattern Analysis and Machine Intelligence, 44(9), 6854–6866.</w:t>
      </w:r>
      <w:bookmarkEnd w:id="238"/>
      <w:bookmarkEnd w:id="239"/>
      <w:bookmarkStart w:id="240" w:name="_Ref1818"/>
    </w:p>
    <w:p w14:paraId="13158C03">
      <w:pPr>
        <w:numPr>
          <w:ilvl w:val="0"/>
          <w:numId w:val="13"/>
        </w:numPr>
        <w:rPr>
          <w:color w:val="000000" w:themeColor="text1"/>
          <w14:textFill>
            <w14:solidFill>
              <w14:schemeClr w14:val="tx1"/>
            </w14:solidFill>
          </w14:textFill>
        </w:rPr>
      </w:pPr>
      <w:bookmarkStart w:id="241" w:name="_Ref11466"/>
      <w:r>
        <w:rPr>
          <w:color w:val="000000" w:themeColor="text1"/>
          <w14:textFill>
            <w14:solidFill>
              <w14:schemeClr w14:val="tx1"/>
            </w14:solidFill>
          </w14:textFill>
        </w:rPr>
        <w:t>Zhao, L., &amp; Karypis, G. (2021). Effective Hard Negative Sampling for Metric Learning in Few-Shot Scenarios. In Proceedings of the AAAI Conference on Artificial Intelligence (Vol. 35, pp. 11523–11531).</w:t>
      </w:r>
      <w:bookmarkEnd w:id="240"/>
      <w:bookmarkEnd w:id="241"/>
      <w:bookmarkStart w:id="242" w:name="_Ref1824"/>
    </w:p>
    <w:p w14:paraId="7732B0E6">
      <w:pPr>
        <w:numPr>
          <w:ilvl w:val="0"/>
          <w:numId w:val="13"/>
        </w:numPr>
        <w:rPr>
          <w:color w:val="000000" w:themeColor="text1"/>
          <w14:textFill>
            <w14:solidFill>
              <w14:schemeClr w14:val="tx1"/>
            </w14:solidFill>
          </w14:textFill>
        </w:rPr>
      </w:pPr>
      <w:bookmarkStart w:id="243" w:name="_Ref11470"/>
      <w:r>
        <w:rPr>
          <w:color w:val="000000" w:themeColor="text1"/>
          <w14:textFill>
            <w14:solidFill>
              <w14:schemeClr w14:val="tx1"/>
            </w14:solidFill>
          </w14:textFill>
        </w:rPr>
        <w:t>Li, X., Wu, X., &amp; Chu, X. (2022). AutoAugment for Tabular Data. Knowledge-Based Systems, 239, 107944.</w:t>
      </w:r>
      <w:bookmarkEnd w:id="242"/>
      <w:bookmarkEnd w:id="243"/>
      <w:bookmarkStart w:id="244" w:name="_Ref1902"/>
    </w:p>
    <w:p w14:paraId="37B03BAB">
      <w:pPr>
        <w:numPr>
          <w:ilvl w:val="0"/>
          <w:numId w:val="13"/>
        </w:numPr>
        <w:rPr>
          <w:color w:val="000000" w:themeColor="text1"/>
          <w14:textFill>
            <w14:solidFill>
              <w14:schemeClr w14:val="tx1"/>
            </w14:solidFill>
          </w14:textFill>
        </w:rPr>
      </w:pPr>
      <w:bookmarkStart w:id="245" w:name="_Ref11535"/>
      <w:r>
        <w:rPr>
          <w:color w:val="000000" w:themeColor="text1"/>
          <w14:textFill>
            <w14:solidFill>
              <w14:schemeClr w14:val="tx1"/>
            </w14:solidFill>
          </w14:textFill>
        </w:rPr>
        <w:t>Kim, D., Park, J., &amp; Choi, Y. (2023). Sample Integration for Class Imbalance in Few-Shot Tasks. Advances in Neural Information Processing Systems, 36, 14523–14534.</w:t>
      </w:r>
      <w:bookmarkEnd w:id="244"/>
      <w:bookmarkEnd w:id="245"/>
    </w:p>
    <w:p w14:paraId="4EAB212E">
      <w:pPr>
        <w:numPr>
          <w:ilvl w:val="0"/>
          <w:numId w:val="13"/>
        </w:numPr>
        <w:rPr>
          <w:color w:val="000000" w:themeColor="text1"/>
          <w14:textFill>
            <w14:solidFill>
              <w14:schemeClr w14:val="tx1"/>
            </w14:solidFill>
          </w14:textFill>
        </w:rPr>
      </w:pPr>
      <w:bookmarkStart w:id="246" w:name="_Ref20220"/>
      <w:r>
        <w:rPr>
          <w:color w:val="000000" w:themeColor="text1"/>
          <w14:textFill>
            <w14:solidFill>
              <w14:schemeClr w14:val="tx1"/>
            </w14:solidFill>
          </w14:textFill>
        </w:rPr>
        <w:t>American Diabetes Association (ADA). Classification and Diagnosis of Diabetes: Standards of Medical Care in Diabetes—2020. Diabetes Care. 2020;43(Supplement 1):S14-S31.</w:t>
      </w:r>
      <w:bookmarkEnd w:id="246"/>
    </w:p>
    <w:p w14:paraId="725FCCC4">
      <w:pPr>
        <w:numPr>
          <w:ilvl w:val="0"/>
          <w:numId w:val="13"/>
        </w:numPr>
        <w:rPr>
          <w:color w:val="000000" w:themeColor="text1"/>
          <w14:textFill>
            <w14:solidFill>
              <w14:schemeClr w14:val="tx1"/>
            </w14:solidFill>
          </w14:textFill>
        </w:rPr>
      </w:pPr>
      <w:bookmarkStart w:id="247" w:name="_Ref20246"/>
      <w:r>
        <w:rPr>
          <w:color w:val="000000" w:themeColor="text1"/>
          <w14:textFill>
            <w14:solidFill>
              <w14:schemeClr w14:val="tx1"/>
            </w14:solidFill>
          </w14:textFill>
        </w:rPr>
        <w:t>Whelton PK, Carey RM, Aronow WS, et al. 2017 ACC/AHA Hypertension Guidelines: A Report of the American College of Cardiology/American Heart Association Task Force on Clinical Practice Guidelines. Hypertension. 2018;71(6):e13-e115.</w:t>
      </w:r>
      <w:bookmarkEnd w:id="247"/>
    </w:p>
    <w:p w14:paraId="03DAB89A">
      <w:pPr>
        <w:numPr>
          <w:ilvl w:val="0"/>
          <w:numId w:val="13"/>
        </w:numPr>
        <w:rPr>
          <w:color w:val="000000" w:themeColor="text1"/>
          <w14:textFill>
            <w14:solidFill>
              <w14:schemeClr w14:val="tx1"/>
            </w14:solidFill>
          </w14:textFill>
        </w:rPr>
      </w:pPr>
      <w:bookmarkStart w:id="248" w:name="_Ref20651"/>
      <w:r>
        <w:rPr>
          <w:color w:val="000000" w:themeColor="text1"/>
          <w14:textFill>
            <w14:solidFill>
              <w14:schemeClr w14:val="tx1"/>
            </w14:solidFill>
          </w14:textFill>
        </w:rPr>
        <w:t>Muntner P, He J, Vupputuri S, et al. The Contribution of High Blood Pressure to the Population Burden of Chronic Kidney Disease: A Systematic Review and Meta-Analysis. Journal of the American Society of Nephrology. 2002; 13(5): 1225–1232.</w:t>
      </w:r>
      <w:bookmarkEnd w:id="248"/>
    </w:p>
    <w:p w14:paraId="4709CCB5">
      <w:pPr>
        <w:numPr>
          <w:ilvl w:val="0"/>
          <w:numId w:val="13"/>
        </w:numPr>
        <w:rPr>
          <w:color w:val="000000" w:themeColor="text1"/>
          <w14:textFill>
            <w14:solidFill>
              <w14:schemeClr w14:val="tx1"/>
            </w14:solidFill>
          </w14:textFill>
        </w:rPr>
      </w:pPr>
      <w:bookmarkStart w:id="249" w:name="_Ref20654"/>
      <w:r>
        <w:rPr>
          <w:color w:val="000000" w:themeColor="text1"/>
          <w14:textFill>
            <w14:solidFill>
              <w14:schemeClr w14:val="tx1"/>
            </w14:solidFill>
          </w14:textFill>
        </w:rPr>
        <w:t>Liu Y, Yang J, Zhang L, et al. Diabetes and Kidney Disease: From Mechanisms to Management. Clinical and Experimental Nephrology. 2019; 23(4): 461–469.</w:t>
      </w:r>
      <w:bookmarkEnd w:id="249"/>
    </w:p>
    <w:p w14:paraId="273A132C">
      <w:pPr>
        <w:numPr>
          <w:ilvl w:val="0"/>
          <w:numId w:val="0"/>
        </w:numPr>
        <w:ind w:leftChars="0"/>
        <w:rPr>
          <w:color w:val="000000" w:themeColor="text1"/>
          <w14:textFill>
            <w14:solidFill>
              <w14:schemeClr w14:val="tx1"/>
            </w14:solidFill>
          </w14:textFill>
        </w:rPr>
      </w:pPr>
    </w:p>
    <w:p w14:paraId="3C18BCA4">
      <w:pPr>
        <w:rPr>
          <w:color w:val="000000" w:themeColor="text1"/>
          <w14:textFill>
            <w14:solidFill>
              <w14:schemeClr w14:val="tx1"/>
            </w14:solidFill>
          </w14:textFill>
        </w:rPr>
      </w:pPr>
    </w:p>
    <w:bookmarkEnd w:id="183"/>
    <w:p w14:paraId="2DBD9C62">
      <w:pPr>
        <w:rPr>
          <w:color w:val="000000" w:themeColor="text1"/>
          <w14:textFill>
            <w14:solidFill>
              <w14:schemeClr w14:val="tx1"/>
            </w14:solidFill>
          </w14:textFill>
        </w:rPr>
      </w:pPr>
    </w:p>
    <w:p w14:paraId="57FDC40C">
      <w:pPr>
        <w:rPr>
          <w:b/>
          <w:bCs/>
          <w:color w:val="000000" w:themeColor="text1"/>
          <w:sz w:val="28"/>
          <w:szCs w:val="28"/>
          <w14:textFill>
            <w14:solidFill>
              <w14:schemeClr w14:val="tx1"/>
            </w14:solidFill>
          </w14:textFill>
        </w:rPr>
      </w:pP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F0975">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1BD3D1">
                          <w:pPr>
                            <w:pStyle w:val="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151BD3D1">
                    <w:pPr>
                      <w:pStyle w:val="5"/>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0A819">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EA34F9">
                          <w:pPr>
                            <w:pStyle w:val="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3FEA34F9">
                    <w:pPr>
                      <w:pStyle w:val="5"/>
                    </w:pPr>
                    <w:r>
                      <w:fldChar w:fldCharType="begin"/>
                    </w:r>
                    <w:r>
                      <w:instrText xml:space="preserve"> PAGE  \* MERGEFORMAT </w:instrText>
                    </w:r>
                    <w:r>
                      <w:fldChar w:fldCharType="separate"/>
                    </w:r>
                    <w:r>
                      <w:t>I</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405BB"/>
    <w:multiLevelType w:val="singleLevel"/>
    <w:tmpl w:val="860405BB"/>
    <w:lvl w:ilvl="0" w:tentative="0">
      <w:start w:val="1"/>
      <w:numFmt w:val="bullet"/>
      <w:lvlText w:val=""/>
      <w:lvlJc w:val="left"/>
      <w:pPr>
        <w:ind w:left="420" w:hanging="420"/>
      </w:pPr>
      <w:rPr>
        <w:rFonts w:hint="default" w:ascii="Wingdings" w:hAnsi="Wingdings"/>
        <w:sz w:val="16"/>
        <w:szCs w:val="16"/>
      </w:rPr>
    </w:lvl>
  </w:abstractNum>
  <w:abstractNum w:abstractNumId="1">
    <w:nsid w:val="9766F839"/>
    <w:multiLevelType w:val="multilevel"/>
    <w:tmpl w:val="9766F839"/>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A0B7B2AD"/>
    <w:multiLevelType w:val="multilevel"/>
    <w:tmpl w:val="A0B7B2AD"/>
    <w:lvl w:ilvl="0" w:tentative="0">
      <w:start w:val="1"/>
      <w:numFmt w:val="bullet"/>
      <w:lvlText w:val=""/>
      <w:lvlJc w:val="left"/>
      <w:pPr>
        <w:ind w:left="420" w:hanging="420"/>
      </w:pPr>
      <w:rPr>
        <w:rFonts w:hint="default" w:ascii="Wingdings" w:hAnsi="Wingdings"/>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A7C75D83"/>
    <w:multiLevelType w:val="singleLevel"/>
    <w:tmpl w:val="A7C75D83"/>
    <w:lvl w:ilvl="0" w:tentative="0">
      <w:start w:val="1"/>
      <w:numFmt w:val="bullet"/>
      <w:lvlText w:val=""/>
      <w:lvlJc w:val="left"/>
      <w:pPr>
        <w:ind w:left="420" w:hanging="420"/>
      </w:pPr>
      <w:rPr>
        <w:rFonts w:hint="default" w:ascii="Wingdings" w:hAnsi="Wingdings"/>
        <w:color w:val="000000" w:themeColor="text1"/>
        <w:sz w:val="16"/>
        <w:szCs w:val="16"/>
        <w14:textFill>
          <w14:solidFill>
            <w14:schemeClr w14:val="tx1"/>
          </w14:solidFill>
        </w14:textFill>
      </w:rPr>
    </w:lvl>
  </w:abstractNum>
  <w:abstractNum w:abstractNumId="4">
    <w:nsid w:val="B4DD7FC3"/>
    <w:multiLevelType w:val="singleLevel"/>
    <w:tmpl w:val="B4DD7FC3"/>
    <w:lvl w:ilvl="0" w:tentative="0">
      <w:start w:val="1"/>
      <w:numFmt w:val="bullet"/>
      <w:lvlText w:val=""/>
      <w:lvlJc w:val="left"/>
      <w:pPr>
        <w:ind w:left="420" w:hanging="420"/>
      </w:pPr>
      <w:rPr>
        <w:rFonts w:hint="default" w:ascii="Wingdings" w:hAnsi="Wingdings"/>
        <w:sz w:val="16"/>
        <w:szCs w:val="16"/>
      </w:rPr>
    </w:lvl>
  </w:abstractNum>
  <w:abstractNum w:abstractNumId="5">
    <w:nsid w:val="C1A0C079"/>
    <w:multiLevelType w:val="singleLevel"/>
    <w:tmpl w:val="C1A0C079"/>
    <w:lvl w:ilvl="0" w:tentative="0">
      <w:start w:val="1"/>
      <w:numFmt w:val="bullet"/>
      <w:lvlText w:val=""/>
      <w:lvlJc w:val="left"/>
      <w:pPr>
        <w:ind w:left="420" w:hanging="420"/>
      </w:pPr>
      <w:rPr>
        <w:rFonts w:hint="default" w:ascii="Wingdings" w:hAnsi="Wingdings"/>
        <w:sz w:val="16"/>
        <w:szCs w:val="16"/>
      </w:rPr>
    </w:lvl>
  </w:abstractNum>
  <w:abstractNum w:abstractNumId="6">
    <w:nsid w:val="19C6EBE6"/>
    <w:multiLevelType w:val="multilevel"/>
    <w:tmpl w:val="19C6EBE6"/>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1D680EF0"/>
    <w:multiLevelType w:val="singleLevel"/>
    <w:tmpl w:val="1D680EF0"/>
    <w:lvl w:ilvl="0" w:tentative="0">
      <w:start w:val="1"/>
      <w:numFmt w:val="decimal"/>
      <w:suff w:val="space"/>
      <w:lvlText w:val="%1."/>
      <w:lvlJc w:val="left"/>
    </w:lvl>
  </w:abstractNum>
  <w:abstractNum w:abstractNumId="8">
    <w:nsid w:val="20FED366"/>
    <w:multiLevelType w:val="singleLevel"/>
    <w:tmpl w:val="20FED366"/>
    <w:lvl w:ilvl="0" w:tentative="0">
      <w:start w:val="1"/>
      <w:numFmt w:val="decimal"/>
      <w:lvlText w:val="[%1]"/>
      <w:lvlJc w:val="left"/>
      <w:pPr>
        <w:tabs>
          <w:tab w:val="left" w:pos="420"/>
        </w:tabs>
        <w:ind w:left="425" w:hanging="425"/>
      </w:pPr>
      <w:rPr>
        <w:rFonts w:hint="default"/>
      </w:rPr>
    </w:lvl>
  </w:abstractNum>
  <w:abstractNum w:abstractNumId="9">
    <w:nsid w:val="3805037F"/>
    <w:multiLevelType w:val="multilevel"/>
    <w:tmpl w:val="3805037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sz w:val="16"/>
        <w:szCs w:val="16"/>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0">
    <w:nsid w:val="43C3D90C"/>
    <w:multiLevelType w:val="singleLevel"/>
    <w:tmpl w:val="43C3D90C"/>
    <w:lvl w:ilvl="0" w:tentative="0">
      <w:start w:val="1"/>
      <w:numFmt w:val="bullet"/>
      <w:lvlText w:val=""/>
      <w:lvlJc w:val="left"/>
      <w:pPr>
        <w:ind w:left="420" w:hanging="420"/>
      </w:pPr>
      <w:rPr>
        <w:rFonts w:hint="default" w:ascii="Wingdings" w:hAnsi="Wingdings"/>
        <w:sz w:val="16"/>
        <w:szCs w:val="16"/>
      </w:rPr>
    </w:lvl>
  </w:abstractNum>
  <w:abstractNum w:abstractNumId="11">
    <w:nsid w:val="50D69095"/>
    <w:multiLevelType w:val="singleLevel"/>
    <w:tmpl w:val="50D69095"/>
    <w:lvl w:ilvl="0" w:tentative="0">
      <w:start w:val="1"/>
      <w:numFmt w:val="bullet"/>
      <w:lvlText w:val=""/>
      <w:lvlJc w:val="left"/>
      <w:pPr>
        <w:ind w:left="420" w:hanging="420"/>
      </w:pPr>
      <w:rPr>
        <w:rFonts w:hint="default" w:ascii="Wingdings" w:hAnsi="Wingdings"/>
        <w:sz w:val="16"/>
        <w:szCs w:val="16"/>
      </w:rPr>
    </w:lvl>
  </w:abstractNum>
  <w:abstractNum w:abstractNumId="12">
    <w:nsid w:val="741C2E68"/>
    <w:multiLevelType w:val="multilevel"/>
    <w:tmpl w:val="741C2E6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2"/>
  </w:num>
  <w:num w:numId="2">
    <w:abstractNumId w:val="7"/>
  </w:num>
  <w:num w:numId="3">
    <w:abstractNumId w:val="6"/>
  </w:num>
  <w:num w:numId="4">
    <w:abstractNumId w:val="1"/>
  </w:num>
  <w:num w:numId="5">
    <w:abstractNumId w:val="10"/>
  </w:num>
  <w:num w:numId="6">
    <w:abstractNumId w:val="2"/>
  </w:num>
  <w:num w:numId="7">
    <w:abstractNumId w:val="11"/>
  </w:num>
  <w:num w:numId="8">
    <w:abstractNumId w:val="5"/>
  </w:num>
  <w:num w:numId="9">
    <w:abstractNumId w:val="0"/>
  </w:num>
  <w:num w:numId="10">
    <w:abstractNumId w:val="4"/>
  </w:num>
  <w:num w:numId="11">
    <w:abstractNumId w:val="3"/>
  </w:num>
  <w:num w:numId="12">
    <w:abstractNumId w:val="9"/>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9A0908"/>
    <w:rsid w:val="0012155D"/>
    <w:rsid w:val="002B135C"/>
    <w:rsid w:val="00871184"/>
    <w:rsid w:val="009006AD"/>
    <w:rsid w:val="0098388D"/>
    <w:rsid w:val="00A35DAC"/>
    <w:rsid w:val="00A83AD0"/>
    <w:rsid w:val="00C1458C"/>
    <w:rsid w:val="00ED5FCF"/>
    <w:rsid w:val="01655E65"/>
    <w:rsid w:val="01677E5F"/>
    <w:rsid w:val="016D6B7E"/>
    <w:rsid w:val="01772A9E"/>
    <w:rsid w:val="01CD7566"/>
    <w:rsid w:val="021D11A0"/>
    <w:rsid w:val="02216CAE"/>
    <w:rsid w:val="023D293E"/>
    <w:rsid w:val="02663C42"/>
    <w:rsid w:val="026B3007"/>
    <w:rsid w:val="02763227"/>
    <w:rsid w:val="02E80AFB"/>
    <w:rsid w:val="030F4150"/>
    <w:rsid w:val="03337F28"/>
    <w:rsid w:val="037C246C"/>
    <w:rsid w:val="03BF6CEB"/>
    <w:rsid w:val="03F417F9"/>
    <w:rsid w:val="03F97E5A"/>
    <w:rsid w:val="04C20143"/>
    <w:rsid w:val="050D65DE"/>
    <w:rsid w:val="052B53BF"/>
    <w:rsid w:val="0561315E"/>
    <w:rsid w:val="056E368F"/>
    <w:rsid w:val="058326BE"/>
    <w:rsid w:val="0588600B"/>
    <w:rsid w:val="05A855CB"/>
    <w:rsid w:val="05AB7095"/>
    <w:rsid w:val="05F254FA"/>
    <w:rsid w:val="06015B3E"/>
    <w:rsid w:val="06020DDD"/>
    <w:rsid w:val="062910FF"/>
    <w:rsid w:val="064E5119"/>
    <w:rsid w:val="06C278B5"/>
    <w:rsid w:val="06F32700"/>
    <w:rsid w:val="076A6065"/>
    <w:rsid w:val="077C74E6"/>
    <w:rsid w:val="07B23486"/>
    <w:rsid w:val="07F8785C"/>
    <w:rsid w:val="07F94FA6"/>
    <w:rsid w:val="082A59F6"/>
    <w:rsid w:val="087345A0"/>
    <w:rsid w:val="089A50BC"/>
    <w:rsid w:val="08FA3336"/>
    <w:rsid w:val="09423EEC"/>
    <w:rsid w:val="096C4EEA"/>
    <w:rsid w:val="096E1734"/>
    <w:rsid w:val="09736C45"/>
    <w:rsid w:val="0A0F2E11"/>
    <w:rsid w:val="0A2939EF"/>
    <w:rsid w:val="0A2C731B"/>
    <w:rsid w:val="0AAE0CA9"/>
    <w:rsid w:val="0ABA2D7D"/>
    <w:rsid w:val="0AE03085"/>
    <w:rsid w:val="0B2D6259"/>
    <w:rsid w:val="0B6D1ABD"/>
    <w:rsid w:val="0BD10FD4"/>
    <w:rsid w:val="0BE82F00"/>
    <w:rsid w:val="0C50326D"/>
    <w:rsid w:val="0C850278"/>
    <w:rsid w:val="0CF230D7"/>
    <w:rsid w:val="0D166E01"/>
    <w:rsid w:val="0DBA12E6"/>
    <w:rsid w:val="0DDA3736"/>
    <w:rsid w:val="0E2B1182"/>
    <w:rsid w:val="0E3966AF"/>
    <w:rsid w:val="0E5B6E42"/>
    <w:rsid w:val="0E6D6359"/>
    <w:rsid w:val="0EA21BDD"/>
    <w:rsid w:val="0EAF24CD"/>
    <w:rsid w:val="0F2C643F"/>
    <w:rsid w:val="0FD77F2D"/>
    <w:rsid w:val="0FF42C96"/>
    <w:rsid w:val="0FF94348"/>
    <w:rsid w:val="0FFA1E6E"/>
    <w:rsid w:val="10806817"/>
    <w:rsid w:val="10E250B3"/>
    <w:rsid w:val="111F6967"/>
    <w:rsid w:val="119A56B6"/>
    <w:rsid w:val="120229DE"/>
    <w:rsid w:val="121E62E8"/>
    <w:rsid w:val="123A16CD"/>
    <w:rsid w:val="127F6081"/>
    <w:rsid w:val="12BD66DE"/>
    <w:rsid w:val="135C409A"/>
    <w:rsid w:val="139D4FEA"/>
    <w:rsid w:val="13D35072"/>
    <w:rsid w:val="13EE283E"/>
    <w:rsid w:val="141F1C88"/>
    <w:rsid w:val="14290F74"/>
    <w:rsid w:val="145A052F"/>
    <w:rsid w:val="14634465"/>
    <w:rsid w:val="14716656"/>
    <w:rsid w:val="148538A3"/>
    <w:rsid w:val="14B87EA4"/>
    <w:rsid w:val="14EB1A29"/>
    <w:rsid w:val="14EF7948"/>
    <w:rsid w:val="14FC40C8"/>
    <w:rsid w:val="15030855"/>
    <w:rsid w:val="150C0679"/>
    <w:rsid w:val="1558214B"/>
    <w:rsid w:val="156A49FB"/>
    <w:rsid w:val="15747FCD"/>
    <w:rsid w:val="15831E8A"/>
    <w:rsid w:val="158F4E06"/>
    <w:rsid w:val="15A24B3A"/>
    <w:rsid w:val="15A82699"/>
    <w:rsid w:val="15AA1CAC"/>
    <w:rsid w:val="162A6AD2"/>
    <w:rsid w:val="1635775C"/>
    <w:rsid w:val="1670402E"/>
    <w:rsid w:val="16831A50"/>
    <w:rsid w:val="168D4D4A"/>
    <w:rsid w:val="16DF0B84"/>
    <w:rsid w:val="16E6682E"/>
    <w:rsid w:val="170A508C"/>
    <w:rsid w:val="17286E95"/>
    <w:rsid w:val="175822B5"/>
    <w:rsid w:val="179A60F6"/>
    <w:rsid w:val="180F2314"/>
    <w:rsid w:val="181A30AD"/>
    <w:rsid w:val="184A37E9"/>
    <w:rsid w:val="18542133"/>
    <w:rsid w:val="18727A95"/>
    <w:rsid w:val="18917025"/>
    <w:rsid w:val="189D1E4F"/>
    <w:rsid w:val="18B708FC"/>
    <w:rsid w:val="18C33745"/>
    <w:rsid w:val="18C80D5B"/>
    <w:rsid w:val="192166BD"/>
    <w:rsid w:val="194F6D87"/>
    <w:rsid w:val="198E19DC"/>
    <w:rsid w:val="19E41E92"/>
    <w:rsid w:val="19F138D9"/>
    <w:rsid w:val="19FA4A2E"/>
    <w:rsid w:val="1A165AF6"/>
    <w:rsid w:val="1A4408B5"/>
    <w:rsid w:val="1A48012B"/>
    <w:rsid w:val="1A620D3B"/>
    <w:rsid w:val="1A7E4896"/>
    <w:rsid w:val="1A8A4238"/>
    <w:rsid w:val="1A962423"/>
    <w:rsid w:val="1B26620D"/>
    <w:rsid w:val="1B6B4BEC"/>
    <w:rsid w:val="1BF430DA"/>
    <w:rsid w:val="1C071B9A"/>
    <w:rsid w:val="1C59328D"/>
    <w:rsid w:val="1CC609DE"/>
    <w:rsid w:val="1D104A7F"/>
    <w:rsid w:val="1D167BBB"/>
    <w:rsid w:val="1D7C7F20"/>
    <w:rsid w:val="1DCF1C0C"/>
    <w:rsid w:val="1DD27F86"/>
    <w:rsid w:val="1DDD1372"/>
    <w:rsid w:val="1DE30936"/>
    <w:rsid w:val="1DE877AA"/>
    <w:rsid w:val="1E3A5AE5"/>
    <w:rsid w:val="1E731769"/>
    <w:rsid w:val="1E8A219C"/>
    <w:rsid w:val="1EA407AF"/>
    <w:rsid w:val="1EBB3073"/>
    <w:rsid w:val="1EED151B"/>
    <w:rsid w:val="1F3727C7"/>
    <w:rsid w:val="1F604708"/>
    <w:rsid w:val="1FBC2C9C"/>
    <w:rsid w:val="1FE872EE"/>
    <w:rsid w:val="200F101E"/>
    <w:rsid w:val="205729C5"/>
    <w:rsid w:val="20D30002"/>
    <w:rsid w:val="20E36EBF"/>
    <w:rsid w:val="21206410"/>
    <w:rsid w:val="21355A11"/>
    <w:rsid w:val="217D1FB0"/>
    <w:rsid w:val="21A460DD"/>
    <w:rsid w:val="21A558D4"/>
    <w:rsid w:val="21D95741"/>
    <w:rsid w:val="21E464DA"/>
    <w:rsid w:val="21FF4CFB"/>
    <w:rsid w:val="22525733"/>
    <w:rsid w:val="2281356A"/>
    <w:rsid w:val="22C81CA6"/>
    <w:rsid w:val="230D18DA"/>
    <w:rsid w:val="231A0405"/>
    <w:rsid w:val="231C1A96"/>
    <w:rsid w:val="232D1518"/>
    <w:rsid w:val="23396347"/>
    <w:rsid w:val="23E26A49"/>
    <w:rsid w:val="2401301A"/>
    <w:rsid w:val="24A73F1B"/>
    <w:rsid w:val="24BD373E"/>
    <w:rsid w:val="24FE5B05"/>
    <w:rsid w:val="25206AAF"/>
    <w:rsid w:val="256376A5"/>
    <w:rsid w:val="25A04B22"/>
    <w:rsid w:val="25E116AE"/>
    <w:rsid w:val="26345C82"/>
    <w:rsid w:val="26AC485F"/>
    <w:rsid w:val="26E16B85"/>
    <w:rsid w:val="26E40FC7"/>
    <w:rsid w:val="27AA0490"/>
    <w:rsid w:val="27AC35F6"/>
    <w:rsid w:val="27CA7ED1"/>
    <w:rsid w:val="27DF39CB"/>
    <w:rsid w:val="280460E8"/>
    <w:rsid w:val="287E34CB"/>
    <w:rsid w:val="288F53F1"/>
    <w:rsid w:val="28AB185F"/>
    <w:rsid w:val="29146F2D"/>
    <w:rsid w:val="29410738"/>
    <w:rsid w:val="29A65153"/>
    <w:rsid w:val="29C87F1D"/>
    <w:rsid w:val="2A146612"/>
    <w:rsid w:val="2A1A7826"/>
    <w:rsid w:val="2AB54EB7"/>
    <w:rsid w:val="2AFF2E2D"/>
    <w:rsid w:val="2B385681"/>
    <w:rsid w:val="2B514D73"/>
    <w:rsid w:val="2B5408B4"/>
    <w:rsid w:val="2B634913"/>
    <w:rsid w:val="2B6F2C13"/>
    <w:rsid w:val="2B7450D6"/>
    <w:rsid w:val="2B767032"/>
    <w:rsid w:val="2BB1567F"/>
    <w:rsid w:val="2BBF0D19"/>
    <w:rsid w:val="2BD55811"/>
    <w:rsid w:val="2BE5305D"/>
    <w:rsid w:val="2CD84677"/>
    <w:rsid w:val="2CE101E6"/>
    <w:rsid w:val="2D7B5F44"/>
    <w:rsid w:val="2D943EC9"/>
    <w:rsid w:val="2DFD104F"/>
    <w:rsid w:val="2E602D4C"/>
    <w:rsid w:val="2EE63891"/>
    <w:rsid w:val="2EFC17EB"/>
    <w:rsid w:val="2F47747B"/>
    <w:rsid w:val="2F697D76"/>
    <w:rsid w:val="2F7075FF"/>
    <w:rsid w:val="2F8A09E3"/>
    <w:rsid w:val="2FB90FA6"/>
    <w:rsid w:val="2FBC2E4F"/>
    <w:rsid w:val="307F0807"/>
    <w:rsid w:val="30F13DC6"/>
    <w:rsid w:val="314C0546"/>
    <w:rsid w:val="31651AA3"/>
    <w:rsid w:val="316867E0"/>
    <w:rsid w:val="31880C30"/>
    <w:rsid w:val="31CA6E34"/>
    <w:rsid w:val="31FB1809"/>
    <w:rsid w:val="32386517"/>
    <w:rsid w:val="327214BB"/>
    <w:rsid w:val="32807B59"/>
    <w:rsid w:val="331462D9"/>
    <w:rsid w:val="3350577D"/>
    <w:rsid w:val="33882539"/>
    <w:rsid w:val="339A2E9C"/>
    <w:rsid w:val="34165E66"/>
    <w:rsid w:val="34401C96"/>
    <w:rsid w:val="34847DD4"/>
    <w:rsid w:val="349B4A6B"/>
    <w:rsid w:val="349E1F2B"/>
    <w:rsid w:val="353E361B"/>
    <w:rsid w:val="357009D8"/>
    <w:rsid w:val="35C275C5"/>
    <w:rsid w:val="35DF31E6"/>
    <w:rsid w:val="360845B7"/>
    <w:rsid w:val="364A2958"/>
    <w:rsid w:val="36AE738B"/>
    <w:rsid w:val="373C4996"/>
    <w:rsid w:val="37544180"/>
    <w:rsid w:val="37837E15"/>
    <w:rsid w:val="37AE6F16"/>
    <w:rsid w:val="37CF1A6D"/>
    <w:rsid w:val="37FC4126"/>
    <w:rsid w:val="38012C35"/>
    <w:rsid w:val="3838383E"/>
    <w:rsid w:val="38AD6424"/>
    <w:rsid w:val="38FC2B25"/>
    <w:rsid w:val="39006B4A"/>
    <w:rsid w:val="39473540"/>
    <w:rsid w:val="395A3541"/>
    <w:rsid w:val="395D687A"/>
    <w:rsid w:val="397755FF"/>
    <w:rsid w:val="39AD0584"/>
    <w:rsid w:val="39B003B6"/>
    <w:rsid w:val="3A502507"/>
    <w:rsid w:val="3AB25844"/>
    <w:rsid w:val="3ACA22B9"/>
    <w:rsid w:val="3AF410E4"/>
    <w:rsid w:val="3AF9494C"/>
    <w:rsid w:val="3B0A7C29"/>
    <w:rsid w:val="3B2319C9"/>
    <w:rsid w:val="3B446655"/>
    <w:rsid w:val="3B455CCF"/>
    <w:rsid w:val="3B9B19AC"/>
    <w:rsid w:val="3BB05953"/>
    <w:rsid w:val="3C2A2C9F"/>
    <w:rsid w:val="3C3976F6"/>
    <w:rsid w:val="3C676344"/>
    <w:rsid w:val="3C771FCD"/>
    <w:rsid w:val="3C7721BF"/>
    <w:rsid w:val="3C9F652D"/>
    <w:rsid w:val="3CD44299"/>
    <w:rsid w:val="3D1028DD"/>
    <w:rsid w:val="3D4C543D"/>
    <w:rsid w:val="3D502071"/>
    <w:rsid w:val="3D6A0A80"/>
    <w:rsid w:val="3DBA03C3"/>
    <w:rsid w:val="3DBD4357"/>
    <w:rsid w:val="3DBF1E7D"/>
    <w:rsid w:val="3DC50AD7"/>
    <w:rsid w:val="3DFE0BF8"/>
    <w:rsid w:val="3E5C3C06"/>
    <w:rsid w:val="3EBE2135"/>
    <w:rsid w:val="3F0C5DE4"/>
    <w:rsid w:val="3F1D2F3F"/>
    <w:rsid w:val="401F30A7"/>
    <w:rsid w:val="4057639D"/>
    <w:rsid w:val="40865631"/>
    <w:rsid w:val="40905054"/>
    <w:rsid w:val="40D55514"/>
    <w:rsid w:val="41311525"/>
    <w:rsid w:val="413975F8"/>
    <w:rsid w:val="41546D80"/>
    <w:rsid w:val="41594397"/>
    <w:rsid w:val="416430E7"/>
    <w:rsid w:val="41884FF2"/>
    <w:rsid w:val="41B50A9D"/>
    <w:rsid w:val="421339E9"/>
    <w:rsid w:val="42520E7F"/>
    <w:rsid w:val="42B51AA1"/>
    <w:rsid w:val="42C13FA2"/>
    <w:rsid w:val="43073304"/>
    <w:rsid w:val="43912E12"/>
    <w:rsid w:val="441078AF"/>
    <w:rsid w:val="443E5A20"/>
    <w:rsid w:val="44417846"/>
    <w:rsid w:val="444E121C"/>
    <w:rsid w:val="448160DE"/>
    <w:rsid w:val="449C6A74"/>
    <w:rsid w:val="450D7972"/>
    <w:rsid w:val="450E3451"/>
    <w:rsid w:val="452B6074"/>
    <w:rsid w:val="453316DB"/>
    <w:rsid w:val="459531E3"/>
    <w:rsid w:val="459E1862"/>
    <w:rsid w:val="45EF0E26"/>
    <w:rsid w:val="45F155CD"/>
    <w:rsid w:val="462F1B6A"/>
    <w:rsid w:val="464E0242"/>
    <w:rsid w:val="467E6261"/>
    <w:rsid w:val="46BF2EEE"/>
    <w:rsid w:val="46C422B2"/>
    <w:rsid w:val="46CA3945"/>
    <w:rsid w:val="47243EAF"/>
    <w:rsid w:val="47594B77"/>
    <w:rsid w:val="47C50968"/>
    <w:rsid w:val="47D604EF"/>
    <w:rsid w:val="481E21AA"/>
    <w:rsid w:val="486F13F8"/>
    <w:rsid w:val="489B1CC5"/>
    <w:rsid w:val="48B16847"/>
    <w:rsid w:val="48E737DC"/>
    <w:rsid w:val="49110825"/>
    <w:rsid w:val="49415C3B"/>
    <w:rsid w:val="4A4C6847"/>
    <w:rsid w:val="4A631398"/>
    <w:rsid w:val="4A767F31"/>
    <w:rsid w:val="4A8E5059"/>
    <w:rsid w:val="4AAC3789"/>
    <w:rsid w:val="4B1C16CF"/>
    <w:rsid w:val="4B656400"/>
    <w:rsid w:val="4B837148"/>
    <w:rsid w:val="4BA83F51"/>
    <w:rsid w:val="4BB07BD8"/>
    <w:rsid w:val="4BC17ED9"/>
    <w:rsid w:val="4BC90725"/>
    <w:rsid w:val="4BD54BC8"/>
    <w:rsid w:val="4C111715"/>
    <w:rsid w:val="4C2C2DD4"/>
    <w:rsid w:val="4C3C5FC3"/>
    <w:rsid w:val="4D2C2C90"/>
    <w:rsid w:val="4D4C3002"/>
    <w:rsid w:val="4DA933C9"/>
    <w:rsid w:val="4E6667E9"/>
    <w:rsid w:val="4E77522A"/>
    <w:rsid w:val="4E866C96"/>
    <w:rsid w:val="4E9C3796"/>
    <w:rsid w:val="4EBE1CDD"/>
    <w:rsid w:val="4EC30082"/>
    <w:rsid w:val="4F6A79A6"/>
    <w:rsid w:val="4F740E43"/>
    <w:rsid w:val="4F7D5E60"/>
    <w:rsid w:val="4F8159F3"/>
    <w:rsid w:val="4FF1693E"/>
    <w:rsid w:val="500B2C9F"/>
    <w:rsid w:val="50940F47"/>
    <w:rsid w:val="50993DF7"/>
    <w:rsid w:val="50C5100B"/>
    <w:rsid w:val="50F11EF6"/>
    <w:rsid w:val="51406525"/>
    <w:rsid w:val="5160707C"/>
    <w:rsid w:val="51725FD6"/>
    <w:rsid w:val="517C2BAC"/>
    <w:rsid w:val="51A37951"/>
    <w:rsid w:val="51AC040F"/>
    <w:rsid w:val="51B43FDF"/>
    <w:rsid w:val="51BF3DA2"/>
    <w:rsid w:val="51C946C0"/>
    <w:rsid w:val="520E18D3"/>
    <w:rsid w:val="52393F26"/>
    <w:rsid w:val="524E3378"/>
    <w:rsid w:val="52554706"/>
    <w:rsid w:val="5305612D"/>
    <w:rsid w:val="530F2FDD"/>
    <w:rsid w:val="53CB17C4"/>
    <w:rsid w:val="53CC7A43"/>
    <w:rsid w:val="53D527F8"/>
    <w:rsid w:val="53DC6AF7"/>
    <w:rsid w:val="53E04933"/>
    <w:rsid w:val="540A3C5A"/>
    <w:rsid w:val="544100EE"/>
    <w:rsid w:val="54546913"/>
    <w:rsid w:val="54583372"/>
    <w:rsid w:val="54857525"/>
    <w:rsid w:val="54905ECA"/>
    <w:rsid w:val="54A35CBB"/>
    <w:rsid w:val="54A46EA0"/>
    <w:rsid w:val="54B46D2D"/>
    <w:rsid w:val="54E1262F"/>
    <w:rsid w:val="54E35E50"/>
    <w:rsid w:val="55004DFD"/>
    <w:rsid w:val="554F7B33"/>
    <w:rsid w:val="557570ED"/>
    <w:rsid w:val="55915A56"/>
    <w:rsid w:val="55942B9B"/>
    <w:rsid w:val="559A0908"/>
    <w:rsid w:val="55A41C2D"/>
    <w:rsid w:val="55F411E3"/>
    <w:rsid w:val="5622631F"/>
    <w:rsid w:val="56C536A0"/>
    <w:rsid w:val="570E6FC5"/>
    <w:rsid w:val="578D7FF9"/>
    <w:rsid w:val="57D04F5B"/>
    <w:rsid w:val="57EA64DD"/>
    <w:rsid w:val="57FC0C0C"/>
    <w:rsid w:val="584D35F3"/>
    <w:rsid w:val="585910C7"/>
    <w:rsid w:val="58692CBA"/>
    <w:rsid w:val="58764A55"/>
    <w:rsid w:val="588200BA"/>
    <w:rsid w:val="58845D45"/>
    <w:rsid w:val="58B72281"/>
    <w:rsid w:val="58C46847"/>
    <w:rsid w:val="5915074C"/>
    <w:rsid w:val="59372DB8"/>
    <w:rsid w:val="595E20F3"/>
    <w:rsid w:val="59A321FB"/>
    <w:rsid w:val="59A74B39"/>
    <w:rsid w:val="59C86985"/>
    <w:rsid w:val="59D367C3"/>
    <w:rsid w:val="59E7380B"/>
    <w:rsid w:val="5A075DC3"/>
    <w:rsid w:val="5A2D62B9"/>
    <w:rsid w:val="5A9E7C8D"/>
    <w:rsid w:val="5AAD190B"/>
    <w:rsid w:val="5B244E04"/>
    <w:rsid w:val="5B2A44C3"/>
    <w:rsid w:val="5B363A73"/>
    <w:rsid w:val="5B411CCC"/>
    <w:rsid w:val="5B8228C3"/>
    <w:rsid w:val="5B8D16C2"/>
    <w:rsid w:val="5BB22BCA"/>
    <w:rsid w:val="5BE32D83"/>
    <w:rsid w:val="5C01237C"/>
    <w:rsid w:val="5C186ED1"/>
    <w:rsid w:val="5C307249"/>
    <w:rsid w:val="5C577890"/>
    <w:rsid w:val="5C904CB9"/>
    <w:rsid w:val="5CB5471F"/>
    <w:rsid w:val="5CCA2F91"/>
    <w:rsid w:val="5D323FC2"/>
    <w:rsid w:val="5D335F95"/>
    <w:rsid w:val="5D3C274B"/>
    <w:rsid w:val="5D5932FD"/>
    <w:rsid w:val="5D9205BD"/>
    <w:rsid w:val="5DAD3649"/>
    <w:rsid w:val="5DB3770C"/>
    <w:rsid w:val="5DBA5079"/>
    <w:rsid w:val="5DD21320"/>
    <w:rsid w:val="5DD930FB"/>
    <w:rsid w:val="5E371164"/>
    <w:rsid w:val="5E3B7D36"/>
    <w:rsid w:val="5E420382"/>
    <w:rsid w:val="5E604B5F"/>
    <w:rsid w:val="5E62059E"/>
    <w:rsid w:val="5EF56C4F"/>
    <w:rsid w:val="5F3202A9"/>
    <w:rsid w:val="5F3F6522"/>
    <w:rsid w:val="5F4A3D74"/>
    <w:rsid w:val="5F717C16"/>
    <w:rsid w:val="5FF17B2D"/>
    <w:rsid w:val="5FF94530"/>
    <w:rsid w:val="60163727"/>
    <w:rsid w:val="60200102"/>
    <w:rsid w:val="602F7368"/>
    <w:rsid w:val="603E3FC0"/>
    <w:rsid w:val="60B116A2"/>
    <w:rsid w:val="60C969EB"/>
    <w:rsid w:val="61333F9B"/>
    <w:rsid w:val="615A7643"/>
    <w:rsid w:val="61686204"/>
    <w:rsid w:val="619C4100"/>
    <w:rsid w:val="62020D59"/>
    <w:rsid w:val="621912AD"/>
    <w:rsid w:val="622C064E"/>
    <w:rsid w:val="62936BF7"/>
    <w:rsid w:val="62BD2580"/>
    <w:rsid w:val="62CC52AD"/>
    <w:rsid w:val="62F87114"/>
    <w:rsid w:val="6317557C"/>
    <w:rsid w:val="637706CF"/>
    <w:rsid w:val="63B75221"/>
    <w:rsid w:val="63BC45E5"/>
    <w:rsid w:val="63D17EA6"/>
    <w:rsid w:val="644F6209"/>
    <w:rsid w:val="647C3A7D"/>
    <w:rsid w:val="64B1428F"/>
    <w:rsid w:val="64B33C3A"/>
    <w:rsid w:val="64FB37AB"/>
    <w:rsid w:val="65222B6E"/>
    <w:rsid w:val="6527785B"/>
    <w:rsid w:val="652F51CB"/>
    <w:rsid w:val="65320525"/>
    <w:rsid w:val="65A92D87"/>
    <w:rsid w:val="65C32A4A"/>
    <w:rsid w:val="65D90883"/>
    <w:rsid w:val="65F16D65"/>
    <w:rsid w:val="65FD1764"/>
    <w:rsid w:val="66386A97"/>
    <w:rsid w:val="664D0204"/>
    <w:rsid w:val="66AC1952"/>
    <w:rsid w:val="66BD6B7E"/>
    <w:rsid w:val="66DB4A1E"/>
    <w:rsid w:val="674041F7"/>
    <w:rsid w:val="675C41EF"/>
    <w:rsid w:val="676F7BC1"/>
    <w:rsid w:val="67BD68BE"/>
    <w:rsid w:val="67C577E1"/>
    <w:rsid w:val="67D5211A"/>
    <w:rsid w:val="67F02AB0"/>
    <w:rsid w:val="67F51E74"/>
    <w:rsid w:val="68880ABC"/>
    <w:rsid w:val="689D149E"/>
    <w:rsid w:val="68A65864"/>
    <w:rsid w:val="68F00BF1"/>
    <w:rsid w:val="68FD36D6"/>
    <w:rsid w:val="694A3683"/>
    <w:rsid w:val="696D67B5"/>
    <w:rsid w:val="69FB573C"/>
    <w:rsid w:val="6A554DD0"/>
    <w:rsid w:val="6A7C1326"/>
    <w:rsid w:val="6A987242"/>
    <w:rsid w:val="6AB56D4B"/>
    <w:rsid w:val="6AC63F9C"/>
    <w:rsid w:val="6ACB339E"/>
    <w:rsid w:val="6ADE7537"/>
    <w:rsid w:val="6B071338"/>
    <w:rsid w:val="6B5B46E4"/>
    <w:rsid w:val="6BF47398"/>
    <w:rsid w:val="6C152AE5"/>
    <w:rsid w:val="6C344698"/>
    <w:rsid w:val="6CCF5389"/>
    <w:rsid w:val="6CD21441"/>
    <w:rsid w:val="6CDE737B"/>
    <w:rsid w:val="6DA560EA"/>
    <w:rsid w:val="6DB70AE4"/>
    <w:rsid w:val="6DFF5CD6"/>
    <w:rsid w:val="6E0A05E3"/>
    <w:rsid w:val="6E105EB5"/>
    <w:rsid w:val="6E6F6301"/>
    <w:rsid w:val="6EAD16FA"/>
    <w:rsid w:val="6EBE2160"/>
    <w:rsid w:val="6F036723"/>
    <w:rsid w:val="6F7E6029"/>
    <w:rsid w:val="6F953F20"/>
    <w:rsid w:val="6F9B44D6"/>
    <w:rsid w:val="6FFE7D34"/>
    <w:rsid w:val="701B0D3F"/>
    <w:rsid w:val="701B50A1"/>
    <w:rsid w:val="704E4817"/>
    <w:rsid w:val="70542388"/>
    <w:rsid w:val="70795447"/>
    <w:rsid w:val="709A3F00"/>
    <w:rsid w:val="70F058CE"/>
    <w:rsid w:val="70F92B9C"/>
    <w:rsid w:val="70FC24C5"/>
    <w:rsid w:val="71915F81"/>
    <w:rsid w:val="723363A1"/>
    <w:rsid w:val="72347190"/>
    <w:rsid w:val="7249173A"/>
    <w:rsid w:val="727E1867"/>
    <w:rsid w:val="728E539F"/>
    <w:rsid w:val="73275372"/>
    <w:rsid w:val="7369249E"/>
    <w:rsid w:val="739A7D73"/>
    <w:rsid w:val="73E55E73"/>
    <w:rsid w:val="73FA4018"/>
    <w:rsid w:val="7439758C"/>
    <w:rsid w:val="749347B2"/>
    <w:rsid w:val="74E7171B"/>
    <w:rsid w:val="75083F0D"/>
    <w:rsid w:val="750C4CA1"/>
    <w:rsid w:val="750E0EA6"/>
    <w:rsid w:val="75265D63"/>
    <w:rsid w:val="75271DF6"/>
    <w:rsid w:val="75562A5E"/>
    <w:rsid w:val="75695C4F"/>
    <w:rsid w:val="758B02BC"/>
    <w:rsid w:val="759A1973"/>
    <w:rsid w:val="75B65B06"/>
    <w:rsid w:val="75B81299"/>
    <w:rsid w:val="75EF084A"/>
    <w:rsid w:val="761024BB"/>
    <w:rsid w:val="76377435"/>
    <w:rsid w:val="764365DE"/>
    <w:rsid w:val="764861AD"/>
    <w:rsid w:val="7657019E"/>
    <w:rsid w:val="772C2E30"/>
    <w:rsid w:val="774C4FD9"/>
    <w:rsid w:val="77705631"/>
    <w:rsid w:val="778314D1"/>
    <w:rsid w:val="77C163F0"/>
    <w:rsid w:val="77EC34EF"/>
    <w:rsid w:val="785872E1"/>
    <w:rsid w:val="788B412F"/>
    <w:rsid w:val="78A25ED8"/>
    <w:rsid w:val="78A65D5F"/>
    <w:rsid w:val="78FB7506"/>
    <w:rsid w:val="791B1956"/>
    <w:rsid w:val="79DF2984"/>
    <w:rsid w:val="79F32298"/>
    <w:rsid w:val="7A0E5017"/>
    <w:rsid w:val="7A5C43E5"/>
    <w:rsid w:val="7A770E0E"/>
    <w:rsid w:val="7AB74D07"/>
    <w:rsid w:val="7AD712FB"/>
    <w:rsid w:val="7AE75F94"/>
    <w:rsid w:val="7B230961"/>
    <w:rsid w:val="7BBD2838"/>
    <w:rsid w:val="7BC23720"/>
    <w:rsid w:val="7BE61DA8"/>
    <w:rsid w:val="7BF829AA"/>
    <w:rsid w:val="7C035E38"/>
    <w:rsid w:val="7C367375"/>
    <w:rsid w:val="7C555EFF"/>
    <w:rsid w:val="7C5E5DE2"/>
    <w:rsid w:val="7D9E52AE"/>
    <w:rsid w:val="7E0C7AC0"/>
    <w:rsid w:val="7E426278"/>
    <w:rsid w:val="7E7029CD"/>
    <w:rsid w:val="7F645E05"/>
    <w:rsid w:val="7F78540D"/>
    <w:rsid w:val="7F9701D2"/>
    <w:rsid w:val="7FAC50B6"/>
    <w:rsid w:val="7FFD5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宋体" w:eastAsiaTheme="minorEastAsia"/>
      <w:kern w:val="2"/>
      <w:sz w:val="24"/>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qFormat/>
    <w:uiPriority w:val="0"/>
    <w:pPr>
      <w:ind w:left="840" w:leftChars="40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rPr>
  </w:style>
  <w:style w:type="paragraph" w:styleId="10">
    <w:name w:val="Normal (Web)"/>
    <w:basedOn w:val="1"/>
    <w:qFormat/>
    <w:uiPriority w:val="0"/>
    <w:pPr>
      <w:spacing w:beforeAutospacing="1" w:afterAutospacing="1"/>
      <w:jc w:val="left"/>
    </w:pPr>
    <w:rPr>
      <w:rFonts w:cs="Times New Roman"/>
      <w:kern w:val="0"/>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Emphasis"/>
    <w:basedOn w:val="13"/>
    <w:qFormat/>
    <w:uiPriority w:val="0"/>
    <w:rPr>
      <w:i/>
    </w:rPr>
  </w:style>
  <w:style w:type="character" w:styleId="16">
    <w:name w:val="Hyperlink"/>
    <w:basedOn w:val="13"/>
    <w:qFormat/>
    <w:uiPriority w:val="0"/>
    <w:rPr>
      <w:color w:val="0000FF"/>
      <w:u w:val="single"/>
    </w:rPr>
  </w:style>
  <w:style w:type="character" w:styleId="17">
    <w:name w:val="HTML Code"/>
    <w:basedOn w:val="13"/>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18221</Words>
  <Characters>27269</Characters>
  <Lines>623</Lines>
  <Paragraphs>328</Paragraphs>
  <TotalTime>14</TotalTime>
  <ScaleCrop>false</ScaleCrop>
  <LinksUpToDate>false</LinksUpToDate>
  <CharactersWithSpaces>28583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2025-05-22T07:26:00Z</dcterms:created>
  <dc:creator>．</dc:creator>
  <cp:lastModifiedBy>jinglanzhang</cp:lastModifiedBy>
  <dcterms:modified xsi:type="dcterms:W3CDTF">2026-05-05T04:32:57Z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D897C8F6CACF4A4DB31413D4CFFFB78D_13</vt:lpwstr>
  </property>
  <property fmtid="{D5CDD505-2E9C-101B-9397-08002B2CF9AE}" pid="4" name="KSOTemplateDocerSaveRecord">
    <vt:lpwstr>eyJoZGlkIjoiMTQ0OGI2NjFiNzFjZWIzOGYwNDk2OWNkNTNmMzRlNDYiLCJ1c2VySWQiOiI2MzI0NjUyMTAifQ==</vt:lpwstr>
  </property>
</Properties>
</file>