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C36078">
      <w:pPr>
        <w:spacing w:line="480" w:lineRule="auto"/>
        <w:rPr>
          <w:rFonts w:hint="default" w:ascii="Times New Roman" w:hAnsi="Times New Roman" w:cs="Times New Roman"/>
          <w:b/>
          <w:bCs/>
          <w:sz w:val="36"/>
          <w:szCs w:val="36"/>
        </w:rPr>
      </w:pPr>
      <w:r>
        <w:rPr>
          <w:rFonts w:hint="default" w:ascii="Times New Roman" w:hAnsi="Times New Roman" w:cs="Times New Roman"/>
          <w:b/>
          <w:bCs/>
          <w:sz w:val="36"/>
          <w:szCs w:val="36"/>
        </w:rPr>
        <w:t>Few-Shot Prediction of Post-Fusion Acute Kidney Injury Using Multimodal Radiomics-Clinical Feature-Based Prototype Networks</w:t>
      </w:r>
    </w:p>
    <w:p w14:paraId="01D249B5">
      <w:pPr>
        <w:pStyle w:val="24"/>
        <w:spacing w:line="480" w:lineRule="auto"/>
        <w:rPr>
          <w:rFonts w:hint="default" w:ascii="Times New Roman" w:hAnsi="Times New Roman" w:cs="Times New Roman" w:eastAsiaTheme="minorEastAsia"/>
          <w:color w:val="auto"/>
          <w:vertAlign w:val="baseline"/>
          <w:lang w:val="en-US" w:eastAsia="zh-CN"/>
        </w:rPr>
      </w:pPr>
      <w:r>
        <w:rPr>
          <w:rFonts w:hint="default" w:ascii="Times New Roman" w:hAnsi="Times New Roman" w:cs="Times New Roman"/>
          <w:color w:val="auto"/>
        </w:rPr>
        <w:t>Jing Lan Zhang</w:t>
      </w:r>
      <w:r>
        <w:rPr>
          <w:rFonts w:hint="default" w:ascii="Times New Roman" w:hAnsi="Times New Roman" w:cs="Times New Roman"/>
          <w:color w:val="auto"/>
          <w:vertAlign w:val="superscript"/>
        </w:rPr>
        <w:t>1</w:t>
      </w:r>
      <w:r>
        <w:rPr>
          <w:rFonts w:hint="eastAsia" w:cs="Times New Roman"/>
          <w:color w:val="auto"/>
          <w:vertAlign w:val="superscript"/>
          <w:lang w:val="en-US" w:eastAsia="zh-CN"/>
        </w:rPr>
        <w:t xml:space="preserve"> </w:t>
      </w:r>
      <w:r>
        <w:rPr>
          <w:rFonts w:hint="eastAsia" w:cs="Times New Roman"/>
          <w:color w:val="auto"/>
          <w:vertAlign w:val="baseline"/>
          <w:lang w:val="en-US" w:eastAsia="zh-CN"/>
        </w:rPr>
        <w:t xml:space="preserve">, </w:t>
      </w:r>
      <w:r>
        <w:rPr>
          <w:rFonts w:hint="default" w:ascii="Times New Roman" w:hAnsi="Times New Roman" w:cs="Times New Roman"/>
          <w:color w:val="auto"/>
          <w:lang w:val="en-US" w:eastAsia="zh-CN"/>
        </w:rPr>
        <w:t>Zhen</w:t>
      </w:r>
      <w:r>
        <w:rPr>
          <w:rFonts w:hint="eastAsia" w:cs="Times New Roman"/>
          <w:color w:val="auto"/>
          <w:lang w:val="en-US" w:eastAsia="zh-CN"/>
        </w:rPr>
        <w:t xml:space="preserve"> </w:t>
      </w:r>
      <w:r>
        <w:rPr>
          <w:rFonts w:hint="default" w:ascii="Times New Roman" w:hAnsi="Times New Roman" w:cs="Times New Roman"/>
          <w:color w:val="auto"/>
          <w:lang w:val="en-US" w:eastAsia="zh-CN"/>
        </w:rPr>
        <w:t>Yang</w:t>
      </w:r>
      <w:r>
        <w:rPr>
          <w:rFonts w:hint="eastAsia" w:cs="Times New Roman"/>
          <w:color w:val="auto"/>
          <w:vertAlign w:val="superscript"/>
          <w:lang w:val="en-US" w:eastAsia="zh-CN"/>
        </w:rPr>
        <w:t xml:space="preserve">2* </w:t>
      </w:r>
      <w:r>
        <w:rPr>
          <w:rFonts w:hint="eastAsia" w:cs="Times New Roman"/>
          <w:color w:val="auto"/>
          <w:vertAlign w:val="baseline"/>
          <w:lang w:val="en-US" w:eastAsia="zh-CN"/>
        </w:rPr>
        <w:t xml:space="preserve">, </w:t>
      </w:r>
      <w:r>
        <w:rPr>
          <w:rFonts w:hint="default" w:ascii="Times New Roman" w:hAnsi="Times New Roman" w:cs="Times New Roman"/>
          <w:color w:val="auto"/>
          <w:lang w:val="en-US" w:eastAsia="zh-CN"/>
        </w:rPr>
        <w:t>Jun Li</w:t>
      </w:r>
      <w:r>
        <w:rPr>
          <w:rFonts w:hint="eastAsia" w:cs="Times New Roman"/>
          <w:color w:val="auto"/>
          <w:vertAlign w:val="superscript"/>
          <w:lang w:val="en-US" w:eastAsia="zh-CN"/>
        </w:rPr>
        <w:t>1*</w:t>
      </w:r>
    </w:p>
    <w:p w14:paraId="686DC928">
      <w:pPr>
        <w:spacing w:line="480" w:lineRule="auto"/>
        <w:rPr>
          <w:rFonts w:hint="default" w:ascii="Times New Roman" w:hAnsi="Times New Roman" w:cs="Times New Roman"/>
          <w:color w:val="auto"/>
          <w:lang w:val="en-US" w:eastAsia="zh-CN"/>
        </w:rPr>
      </w:pPr>
      <w:r>
        <w:rPr>
          <w:rFonts w:hint="eastAsia" w:cs="Times New Roman"/>
          <w:color w:val="auto"/>
          <w:vertAlign w:val="superscript"/>
          <w:lang w:val="en-US" w:eastAsia="zh-CN"/>
        </w:rPr>
        <w:t>1</w:t>
      </w:r>
      <w:r>
        <w:rPr>
          <w:rFonts w:hint="eastAsia" w:cs="Times New Roman"/>
          <w:color w:val="auto"/>
          <w:vertAlign w:val="baseline"/>
          <w:lang w:val="en-US" w:eastAsia="zh-CN"/>
        </w:rPr>
        <w:t xml:space="preserve"> </w:t>
      </w:r>
      <w:r>
        <w:rPr>
          <w:rFonts w:hint="default" w:ascii="Times New Roman" w:hAnsi="Times New Roman" w:cs="Times New Roman"/>
          <w:color w:val="auto"/>
          <w:lang w:val="en-US" w:eastAsia="zh-CN"/>
        </w:rPr>
        <w:t>College</w:t>
      </w:r>
      <w:r>
        <w:rPr>
          <w:rFonts w:hint="default" w:ascii="Times New Roman" w:hAnsi="Times New Roman" w:cs="Times New Roman"/>
          <w:color w:val="auto"/>
        </w:rPr>
        <w:t xml:space="preserve"> of Physics and Electronic Engineering, Sichuan Normal University, Chengdu</w:t>
      </w:r>
      <w:r>
        <w:rPr>
          <w:rFonts w:hint="eastAsia" w:cs="Times New Roman"/>
          <w:color w:val="auto"/>
          <w:lang w:val="en-US" w:eastAsia="zh-CN"/>
        </w:rPr>
        <w:t xml:space="preserve"> </w:t>
      </w:r>
      <w:r>
        <w:rPr>
          <w:rFonts w:hint="default" w:ascii="Times New Roman" w:hAnsi="Times New Roman" w:cs="Times New Roman"/>
          <w:color w:val="auto"/>
        </w:rPr>
        <w:t>610101</w:t>
      </w:r>
      <w:r>
        <w:rPr>
          <w:rFonts w:hint="default" w:ascii="Times New Roman" w:hAnsi="Times New Roman" w:cs="Times New Roman"/>
          <w:color w:val="auto"/>
          <w:lang w:val="en-US" w:eastAsia="zh-CN"/>
        </w:rPr>
        <w:t>,</w:t>
      </w:r>
      <w:r>
        <w:rPr>
          <w:rFonts w:hint="eastAsia" w:cs="Times New Roman"/>
          <w:color w:val="auto"/>
          <w:lang w:val="en-US" w:eastAsia="zh-CN"/>
        </w:rPr>
        <w:t xml:space="preserve"> </w:t>
      </w:r>
      <w:r>
        <w:rPr>
          <w:rFonts w:hint="default" w:ascii="Times New Roman" w:hAnsi="Times New Roman" w:cs="Times New Roman"/>
          <w:color w:val="auto"/>
        </w:rPr>
        <w:t>China</w:t>
      </w:r>
      <w:r>
        <w:rPr>
          <w:rFonts w:hint="default" w:ascii="Times New Roman" w:hAnsi="Times New Roman" w:cs="Times New Roman"/>
          <w:color w:val="auto"/>
          <w:lang w:val="en-US" w:eastAsia="zh-CN"/>
        </w:rPr>
        <w:t>.</w:t>
      </w:r>
    </w:p>
    <w:p w14:paraId="258F046E">
      <w:pPr>
        <w:spacing w:line="480" w:lineRule="auto"/>
        <w:rPr>
          <w:rFonts w:hint="default" w:ascii="Times New Roman" w:hAnsi="Times New Roman" w:cs="Times New Roman"/>
          <w:color w:val="auto"/>
          <w:lang w:val="en-US" w:eastAsia="zh-CN"/>
        </w:rPr>
      </w:pPr>
      <w:r>
        <w:rPr>
          <w:rFonts w:hint="eastAsia" w:cs="Times New Roman"/>
          <w:b w:val="0"/>
          <w:bCs w:val="0"/>
          <w:color w:val="auto"/>
          <w:vertAlign w:val="superscript"/>
          <w:lang w:val="en-US" w:eastAsia="zh-CN"/>
        </w:rPr>
        <w:t>2</w:t>
      </w:r>
      <w:r>
        <w:rPr>
          <w:rFonts w:hint="eastAsia" w:cs="Times New Roman"/>
          <w:b w:val="0"/>
          <w:bCs w:val="0"/>
          <w:color w:val="auto"/>
          <w:vertAlign w:val="baseline"/>
          <w:lang w:val="en-US" w:eastAsia="zh-CN"/>
        </w:rPr>
        <w:t xml:space="preserve"> </w:t>
      </w:r>
      <w:r>
        <w:rPr>
          <w:rFonts w:hint="default" w:ascii="Times New Roman" w:hAnsi="Times New Roman" w:cs="Times New Roman"/>
          <w:color w:val="auto"/>
          <w:lang w:val="en-US" w:eastAsia="zh-CN"/>
        </w:rPr>
        <w:t>Department of Urology, Chengdu Second People’s Hospital, Chengdu 610011, China</w:t>
      </w:r>
    </w:p>
    <w:p w14:paraId="2217C395">
      <w:pPr>
        <w:spacing w:before="240" w:line="480" w:lineRule="auto"/>
        <w:rPr>
          <w:rFonts w:hint="default" w:ascii="Times New Roman" w:hAnsi="Times New Roman" w:cs="Times New Roman"/>
          <w:color w:val="auto"/>
          <w:u w:val="none"/>
          <w:lang w:val="en-US" w:eastAsia="zh-CN"/>
        </w:rPr>
      </w:pPr>
      <w:r>
        <w:rPr>
          <w:rFonts w:hint="default" w:ascii="Times New Roman" w:hAnsi="Times New Roman" w:cs="Times New Roman"/>
          <w:b/>
          <w:color w:val="auto"/>
        </w:rPr>
        <w:t xml:space="preserve">* Correspondence: </w:t>
      </w:r>
      <w:r>
        <w:rPr>
          <w:rFonts w:hint="default" w:ascii="Times New Roman" w:hAnsi="Times New Roman" w:cs="Times New Roman"/>
          <w:b/>
          <w:color w:val="auto"/>
        </w:rPr>
        <w:br w:type="textWrapping"/>
      </w:r>
      <w:r>
        <w:rPr>
          <w:rFonts w:hint="default" w:ascii="Times New Roman" w:hAnsi="Times New Roman" w:cs="Times New Roman"/>
          <w:color w:val="auto"/>
        </w:rPr>
        <w:t>Corresponding Author</w:t>
      </w:r>
      <w:r>
        <w:rPr>
          <w:rFonts w:hint="eastAsia" w:cs="Times New Roman"/>
          <w:color w:val="auto"/>
          <w:lang w:val="en-US" w:eastAsia="zh-CN"/>
        </w:rPr>
        <w:t>s</w:t>
      </w:r>
      <w:r>
        <w:rPr>
          <w:rFonts w:hint="default" w:ascii="Times New Roman" w:hAnsi="Times New Roman" w:cs="Times New Roman"/>
          <w:color w:val="auto"/>
        </w:rPr>
        <w:t>:</w:t>
      </w:r>
      <w:r>
        <w:rPr>
          <w:rFonts w:hint="default" w:ascii="Times New Roman" w:hAnsi="Times New Roman" w:cs="Times New Roman"/>
          <w:color w:val="auto"/>
          <w:lang w:val="en-US" w:eastAsia="zh-CN"/>
        </w:rPr>
        <w:t>Zhen</w:t>
      </w:r>
      <w:r>
        <w:rPr>
          <w:rFonts w:hint="eastAsia" w:cs="Times New Roman"/>
          <w:color w:val="auto"/>
          <w:lang w:val="en-US" w:eastAsia="zh-CN"/>
        </w:rPr>
        <w:t xml:space="preserve"> </w:t>
      </w:r>
      <w:r>
        <w:rPr>
          <w:rFonts w:hint="default" w:ascii="Times New Roman" w:hAnsi="Times New Roman" w:cs="Times New Roman"/>
          <w:color w:val="auto"/>
          <w:lang w:val="en-US" w:eastAsia="zh-CN"/>
        </w:rPr>
        <w:t xml:space="preserve">Yang , Jun Li </w:t>
      </w:r>
    </w:p>
    <w:p w14:paraId="32B6A417">
      <w:pPr>
        <w:spacing w:line="480" w:lineRule="auto"/>
        <w:rPr>
          <w:rFonts w:hint="default" w:ascii="Times New Roman" w:hAnsi="Times New Roman" w:cs="Times New Roman"/>
          <w:b w:val="0"/>
          <w:bCs w:val="0"/>
          <w:color w:val="auto"/>
          <w:sz w:val="24"/>
          <w:szCs w:val="24"/>
          <w:u w:val="none"/>
          <w:lang w:val="en-US" w:eastAsia="zh-CN"/>
        </w:rPr>
      </w:pPr>
      <w:r>
        <w:rPr>
          <w:rFonts w:hint="default" w:ascii="Times New Roman" w:hAnsi="Times New Roman" w:cs="Times New Roman"/>
          <w:color w:val="auto"/>
          <w:u w:val="none"/>
          <w:lang w:val="en-US" w:eastAsia="zh-CN"/>
        </w:rPr>
        <w:fldChar w:fldCharType="begin"/>
      </w:r>
      <w:r>
        <w:rPr>
          <w:rFonts w:hint="default" w:ascii="Times New Roman" w:hAnsi="Times New Roman" w:cs="Times New Roman"/>
          <w:color w:val="auto"/>
          <w:u w:val="none"/>
          <w:lang w:val="en-US" w:eastAsia="zh-CN"/>
        </w:rPr>
        <w:instrText xml:space="preserve"> HYPERLINK "mailto:yangzhen1219@outlook.com" </w:instrText>
      </w:r>
      <w:r>
        <w:rPr>
          <w:rFonts w:hint="default" w:ascii="Times New Roman" w:hAnsi="Times New Roman" w:cs="Times New Roman"/>
          <w:color w:val="auto"/>
          <w:u w:val="none"/>
          <w:lang w:val="en-US" w:eastAsia="zh-CN"/>
        </w:rPr>
        <w:fldChar w:fldCharType="separate"/>
      </w:r>
      <w:r>
        <w:rPr>
          <w:rFonts w:hint="default" w:ascii="Times New Roman" w:hAnsi="Times New Roman" w:cs="Times New Roman"/>
          <w:color w:val="auto"/>
          <w:u w:val="none"/>
          <w:lang w:val="en-US" w:eastAsia="zh-CN"/>
        </w:rPr>
        <w:t>yangzhen1219@outlook.com</w:t>
      </w:r>
      <w:r>
        <w:rPr>
          <w:rFonts w:hint="default" w:ascii="Times New Roman" w:hAnsi="Times New Roman" w:cs="Times New Roman"/>
          <w:color w:val="auto"/>
          <w:u w:val="none"/>
          <w:lang w:val="en-US" w:eastAsia="zh-CN"/>
        </w:rPr>
        <w:fldChar w:fldCharType="end"/>
      </w:r>
    </w:p>
    <w:p w14:paraId="148A7A11">
      <w:pPr>
        <w:spacing w:line="480" w:lineRule="auto"/>
        <w:rPr>
          <w:rFonts w:hint="default" w:ascii="Times New Roman" w:hAnsi="Times New Roman" w:cs="Times New Roman"/>
          <w:b w:val="0"/>
          <w:bCs w:val="0"/>
          <w:color w:val="auto"/>
          <w:sz w:val="24"/>
          <w:szCs w:val="24"/>
          <w:u w:val="none"/>
          <w:lang w:val="en-US" w:eastAsia="zh-CN"/>
        </w:rPr>
      </w:pPr>
      <w:r>
        <w:rPr>
          <w:rFonts w:hint="default" w:ascii="Times New Roman" w:hAnsi="Times New Roman" w:cs="Times New Roman"/>
          <w:b w:val="0"/>
          <w:bCs w:val="0"/>
          <w:color w:val="auto"/>
          <w:sz w:val="24"/>
          <w:szCs w:val="24"/>
          <w:u w:val="none"/>
          <w:lang w:val="en-US" w:eastAsia="zh-CN"/>
        </w:rPr>
        <w:fldChar w:fldCharType="begin"/>
      </w:r>
      <w:r>
        <w:rPr>
          <w:rFonts w:hint="default" w:ascii="Times New Roman" w:hAnsi="Times New Roman" w:cs="Times New Roman"/>
          <w:b w:val="0"/>
          <w:bCs w:val="0"/>
          <w:color w:val="auto"/>
          <w:sz w:val="24"/>
          <w:szCs w:val="24"/>
          <w:u w:val="none"/>
          <w:lang w:val="en-US" w:eastAsia="zh-CN"/>
        </w:rPr>
        <w:instrText xml:space="preserve"> HYPERLINK "mailto:lijun@sicnu.edu.cn" </w:instrText>
      </w:r>
      <w:r>
        <w:rPr>
          <w:rFonts w:hint="default" w:ascii="Times New Roman" w:hAnsi="Times New Roman" w:cs="Times New Roman"/>
          <w:b w:val="0"/>
          <w:bCs w:val="0"/>
          <w:color w:val="auto"/>
          <w:sz w:val="24"/>
          <w:szCs w:val="24"/>
          <w:u w:val="none"/>
          <w:lang w:val="en-US" w:eastAsia="zh-CN"/>
        </w:rPr>
        <w:fldChar w:fldCharType="separate"/>
      </w:r>
      <w:r>
        <w:rPr>
          <w:rFonts w:hint="default" w:ascii="Times New Roman" w:hAnsi="Times New Roman" w:cs="Times New Roman"/>
          <w:b w:val="0"/>
          <w:bCs w:val="0"/>
          <w:color w:val="auto"/>
          <w:sz w:val="24"/>
          <w:szCs w:val="24"/>
          <w:u w:val="none"/>
          <w:lang w:val="en-US" w:eastAsia="zh-CN"/>
        </w:rPr>
        <w:t>lijun2022@sicnu.edu.cn</w:t>
      </w:r>
      <w:r>
        <w:rPr>
          <w:rFonts w:hint="default" w:ascii="Times New Roman" w:hAnsi="Times New Roman" w:cs="Times New Roman"/>
          <w:b w:val="0"/>
          <w:bCs w:val="0"/>
          <w:color w:val="auto"/>
          <w:sz w:val="24"/>
          <w:szCs w:val="24"/>
          <w:u w:val="none"/>
          <w:lang w:val="en-US" w:eastAsia="zh-CN"/>
        </w:rPr>
        <w:fldChar w:fldCharType="end"/>
      </w:r>
      <w:r>
        <w:rPr>
          <w:rFonts w:hint="default" w:ascii="Times New Roman" w:hAnsi="Times New Roman" w:cs="Times New Roman"/>
          <w:b w:val="0"/>
          <w:bCs w:val="0"/>
          <w:color w:val="auto"/>
          <w:sz w:val="24"/>
          <w:szCs w:val="24"/>
          <w:u w:val="none"/>
          <w:lang w:val="en-US" w:eastAsia="zh-CN"/>
        </w:rPr>
        <w:t xml:space="preserve"> </w:t>
      </w:r>
    </w:p>
    <w:p w14:paraId="1E1B960E">
      <w:pPr>
        <w:spacing w:line="480" w:lineRule="auto"/>
        <w:rPr>
          <w:rFonts w:hint="default" w:ascii="Times New Roman" w:hAnsi="Times New Roman" w:cs="Times New Roman"/>
          <w:b w:val="0"/>
          <w:bCs w:val="0"/>
          <w:sz w:val="24"/>
          <w:szCs w:val="24"/>
          <w:lang w:val="en-US" w:eastAsia="zh-CN"/>
        </w:rPr>
      </w:pPr>
    </w:p>
    <w:p w14:paraId="3AB58C1B">
      <w:pPr>
        <w:spacing w:line="480" w:lineRule="auto"/>
        <w:rPr>
          <w:rFonts w:hint="default" w:ascii="Times New Roman" w:hAnsi="Times New Roman" w:cs="Times New Roman"/>
          <w:b w:val="0"/>
          <w:bCs w:val="0"/>
          <w:sz w:val="24"/>
          <w:szCs w:val="24"/>
          <w:lang w:val="en-US" w:eastAsia="zh-CN"/>
        </w:rPr>
      </w:pPr>
    </w:p>
    <w:p w14:paraId="2A9DFD08">
      <w:pPr>
        <w:spacing w:line="480" w:lineRule="auto"/>
        <w:rPr>
          <w:rFonts w:hint="default" w:ascii="Times New Roman" w:hAnsi="Times New Roman" w:cs="Times New Roman"/>
          <w:b w:val="0"/>
          <w:bCs w:val="0"/>
          <w:sz w:val="24"/>
          <w:szCs w:val="24"/>
          <w:lang w:val="en-US" w:eastAsia="zh-CN"/>
        </w:rPr>
      </w:pPr>
    </w:p>
    <w:p w14:paraId="63338CE4">
      <w:pPr>
        <w:spacing w:line="480" w:lineRule="auto"/>
        <w:rPr>
          <w:rFonts w:hint="default" w:ascii="Times New Roman" w:hAnsi="Times New Roman" w:cs="Times New Roman"/>
          <w:b w:val="0"/>
          <w:bCs w:val="0"/>
          <w:sz w:val="24"/>
          <w:szCs w:val="24"/>
          <w:lang w:val="en-US" w:eastAsia="zh-CN"/>
        </w:rPr>
      </w:pPr>
    </w:p>
    <w:p w14:paraId="2D1740E2">
      <w:pPr>
        <w:spacing w:line="480" w:lineRule="auto"/>
        <w:rPr>
          <w:rFonts w:hint="default" w:ascii="Times New Roman" w:hAnsi="Times New Roman" w:cs="Times New Roman"/>
          <w:b w:val="0"/>
          <w:bCs w:val="0"/>
          <w:sz w:val="24"/>
          <w:szCs w:val="24"/>
          <w:lang w:val="en-US" w:eastAsia="zh-CN"/>
        </w:rPr>
      </w:pPr>
    </w:p>
    <w:p w14:paraId="6F618049">
      <w:pPr>
        <w:spacing w:line="480" w:lineRule="auto"/>
        <w:rPr>
          <w:rFonts w:hint="default" w:ascii="Times New Roman" w:hAnsi="Times New Roman" w:cs="Times New Roman"/>
          <w:b w:val="0"/>
          <w:bCs w:val="0"/>
          <w:sz w:val="24"/>
          <w:szCs w:val="24"/>
          <w:lang w:val="en-US" w:eastAsia="zh-CN"/>
        </w:rPr>
      </w:pPr>
    </w:p>
    <w:p w14:paraId="4A431E45">
      <w:pPr>
        <w:spacing w:line="480" w:lineRule="auto"/>
        <w:rPr>
          <w:rFonts w:hint="default" w:ascii="Times New Roman" w:hAnsi="Times New Roman" w:cs="Times New Roman"/>
          <w:b w:val="0"/>
          <w:bCs w:val="0"/>
          <w:sz w:val="24"/>
          <w:szCs w:val="24"/>
          <w:lang w:val="en-US" w:eastAsia="zh-CN"/>
        </w:rPr>
      </w:pPr>
    </w:p>
    <w:p w14:paraId="3478DDE9">
      <w:pPr>
        <w:spacing w:line="480" w:lineRule="auto"/>
        <w:rPr>
          <w:rFonts w:hint="default" w:ascii="Times New Roman" w:hAnsi="Times New Roman" w:cs="Times New Roman"/>
          <w:b w:val="0"/>
          <w:bCs w:val="0"/>
          <w:sz w:val="24"/>
          <w:szCs w:val="24"/>
          <w:lang w:val="en-US" w:eastAsia="zh-CN"/>
        </w:rPr>
      </w:pPr>
    </w:p>
    <w:p w14:paraId="79CBDC60">
      <w:p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Abstracts</w:t>
      </w:r>
    </w:p>
    <w:p w14:paraId="533742C8">
      <w:pPr>
        <w:spacing w:line="480" w:lineRule="auto"/>
        <w:rPr>
          <w:rFonts w:hint="default" w:ascii="Times New Roman" w:hAnsi="Times New Roman" w:eastAsia="宋体" w:cs="Times New Roman"/>
        </w:rPr>
      </w:pPr>
      <w:r>
        <w:rPr>
          <w:rFonts w:hint="default" w:ascii="Times New Roman" w:hAnsi="Times New Roman" w:eastAsia="宋体" w:cs="Times New Roman"/>
        </w:rPr>
        <w:t>To optimize preoperative decision-making, the prediction of acute kidney injury (AKI)—a major postoperative complication—requires early identification. This study developed a multimodal few-shot prototype network based on real-world clinical data from 194 single-center cases. The model incorporated 11 preoperative parameters encoded by a multilayer perceptron (MLP) to weight and integrate imaging features extracted by ResNet-50, with a fixed loss function implemented to address class imbalance. Results demonstrated that the fused model achieved an area under the curve (AUC) of 0.816, significantly outperforming the clinical-only (AUC = 0.578) and imaging-only (AUC = 0.510) models. Interpretability analysis using SHapley Additive exPlanations (SHAP) revealed the influence of key variables (age, lactate, creatinine). Our study demonstrates that multimodal fusion significantly improves generalization performance in data-limited scenarios, establishing the first application of few-shot learning with prototype networks for postoperative AKI prediction. We recommend incorporating 11 standardized preoperative indicators and imaging data into clinical risk assessment to enhance predictive accuracy and utility. Future directions should focus on expanding cohort sizes and refining radiomic feature extraction.</w:t>
      </w:r>
    </w:p>
    <w:p w14:paraId="30B38368">
      <w:pPr>
        <w:spacing w:line="480" w:lineRule="auto"/>
        <w:rPr>
          <w:rFonts w:hint="default" w:ascii="Times New Roman" w:hAnsi="Times New Roman" w:eastAsia="宋体" w:cs="Times New Roman"/>
        </w:rPr>
      </w:pPr>
      <w:r>
        <w:rPr>
          <w:rFonts w:hint="default" w:ascii="Times New Roman" w:hAnsi="Times New Roman" w:cs="Times New Roman"/>
          <w:b/>
          <w:bCs/>
          <w:sz w:val="28"/>
          <w:szCs w:val="28"/>
        </w:rPr>
        <w:t>Keywords:</w:t>
      </w:r>
      <w:r>
        <w:rPr>
          <w:rFonts w:hint="default" w:ascii="Times New Roman" w:hAnsi="Times New Roman" w:cs="Times New Roman"/>
          <w:b/>
          <w:bCs/>
        </w:rPr>
        <w:t xml:space="preserve"> </w:t>
      </w:r>
      <w:r>
        <w:rPr>
          <w:rFonts w:hint="default" w:ascii="Times New Roman" w:hAnsi="Times New Roman" w:eastAsia="宋体" w:cs="Times New Roman"/>
        </w:rPr>
        <w:t>Acute kidney injury (AKI)，Few-shot learning，Prototypical networks，Multimodal fusion，SHAP value analysis</w:t>
      </w:r>
    </w:p>
    <w:p w14:paraId="755DAF59">
      <w:pPr>
        <w:spacing w:line="480" w:lineRule="auto"/>
        <w:rPr>
          <w:rFonts w:hint="default" w:ascii="Times New Roman" w:hAnsi="Times New Roman" w:eastAsia="宋体" w:cs="Times New Roman"/>
        </w:rPr>
      </w:pPr>
    </w:p>
    <w:p w14:paraId="4AB1A517">
      <w:pPr>
        <w:pStyle w:val="9"/>
        <w:tabs>
          <w:tab w:val="right" w:leader="dot" w:pos="8306"/>
        </w:tabs>
        <w:spacing w:line="480" w:lineRule="auto"/>
        <w:rPr>
          <w:rFonts w:hint="default" w:ascii="Times New Roman" w:hAnsi="Times New Roman" w:eastAsia="宋体" w:cs="Times New Roman"/>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lnNumType w:countBy="1" w:restart="continuous"/>
          <w:pgNumType w:fmt="decimal"/>
          <w:cols w:space="425" w:num="1"/>
          <w:docGrid w:type="lines" w:linePitch="326" w:charSpace="0"/>
        </w:sectPr>
      </w:pPr>
    </w:p>
    <w:p w14:paraId="6D3A8C95">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Introduction</w:t>
      </w:r>
    </w:p>
    <w:p w14:paraId="37E93B8E">
      <w:pPr>
        <w:spacing w:line="480" w:lineRule="auto"/>
        <w:ind w:firstLine="420"/>
        <w:rPr>
          <w:rFonts w:hint="default" w:ascii="Times New Roman" w:hAnsi="Times New Roman" w:cs="Times New Roman"/>
          <w:b/>
          <w:bCs/>
          <w:color w:val="4874CB" w:themeColor="accent1"/>
          <w14:textFill>
            <w14:solidFill>
              <w14:schemeClr w14:val="accent1"/>
            </w14:solidFill>
          </w14:textFill>
        </w:rPr>
      </w:pPr>
      <w:r>
        <w:rPr>
          <w:rFonts w:hint="default" w:ascii="Times New Roman" w:hAnsi="Times New Roman" w:cs="Times New Roman"/>
        </w:rPr>
        <w:t>Acute kidney injury (AKI) is a clinically critical condition characterized by an acute decline in renal function with concomitant disturbances in fluid, electrolyte, and acid-base homeostasis.</w:t>
      </w:r>
      <w:r>
        <w:rPr>
          <w:rFonts w:hint="default" w:ascii="Times New Roman" w:hAnsi="Times New Roman" w:cs="Times New Roman"/>
          <w:lang w:val="en-US" w:eastAsia="zh-CN"/>
        </w:rPr>
        <w:t xml:space="preserve"> </w:t>
      </w:r>
      <w:r>
        <w:rPr>
          <w:rFonts w:hint="default" w:ascii="Times New Roman" w:hAnsi="Times New Roman" w:cs="Times New Roman"/>
          <w:b/>
          <w:bCs/>
        </w:rPr>
        <w:t>The Kidney Disease: Improving Global Outcomes (KDIGO) criteria define AKI as:1.</w:t>
      </w:r>
      <w:r>
        <w:rPr>
          <w:rFonts w:hint="default" w:ascii="Times New Roman" w:hAnsi="Times New Roman" w:cs="Times New Roman"/>
          <w:b/>
          <w:bCs/>
          <w:lang w:val="en-US" w:eastAsia="zh-CN"/>
        </w:rPr>
        <w:t xml:space="preserve"> </w:t>
      </w:r>
      <w:r>
        <w:rPr>
          <w:rFonts w:hint="default" w:ascii="Times New Roman" w:hAnsi="Times New Roman" w:cs="Times New Roman"/>
          <w:b/>
          <w:bCs/>
        </w:rPr>
        <w:t>Serum creatinine (SCr) rises by ≥26.5 μmol/L within 48 hours; or 2.</w:t>
      </w:r>
      <w:r>
        <w:rPr>
          <w:rFonts w:hint="default" w:ascii="Times New Roman" w:hAnsi="Times New Roman" w:cs="Times New Roman"/>
          <w:b/>
          <w:bCs/>
          <w:lang w:val="en-US" w:eastAsia="zh-CN"/>
        </w:rPr>
        <w:t xml:space="preserve"> </w:t>
      </w:r>
      <w:r>
        <w:rPr>
          <w:rFonts w:hint="default" w:ascii="Times New Roman" w:hAnsi="Times New Roman" w:cs="Times New Roman"/>
          <w:b/>
          <w:bCs/>
        </w:rPr>
        <w:t>SCr increases to &gt;1.5 times baseline within 7 days; or 3.</w:t>
      </w:r>
      <w:r>
        <w:rPr>
          <w:rFonts w:hint="default" w:ascii="Times New Roman" w:hAnsi="Times New Roman" w:cs="Times New Roman"/>
          <w:b/>
          <w:bCs/>
          <w:lang w:val="en-US" w:eastAsia="zh-CN"/>
        </w:rPr>
        <w:t xml:space="preserve"> </w:t>
      </w:r>
      <w:r>
        <w:rPr>
          <w:rFonts w:hint="default" w:ascii="Times New Roman" w:hAnsi="Times New Roman" w:cs="Times New Roman"/>
          <w:b/>
          <w:bCs/>
        </w:rPr>
        <w:t>Urine output remains &lt;0.5 mL/(kg·h) for 6 hours</w:t>
      </w:r>
      <w:r>
        <w:rPr>
          <w:rFonts w:hint="default" w:ascii="Times New Roman" w:hAnsi="Times New Roman" w:cs="Times New Roman"/>
          <w:b/>
          <w:bCs/>
        </w:rPr>
        <w:fldChar w:fldCharType="begin"/>
      </w:r>
      <w:r>
        <w:rPr>
          <w:rFonts w:hint="default" w:ascii="Times New Roman" w:hAnsi="Times New Roman" w:cs="Times New Roman"/>
          <w:b/>
          <w:bCs/>
        </w:rPr>
        <w:instrText xml:space="preserve"> REF _Ref6532 \r \h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w:t>
      </w:r>
    </w:p>
    <w:p w14:paraId="4A944A60">
      <w:pPr>
        <w:spacing w:line="480" w:lineRule="auto"/>
        <w:ind w:firstLine="420"/>
        <w:rPr>
          <w:rFonts w:hint="default" w:ascii="Times New Roman" w:hAnsi="Times New Roman" w:cs="Times New Roman"/>
        </w:rPr>
      </w:pPr>
      <w:r>
        <w:rPr>
          <w:rFonts w:hint="default" w:ascii="Times New Roman" w:hAnsi="Times New Roman" w:cs="Times New Roman"/>
        </w:rPr>
        <w:t>Postoperative acute kidney injury (AKI) is prevalent among hospitalized patients, particularly following major surgeries. Its occurrence correlates strongly with increased mortality, prolonged hospitalization, elevated risks of chronic kidney disease progression, and higher healthcare costs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_Ref16891 \r \h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lang w:val="en-US" w:eastAsia="zh-CN"/>
        </w:rPr>
        <w:t>,</w:t>
      </w:r>
      <w:r>
        <w:rPr>
          <w:rFonts w:hint="default" w:ascii="Times New Roman" w:hAnsi="Times New Roman" w:cs="Times New Roman"/>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REF _Ref16897 \r \h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t>. In high-risk surgical populations, the incidence of acute kidney injury (AKI) is reported to exceed 20%, and it is notably higher in intensive care unit (ICU) patients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_Ref16897 \r \h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t>. The clinical utility of current diagnostic markers is limited by their substantial time lag, which often fails to detect reversible injury during the early stages of AKI, as highlighted by previous studies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_Ref16891 \r \h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 REF _Ref19954 \r \h  \* MERGEFORMAT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t>. Therefore, early identification and risk stratification are critical for implementing effective renal protection strategies.</w:t>
      </w:r>
    </w:p>
    <w:p w14:paraId="20200654">
      <w:pPr>
        <w:pStyle w:val="13"/>
        <w:widowControl/>
        <w:spacing w:beforeAutospacing="0" w:afterAutospacing="0" w:line="480" w:lineRule="auto"/>
        <w:ind w:firstLine="420"/>
        <w:jc w:val="both"/>
        <w:rPr>
          <w:rFonts w:hint="default" w:ascii="Times New Roman" w:hAnsi="Times New Roman" w:cs="Times New Roman"/>
        </w:rPr>
      </w:pPr>
      <w:r>
        <w:rPr>
          <w:rFonts w:hint="default" w:ascii="Times New Roman" w:hAnsi="Times New Roman" w:cs="Times New Roman"/>
        </w:rPr>
        <w:t>As artificial intelligence has advanced, an increasing number of studies have attempted to use deep learning or machine learning techniques for preoperative AKI prediction tasks. Most of these models build risk classifiers using algorithms such as logistic regression, random forests, or multilayer perceptrons, with structured electronic health record (EHR) data as input. However, the accuracy and generalization ability of these models are often limited by traditional approaches, which tend to rely heavily on tabular features while neglecting unstructured data, such as changes in patient images and physiological variations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_Ref5057 \r \h  \* MERGEFORMAT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t xml:space="preserve">. This leads to prediction bias and performance imbalances, as traditional models are more likely to predict the majority class during training. Postoperative AKI, a low-incidence but high-risk event, is particularly affected by this issue due to the significant imbalance between positive and negative samples, especially in real-world hospitalized populations. In China, acute kidney injury (AKI) has a high incidence among hospitalized patients, with an estimated prevalence of 20% </w:t>
      </w:r>
      <w:r>
        <w:rPr>
          <w:rFonts w:hint="default" w:ascii="Times New Roman" w:hAnsi="Times New Roman" w:cs="Times New Roman"/>
        </w:rPr>
        <w:fldChar w:fldCharType="begin"/>
      </w:r>
      <w:r>
        <w:rPr>
          <w:rFonts w:hint="default" w:ascii="Times New Roman" w:hAnsi="Times New Roman" w:cs="Times New Roman"/>
        </w:rPr>
        <w:instrText xml:space="preserve"> REF _Ref22488 \r \h  \* MERGEFORMAT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t>.</w:t>
      </w:r>
    </w:p>
    <w:p w14:paraId="5C0E351A">
      <w:pPr>
        <w:pStyle w:val="13"/>
        <w:widowControl/>
        <w:spacing w:beforeAutospacing="0" w:afterAutospacing="0" w:line="480" w:lineRule="auto"/>
        <w:ind w:firstLine="420"/>
        <w:jc w:val="both"/>
        <w:rPr>
          <w:rFonts w:hint="default" w:ascii="Times New Roman" w:hAnsi="Times New Roman" w:cs="Times New Roman"/>
        </w:rPr>
      </w:pPr>
      <w:r>
        <w:rPr>
          <w:rFonts w:hint="default" w:ascii="Times New Roman" w:hAnsi="Times New Roman" w:cs="Times New Roman"/>
        </w:rPr>
        <w:t>Furthermore, most current models lack clinical interpretability. In real-world medical practice, clinicians often require clear explanations of a model’s rationale before trusting algorithm-assisted judgments. Conventional “black-box” AI models typically provide insufficient decision transparency, which limits their adoption and deployment in clinical settings</w:t>
      </w:r>
      <w:r>
        <w:rPr>
          <w:rFonts w:hint="default" w:ascii="Times New Roman" w:hAnsi="Times New Roman" w:cs="Times New Roman"/>
        </w:rPr>
        <w:fldChar w:fldCharType="begin"/>
      </w:r>
      <w:r>
        <w:rPr>
          <w:rFonts w:hint="default" w:ascii="Times New Roman" w:hAnsi="Times New Roman" w:cs="Times New Roman"/>
        </w:rPr>
        <w:instrText xml:space="preserve"> REF _Ref23559 \r \h  \* MERGEFORMAT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t>.</w:t>
      </w:r>
    </w:p>
    <w:p w14:paraId="233A7F96">
      <w:pPr>
        <w:pStyle w:val="13"/>
        <w:widowControl/>
        <w:spacing w:beforeAutospacing="0" w:afterAutospacing="0" w:line="480" w:lineRule="auto"/>
        <w:ind w:firstLine="420"/>
        <w:jc w:val="both"/>
        <w:rPr>
          <w:rFonts w:hint="default" w:ascii="Times New Roman" w:hAnsi="Times New Roman" w:cs="Times New Roman"/>
        </w:rPr>
      </w:pPr>
      <w:r>
        <w:rPr>
          <w:rFonts w:hint="default" w:ascii="Times New Roman" w:hAnsi="Times New Roman" w:cs="Times New Roman"/>
        </w:rPr>
        <w:t>Additionally, unbalanced data remains a major challenge in postoperative AKI risk prediction, as the number of AKI cases often exceeds that of non-AKI patients. This imbalance leads to overfitting and misclassification in traditional machine learning algorithms, which favor the majority class. In clinical settings, such imbalance can significantly undermine model stability and dependability. Furthermore, AKI is a multifactorial condition that involves complex interactions between factors such as anesthetic procedures, intraoperative blood loss, postoperative infections, and electrolyte imbalances. Therefore, a more comprehensive approach integrating postoperative medical imaging with tabular clinical data is essential for accurate risk identification and etiological modeling.</w:t>
      </w:r>
    </w:p>
    <w:p w14:paraId="4D2E6B48">
      <w:pPr>
        <w:pStyle w:val="13"/>
        <w:widowControl/>
        <w:spacing w:beforeAutospacing="0" w:afterAutospacing="0" w:line="48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Few-shot learning (FSL)</w:t>
      </w:r>
      <w:r>
        <w:rPr>
          <w:rFonts w:hint="default" w:ascii="Times New Roman" w:hAnsi="Times New Roman" w:cs="Times New Roman"/>
          <w:color w:val="000000" w:themeColor="text1"/>
          <w14:textFill>
            <w14:solidFill>
              <w14:schemeClr w14:val="tx1"/>
            </w14:solidFill>
          </w14:textFill>
        </w:rPr>
        <w:t xml:space="preserve"> has increasingly drawn attention in this context. By enabling classifiers to generalize well from only a handful of labeled examples, FSL addresses both the high cost of annotation and the scarcity of medical data. In particular, metric-learning frameworks such as Prototypical Networks (PNs) infer the class distribution of novel samples from a small support set, making them especially well suited to low-incidence, high-risk clinical prediction tasks like postoperative AKI.</w:t>
      </w:r>
    </w:p>
    <w:p w14:paraId="776A4976">
      <w:pPr>
        <w:pStyle w:val="13"/>
        <w:widowControl/>
        <w:spacing w:beforeAutospacing="0" w:afterAutospacing="0" w:line="48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this study, a multimodal small-sample prototype network framework combining preoperative medical imaging and structured form data was built for the problem of postoperative AKI prediction using actual clinical data from</w:t>
      </w:r>
      <w:r>
        <w:rPr>
          <w:rFonts w:hint="default" w:ascii="Times New Roman" w:hAnsi="Times New Roman" w:cs="Times New Roman"/>
          <w:b/>
          <w:bCs/>
        </w:rPr>
        <w:t xml:space="preserve"> a single center (the Second People's Hospital of Sichuan Province).</w:t>
      </w:r>
      <w:r>
        <w:rPr>
          <w:rFonts w:hint="default" w:ascii="Times New Roman" w:hAnsi="Times New Roman" w:cs="Times New Roman"/>
          <w:color w:val="000000" w:themeColor="text1"/>
          <w14:textFill>
            <w14:solidFill>
              <w14:schemeClr w14:val="tx1"/>
            </w14:solidFill>
          </w14:textFill>
        </w:rPr>
        <w:t xml:space="preserve"> A separate multilayer perceptron (MLP) with weighted fusion encodes the structured form data, while a pre-trained Residual Network (ResNet-50) model extracts features from the image data. We describe the You Only Look Once (YOLO) labeled region cropping mechanism to enhance the efficacy of picture representation by improving the efficacy of image features. </w:t>
      </w:r>
      <w:r>
        <w:rPr>
          <w:rFonts w:hint="default" w:ascii="Times New Roman" w:hAnsi="Times New Roman" w:cs="Times New Roman"/>
          <w:color w:val="000000" w:themeColor="text1"/>
          <w:lang w:val="en-US" w:eastAsia="zh-CN"/>
          <w14:textFill>
            <w14:solidFill>
              <w14:schemeClr w14:val="tx1"/>
            </w14:solidFill>
          </w14:textFill>
        </w:rPr>
        <w:t>A</w:t>
      </w:r>
      <w:r>
        <w:rPr>
          <w:rFonts w:hint="default" w:ascii="Times New Roman" w:hAnsi="Times New Roman" w:cs="Times New Roman"/>
          <w:color w:val="000000" w:themeColor="text1"/>
          <w14:textFill>
            <w14:solidFill>
              <w14:schemeClr w14:val="tx1"/>
            </w14:solidFill>
          </w14:textFill>
        </w:rPr>
        <w:t>ssociated loss function was created to enhance the model's recognition capabilities on a limited number of sample classes in order to address the issue of data imbalance. In addition to increasing the model's accuracy in identifying postoperative AKI risk, this study offers a workable route and theoretical foundation for future high-dimensional medical multimodal modeling and illness prediction on a small number of samples.</w:t>
      </w:r>
    </w:p>
    <w:p w14:paraId="387BD84B">
      <w:pPr>
        <w:spacing w:line="480" w:lineRule="auto"/>
        <w:ind w:firstLine="480" w:firstLineChars="200"/>
        <w:rPr>
          <w:rFonts w:hint="default" w:ascii="Times New Roman" w:hAnsi="Times New Roman" w:cs="Times New Roman"/>
        </w:rPr>
      </w:pPr>
      <w:r>
        <w:rPr>
          <w:rFonts w:hint="default" w:ascii="Times New Roman" w:hAnsi="Times New Roman" w:cs="Times New Roman"/>
        </w:rPr>
        <w:t>In summary, this study has contributed to the predictive modeling of postoperative acute kidney injury (AKI) in a number of noteworthy and creative ways, including:</w:t>
      </w:r>
    </w:p>
    <w:p w14:paraId="7B253CDB">
      <w:pPr>
        <w:numPr>
          <w:ilvl w:val="0"/>
          <w:numId w:val="3"/>
        </w:numPr>
        <w:spacing w:line="480" w:lineRule="auto"/>
        <w:rPr>
          <w:rFonts w:hint="default" w:ascii="Times New Roman" w:hAnsi="Times New Roman" w:cs="Times New Roman"/>
        </w:rPr>
      </w:pPr>
      <w:r>
        <w:rPr>
          <w:rFonts w:hint="default" w:ascii="Times New Roman" w:hAnsi="Times New Roman" w:cs="Times New Roman"/>
          <w:lang w:val="en-US" w:eastAsia="zh-CN"/>
        </w:rPr>
        <w:t xml:space="preserve"> </w:t>
      </w:r>
      <w:r>
        <w:rPr>
          <w:rFonts w:hint="default" w:ascii="Times New Roman" w:hAnsi="Times New Roman" w:cs="Times New Roman"/>
        </w:rPr>
        <w:t>Our study addresses a critical gap in AKI prediction research—the limited diagnostic dimensions—by combining clinical indicators and imaging data with strict adherence to KDIGO diagnostic criteria.</w:t>
      </w:r>
    </w:p>
    <w:p w14:paraId="08A913AD">
      <w:pPr>
        <w:numPr>
          <w:ilvl w:val="0"/>
          <w:numId w:val="3"/>
        </w:numPr>
        <w:spacing w:line="480" w:lineRule="auto"/>
        <w:rPr>
          <w:rFonts w:hint="default" w:ascii="Times New Roman" w:hAnsi="Times New Roman" w:cs="Times New Roman"/>
        </w:rPr>
      </w:pPr>
      <w:r>
        <w:rPr>
          <w:rFonts w:hint="default" w:ascii="Times New Roman" w:hAnsi="Times New Roman" w:cs="Times New Roman"/>
          <w:lang w:val="en-US" w:eastAsia="zh-CN"/>
        </w:rPr>
        <w:t xml:space="preserve"> </w:t>
      </w:r>
      <w:r>
        <w:rPr>
          <w:rFonts w:hint="default" w:ascii="Times New Roman" w:hAnsi="Times New Roman" w:cs="Times New Roman"/>
        </w:rPr>
        <w:t xml:space="preserve">Minimally invasive renal surgery—particularly robot-assisted and laparoscopic partial nephrectomy—has gained widespread global adoption in recent years. Compared with open surgery, these approaches achieve comparable oncologic outcomes while offering fewer complications and faster recovery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REF _Ref28026 \r \h </w:instrText>
      </w:r>
      <w:r>
        <w:rPr>
          <w:rFonts w:hint="default" w:ascii="Times New Roman" w:hAnsi="Times New Roman" w:cs="Times New Roman"/>
          <w:lang w:val="en-US"/>
        </w:rPr>
        <w:fldChar w:fldCharType="separate"/>
      </w:r>
      <w:r>
        <w:rPr>
          <w:rFonts w:hint="default" w:ascii="Times New Roman" w:hAnsi="Times New Roman" w:cs="Times New Roman"/>
          <w:lang w:val="en-US"/>
        </w:rPr>
        <w:t>[8]</w:t>
      </w:r>
      <w:r>
        <w:rPr>
          <w:rFonts w:hint="default" w:ascii="Times New Roman" w:hAnsi="Times New Roman" w:cs="Times New Roman"/>
          <w:lang w:val="en-US"/>
        </w:rPr>
        <w:fldChar w:fldCharType="end"/>
      </w:r>
      <w:r>
        <w:rPr>
          <w:rFonts w:hint="default" w:ascii="Times New Roman" w:hAnsi="Times New Roman" w:cs="Times New Roman"/>
        </w:rPr>
        <w:t xml:space="preserve">, and long-term follow-up shows no significant differences in cancer control or renal function preservation between laparoscopic and open partial nephrectomy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REF _Ref28203 \r \h </w:instrText>
      </w:r>
      <w:r>
        <w:rPr>
          <w:rFonts w:hint="default" w:ascii="Times New Roman" w:hAnsi="Times New Roman" w:cs="Times New Roman"/>
          <w:lang w:val="en-US"/>
        </w:rPr>
        <w:fldChar w:fldCharType="separate"/>
      </w:r>
      <w:r>
        <w:rPr>
          <w:rFonts w:hint="default" w:ascii="Times New Roman" w:hAnsi="Times New Roman" w:cs="Times New Roman"/>
          <w:lang w:val="en-US"/>
        </w:rPr>
        <w:t>[9]</w:t>
      </w:r>
      <w:r>
        <w:rPr>
          <w:rFonts w:hint="default" w:ascii="Times New Roman" w:hAnsi="Times New Roman" w:cs="Times New Roman"/>
          <w:lang w:val="en-US"/>
        </w:rPr>
        <w:fldChar w:fldCharType="end"/>
      </w:r>
      <w:r>
        <w:rPr>
          <w:rFonts w:hint="default" w:ascii="Times New Roman" w:hAnsi="Times New Roman" w:cs="Times New Roman"/>
        </w:rPr>
        <w:t xml:space="preserve">. In China, although robotic systems are available in large centers, most hospitals still rely primarily on laparoscopic techniques for both partial and radical nephrectomies. Against this backdrop, laparoscopic renal procedures introduce AKI-relevant stressors—pneumoperitoneum-related hypoperfusion and ischemia–reperfusion during hilar clamping—rendering patients more susceptible to AKI, which occurs in 15–25% of partial nephrectomies by KDIGO criteria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REF _Ref3117 \r \h </w:instrText>
      </w:r>
      <w:r>
        <w:rPr>
          <w:rFonts w:hint="default" w:ascii="Times New Roman" w:hAnsi="Times New Roman" w:cs="Times New Roman"/>
          <w:lang w:val="en-US"/>
        </w:rPr>
        <w:fldChar w:fldCharType="separate"/>
      </w:r>
      <w:r>
        <w:rPr>
          <w:rFonts w:hint="default" w:ascii="Times New Roman" w:hAnsi="Times New Roman" w:cs="Times New Roman"/>
          <w:lang w:val="en-US"/>
        </w:rPr>
        <w:t>[10</w:t>
      </w:r>
      <w:r>
        <w:rPr>
          <w:rFonts w:hint="default" w:ascii="Times New Roman" w:hAnsi="Times New Roman" w:cs="Times New Roman"/>
          <w:lang w:val="en-US"/>
        </w:rPr>
        <w:fldChar w:fldCharType="end"/>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REF _Ref3323 \r \h </w:instrText>
      </w:r>
      <w:r>
        <w:rPr>
          <w:rFonts w:hint="default" w:ascii="Times New Roman" w:hAnsi="Times New Roman" w:cs="Times New Roman"/>
          <w:lang w:val="en-US"/>
        </w:rPr>
        <w:fldChar w:fldCharType="separate"/>
      </w:r>
      <w:r>
        <w:rPr>
          <w:rFonts w:hint="default" w:ascii="Times New Roman" w:hAnsi="Times New Roman" w:cs="Times New Roman"/>
          <w:lang w:val="en-US" w:eastAsia="zh-CN"/>
        </w:rPr>
        <w:t>,</w:t>
      </w:r>
      <w:r>
        <w:rPr>
          <w:rFonts w:hint="default" w:ascii="Times New Roman" w:hAnsi="Times New Roman" w:cs="Times New Roman"/>
          <w:lang w:val="en-US"/>
        </w:rPr>
        <w:t>11]</w:t>
      </w:r>
      <w:r>
        <w:rPr>
          <w:rFonts w:hint="default" w:ascii="Times New Roman" w:hAnsi="Times New Roman" w:cs="Times New Roman"/>
          <w:lang w:val="en-US"/>
        </w:rPr>
        <w:fldChar w:fldCharType="end"/>
      </w:r>
      <w:r>
        <w:rPr>
          <w:rFonts w:hint="default" w:ascii="Times New Roman" w:hAnsi="Times New Roman" w:cs="Times New Roman"/>
        </w:rPr>
        <w:t xml:space="preserve"> and is linked to long-term renal decline and new-onset CKD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REF _Ref3767 \r \h </w:instrText>
      </w:r>
      <w:r>
        <w:rPr>
          <w:rFonts w:hint="default" w:ascii="Times New Roman" w:hAnsi="Times New Roman" w:cs="Times New Roman"/>
          <w:lang w:val="en-US"/>
        </w:rPr>
        <w:fldChar w:fldCharType="separate"/>
      </w:r>
      <w:r>
        <w:rPr>
          <w:rFonts w:hint="default" w:ascii="Times New Roman" w:hAnsi="Times New Roman" w:cs="Times New Roman"/>
          <w:lang w:val="en-US"/>
        </w:rPr>
        <w:t>[12</w:t>
      </w:r>
      <w:r>
        <w:rPr>
          <w:rFonts w:hint="default" w:ascii="Times New Roman" w:hAnsi="Times New Roman" w:cs="Times New Roman"/>
          <w:lang w:val="en-US"/>
        </w:rPr>
        <w:fldChar w:fldCharType="end"/>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REF _Ref4022 \r \h </w:instrText>
      </w:r>
      <w:r>
        <w:rPr>
          <w:rFonts w:hint="default" w:ascii="Times New Roman" w:hAnsi="Times New Roman" w:cs="Times New Roman"/>
          <w:lang w:val="en-US"/>
        </w:rPr>
        <w:fldChar w:fldCharType="separate"/>
      </w:r>
      <w:r>
        <w:rPr>
          <w:rFonts w:hint="default" w:ascii="Times New Roman" w:hAnsi="Times New Roman" w:cs="Times New Roman"/>
          <w:lang w:val="en-US" w:eastAsia="zh-CN"/>
        </w:rPr>
        <w:t>,</w:t>
      </w:r>
      <w:r>
        <w:rPr>
          <w:rFonts w:hint="default" w:ascii="Times New Roman" w:hAnsi="Times New Roman" w:cs="Times New Roman"/>
          <w:lang w:val="en-US"/>
        </w:rPr>
        <w:t>13]</w:t>
      </w:r>
      <w:r>
        <w:rPr>
          <w:rFonts w:hint="default" w:ascii="Times New Roman" w:hAnsi="Times New Roman" w:cs="Times New Roman"/>
          <w:lang w:val="en-US"/>
        </w:rPr>
        <w:fldChar w:fldCharType="end"/>
      </w:r>
      <w:r>
        <w:rPr>
          <w:rFonts w:hint="default" w:ascii="Times New Roman" w:hAnsi="Times New Roman" w:cs="Times New Roman"/>
        </w:rPr>
        <w:t xml:space="preserve">. These features highlight a gap in existing, largely generic AKI prediction models—often developed in cardiac or heterogeneous surgical cohorts—which seldom incorporate procedure-specific variables such as pneumoperitoneum pressure and warm ischemia time, underscoring the need for a model tailored to laparoscopic renal surgery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REF _Ref4306 \r \h </w:instrText>
      </w:r>
      <w:r>
        <w:rPr>
          <w:rFonts w:hint="default" w:ascii="Times New Roman" w:hAnsi="Times New Roman" w:cs="Times New Roman"/>
          <w:lang w:val="en-US"/>
        </w:rPr>
        <w:fldChar w:fldCharType="separate"/>
      </w:r>
      <w:r>
        <w:rPr>
          <w:rFonts w:hint="default" w:ascii="Times New Roman" w:hAnsi="Times New Roman" w:cs="Times New Roman"/>
          <w:lang w:val="en-US"/>
        </w:rPr>
        <w:t>[14]</w:t>
      </w:r>
      <w:r>
        <w:rPr>
          <w:rFonts w:hint="default" w:ascii="Times New Roman" w:hAnsi="Times New Roman" w:cs="Times New Roman"/>
          <w:lang w:val="en-US"/>
        </w:rPr>
        <w:fldChar w:fldCharType="end"/>
      </w:r>
      <w:r>
        <w:rPr>
          <w:rFonts w:hint="default" w:ascii="Times New Roman" w:hAnsi="Times New Roman" w:cs="Times New Roman"/>
        </w:rPr>
        <w:t>.</w:t>
      </w:r>
    </w:p>
    <w:p w14:paraId="20D8533C">
      <w:pPr>
        <w:numPr>
          <w:ilvl w:val="0"/>
          <w:numId w:val="3"/>
        </w:numPr>
        <w:spacing w:line="480" w:lineRule="auto"/>
        <w:rPr>
          <w:rFonts w:hint="default" w:ascii="Times New Roman" w:hAnsi="Times New Roman" w:cs="Times New Roman"/>
        </w:rPr>
      </w:pPr>
      <w:r>
        <w:rPr>
          <w:rFonts w:hint="default" w:ascii="Times New Roman" w:hAnsi="Times New Roman" w:cs="Times New Roman"/>
          <w:lang w:val="en-US" w:eastAsia="zh-CN"/>
        </w:rPr>
        <w:t xml:space="preserve"> </w:t>
      </w:r>
      <w:r>
        <w:rPr>
          <w:rFonts w:hint="default" w:ascii="Times New Roman" w:hAnsi="Times New Roman" w:cs="Times New Roman"/>
        </w:rPr>
        <w:t>Our few-shot prototype network integrates multimodal data (preoperative static variables, early physiological trends, and imaging), significantly improving early-warning performance in limited-data scenarios.</w:t>
      </w:r>
    </w:p>
    <w:p w14:paraId="3547D48B">
      <w:pPr>
        <w:numPr>
          <w:ilvl w:val="0"/>
          <w:numId w:val="3"/>
        </w:numPr>
        <w:spacing w:line="480" w:lineRule="auto"/>
        <w:rPr>
          <w:rFonts w:hint="default" w:ascii="Times New Roman" w:hAnsi="Times New Roman" w:cs="Times New Roman"/>
        </w:rPr>
      </w:pPr>
      <w:r>
        <w:rPr>
          <w:rFonts w:hint="default" w:ascii="Times New Roman" w:hAnsi="Times New Roman" w:cs="Times New Roman"/>
          <w:lang w:val="en-US" w:eastAsia="zh-CN"/>
        </w:rPr>
        <w:t xml:space="preserve"> </w:t>
      </w:r>
      <w:r>
        <w:rPr>
          <w:rFonts w:hint="default" w:ascii="Times New Roman" w:hAnsi="Times New Roman" w:cs="Times New Roman"/>
        </w:rPr>
        <w:t>Model development used</w:t>
      </w:r>
      <w:r>
        <w:rPr>
          <w:rFonts w:hint="default" w:ascii="Times New Roman" w:hAnsi="Times New Roman" w:cs="Times New Roman"/>
          <w:b/>
          <w:bCs/>
        </w:rPr>
        <w:t xml:space="preserve"> real-world, single-center data from Sichuan Provincial Second People’s Hospital, </w:t>
      </w:r>
      <w:r>
        <w:rPr>
          <w:rFonts w:hint="default" w:ascii="Times New Roman" w:hAnsi="Times New Roman" w:cs="Times New Roman"/>
        </w:rPr>
        <w:t>addressing regional gaps in generic AKI models by incorporating local epidemiological, environmental, and healthcare system factors.</w:t>
      </w:r>
    </w:p>
    <w:p w14:paraId="5E69F3CC">
      <w:pPr>
        <w:numPr>
          <w:ilvl w:val="0"/>
          <w:numId w:val="3"/>
        </w:numPr>
        <w:spacing w:line="480" w:lineRule="auto"/>
        <w:rPr>
          <w:rFonts w:hint="default" w:ascii="Times New Roman" w:hAnsi="Times New Roman" w:cs="Times New Roman"/>
        </w:rPr>
      </w:pPr>
      <w:r>
        <w:rPr>
          <w:rFonts w:hint="default" w:ascii="Times New Roman" w:hAnsi="Times New Roman" w:cs="Times New Roman"/>
          <w:lang w:val="en-US" w:eastAsia="zh-CN"/>
        </w:rPr>
        <w:t xml:space="preserve"> </w:t>
      </w:r>
      <w:r>
        <w:rPr>
          <w:rFonts w:hint="default" w:ascii="Times New Roman" w:hAnsi="Times New Roman" w:cs="Times New Roman"/>
        </w:rPr>
        <w:t>SHAP interpretability analysis enhances clinical utility by visualizing risk factors, enabling physicians to understand model predictions and improve real-world adoption of this intelligent system.</w:t>
      </w:r>
    </w:p>
    <w:p w14:paraId="2D91E7D9">
      <w:pPr>
        <w:spacing w:line="480" w:lineRule="auto"/>
        <w:ind w:firstLine="420"/>
        <w:rPr>
          <w:rFonts w:hint="default" w:ascii="Times New Roman" w:hAnsi="Times New Roman" w:cs="Times New Roman"/>
        </w:rPr>
      </w:pPr>
      <w:r>
        <w:rPr>
          <w:rFonts w:hint="default" w:ascii="Times New Roman" w:hAnsi="Times New Roman" w:cs="Times New Roman"/>
        </w:rPr>
        <w:t>In conclusion, this study offers a theoretical foundation and workable technical support for the early detection and tailored treatment of postoperative AKI in resource-constrained areas through the development of a practical, interpretable, and geographically flexible postoperative AKI prediction framework.</w:t>
      </w:r>
    </w:p>
    <w:p w14:paraId="258F3AF1">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Theoretical Basis and Research Progress</w:t>
      </w:r>
    </w:p>
    <w:p w14:paraId="02B2A82D">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Advances in Postoperative AKI Prediction Research</w:t>
      </w:r>
    </w:p>
    <w:p w14:paraId="4E52D9DB">
      <w:pPr>
        <w:spacing w:line="480" w:lineRule="auto"/>
        <w:ind w:firstLine="420"/>
        <w:rPr>
          <w:rFonts w:hint="default" w:ascii="Times New Roman" w:hAnsi="Times New Roman" w:cs="Times New Roman"/>
        </w:rPr>
      </w:pPr>
      <w:r>
        <w:rPr>
          <w:rFonts w:hint="default" w:ascii="Times New Roman" w:hAnsi="Times New Roman" w:cs="Times New Roman"/>
        </w:rPr>
        <w:t>Research in clinical renal protection management has focused on the prediction and early detection of postoperative acute kidney injury (AKI), one of the frequent consequences in the perioperative period.</w:t>
      </w:r>
      <w:r>
        <w:rPr>
          <w:rFonts w:hint="default" w:ascii="Times New Roman" w:hAnsi="Times New Roman" w:cs="Times New Roman"/>
          <w:lang w:val="en-US" w:eastAsia="zh-CN"/>
        </w:rPr>
        <w:t xml:space="preserve"> </w:t>
      </w:r>
      <w:r>
        <w:rPr>
          <w:rFonts w:hint="default" w:ascii="Times New Roman" w:hAnsi="Times New Roman" w:cs="Times New Roman"/>
        </w:rPr>
        <w:t>The AKI-EPI study provides a comprehensive analysis of the epidemiology of AKI in critically ill patients across multiple centers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_Ref29904 \r \h  \* MERGEFORMAT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t>. Based on imaging histological findings and structured clinical variables, AKI prediction algorithms may currently be generally divided into two groups.</w:t>
      </w:r>
    </w:p>
    <w:p w14:paraId="4150737B">
      <w:pPr>
        <w:spacing w:line="480" w:lineRule="auto"/>
        <w:ind w:firstLine="420"/>
        <w:rPr>
          <w:rFonts w:hint="default" w:ascii="Times New Roman" w:hAnsi="Times New Roman" w:cs="Times New Roman"/>
        </w:rPr>
      </w:pPr>
      <w:r>
        <w:rPr>
          <w:rFonts w:hint="default" w:ascii="Times New Roman" w:hAnsi="Times New Roman" w:cs="Times New Roman"/>
        </w:rPr>
        <w:t>Clinical feature-based prediction techniques typically rely on conventional machine learning models, such as logistic regression or random forests, which utilize basic preoperative data, intraoperative physiological markers, and perioperative laboratory results. For instance, Liu et al. developed a logistic regression model to predict AKI following liver transplantation using preoperative age, blood pressure, and creatinine levels, achieving an AUC of 0.78 on the validation set, demonstrating acceptable clinical feasibility</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_Ref32703 \r \h  \* MERGEFORMAT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t>. Rank et al. reported that a random forest model achieved the highest performance in predicting post-cardiac surgery AKI, with an area under the curve (AUC) of 0.88 and a sensitivity of 0.82</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_Ref32732 \r \h  \* MERGEFORMAT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t>. Although these methods are straightforward to implement and highly interpretable, they struggle to capture complex nonlinear relationships within the data and thus often have limited predictive accuracy, particularly when variable interactions are significant or when manually constructing higher-order features is difficult.</w:t>
      </w:r>
    </w:p>
    <w:p w14:paraId="4462FA6D">
      <w:pPr>
        <w:spacing w:line="480" w:lineRule="auto"/>
        <w:ind w:firstLine="4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rPr>
        <w:t>The main goals of imaging</w:t>
      </w:r>
      <w:r>
        <w:rPr>
          <w:rFonts w:hint="default" w:ascii="Times New Roman" w:hAnsi="Times New Roman" w:cs="Times New Roman"/>
          <w:lang w:val="en-US" w:eastAsia="zh-CN"/>
        </w:rPr>
        <w:t>-</w:t>
      </w:r>
      <w:r>
        <w:rPr>
          <w:rFonts w:hint="default" w:ascii="Times New Roman" w:hAnsi="Times New Roman" w:cs="Times New Roman"/>
        </w:rPr>
        <w:t>histology techniques are to identify patients' possible risk of renal damage using multidimensional vectors and to extract deep quantitative information from medical images (such as postoperative CT</w:t>
      </w:r>
      <w:r>
        <w:rPr>
          <w:rFonts w:hint="default" w:ascii="Times New Roman" w:hAnsi="Times New Roman" w:cs="Times New Roman"/>
          <w:lang w:val="en-US" w:eastAsia="zh-CN"/>
        </w:rPr>
        <w:t xml:space="preserve"> and </w:t>
      </w:r>
      <w:r>
        <w:rPr>
          <w:rFonts w:hint="default" w:ascii="Times New Roman" w:hAnsi="Times New Roman" w:cs="Times New Roman"/>
        </w:rPr>
        <w:t xml:space="preserve">ultrasound). These techniques can improve the ability to measure the risk of AKI in preclinical stages and aid in the clinical detection of </w:t>
      </w:r>
      <w:r>
        <w:rPr>
          <w:rFonts w:hint="default" w:ascii="Times New Roman" w:hAnsi="Times New Roman" w:cs="Times New Roman"/>
          <w:lang w:val="en-US" w:eastAsia="zh-CN"/>
        </w:rPr>
        <w:t>“</w:t>
      </w:r>
      <w:r>
        <w:rPr>
          <w:rFonts w:hint="default" w:ascii="Times New Roman" w:hAnsi="Times New Roman" w:cs="Times New Roman"/>
        </w:rPr>
        <w:t>non-visible</w:t>
      </w:r>
      <w:r>
        <w:rPr>
          <w:rFonts w:hint="default" w:ascii="Times New Roman" w:hAnsi="Times New Roman" w:cs="Times New Roman"/>
          <w:lang w:val="en-US" w:eastAsia="zh-CN"/>
        </w:rPr>
        <w:t>”</w:t>
      </w:r>
      <w:r>
        <w:rPr>
          <w:rFonts w:hint="default" w:ascii="Times New Roman" w:hAnsi="Times New Roman" w:cs="Times New Roman"/>
        </w:rPr>
        <w:t xml:space="preserve"> early pathological changes on imaging</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_Ref1486 \r \h  \* MERGEFORMAT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t>. Zhou et al. developed a radiomics model to predict AKI following heart surgery by extracting renal texture features from postoperative abdominal CT images. The model demonstrated good image-assisted discrimination, achieving an AUC of 0.81 in external validation</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_Ref1528 \r \h  \* MERGEFORMAT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t>. However, these techniques are subject to specific technical thresholds in their widespread promotion and use because o</w:t>
      </w:r>
      <w:r>
        <w:rPr>
          <w:rFonts w:hint="default" w:ascii="Times New Roman" w:hAnsi="Times New Roman" w:cs="Times New Roman"/>
          <w:lang w:val="en-US" w:eastAsia="zh-CN"/>
        </w:rPr>
        <w:t>f</w:t>
      </w:r>
      <w:r>
        <w:rPr>
          <w:rFonts w:hint="default" w:ascii="Times New Roman" w:hAnsi="Times New Roman" w:cs="Times New Roman"/>
        </w:rPr>
        <w:t xml:space="preserve"> their heavy </w:t>
      </w:r>
      <w:r>
        <w:rPr>
          <w:rFonts w:hint="default" w:ascii="Times New Roman" w:hAnsi="Times New Roman" w:cs="Times New Roman"/>
          <w:color w:val="000000" w:themeColor="text1"/>
          <w14:textFill>
            <w14:solidFill>
              <w14:schemeClr w14:val="tx1"/>
            </w14:solidFill>
          </w14:textFill>
        </w:rPr>
        <w:t>reliance on image quality, segmentation accuracy, and annotation consistency, as well as the absence of consistent standards in multicenter settings.</w:t>
      </w:r>
    </w:p>
    <w:p w14:paraId="44EF9B9D">
      <w:pPr>
        <w:spacing w:line="480" w:lineRule="auto"/>
        <w:ind w:firstLine="4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Current methods for predicting postoperative AKI still encounter several challenges during model development, including small overall sample sizes, class imbalance, and limited multimodal feature</w:t>
      </w:r>
      <w:r>
        <w:rPr>
          <w:rFonts w:hint="default" w:ascii="Times New Roman" w:hAnsi="Times New Roman" w:cs="Times New Roman"/>
          <w:color w:val="000000" w:themeColor="text1"/>
          <w:lang w:val="en-US"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fusion capabilities. Although many studies report a pronounced imbalance between positive and negative cases, the more fundamental issue is the insufficient total number of samples. This scarcity makes training vulnerable to small-sample effects, leading to unstable parameter estimates and reduced generalizability. In particular, even when class ratios are not severely skewed, underrepresentation of minority classes (e.g., non-AKI) can impair model reliability and sensitivity in clinical applications. To address these issues—small samples, class imbalance, and weak multimodal fusion—we propose a prototypical</w:t>
      </w:r>
      <w:r>
        <w:rPr>
          <w:rFonts w:hint="default" w:ascii="Times New Roman" w:hAnsi="Times New Roman" w:cs="Times New Roman"/>
          <w:color w:val="000000" w:themeColor="text1"/>
          <w:lang w:val="en-US" w:eastAsia="zh-C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network approach that integrates postoperative imaging histology with clinical features within a few-shot learning framework, thereby enhancing early detection performance and model robustness for postoperative AKI.</w:t>
      </w:r>
    </w:p>
    <w:p w14:paraId="03F436C7">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Multimodal Radiomics Feature Fusion</w:t>
      </w:r>
    </w:p>
    <w:p w14:paraId="3BD9E509">
      <w:pPr>
        <w:spacing w:line="480" w:lineRule="auto"/>
        <w:ind w:firstLine="420"/>
        <w:rPr>
          <w:rFonts w:hint="default" w:ascii="Times New Roman" w:hAnsi="Times New Roman" w:cs="Times New Roman"/>
        </w:rPr>
      </w:pPr>
      <w:r>
        <w:rPr>
          <w:rFonts w:hint="default" w:ascii="Times New Roman" w:hAnsi="Times New Roman" w:cs="Times New Roman"/>
        </w:rPr>
        <w:t>Recent years have seen a widespread application of multimodal feature</w:t>
      </w:r>
      <w:r>
        <w:rPr>
          <w:rFonts w:hint="default" w:ascii="Times New Roman" w:hAnsi="Times New Roman" w:cs="Times New Roman"/>
          <w:lang w:val="en-US" w:eastAsia="zh-CN"/>
        </w:rPr>
        <w:t>-</w:t>
      </w:r>
      <w:r>
        <w:rPr>
          <w:rFonts w:hint="default" w:ascii="Times New Roman" w:hAnsi="Times New Roman" w:cs="Times New Roman"/>
        </w:rPr>
        <w:t xml:space="preserve">fusion techniques in the field of medical risk prediction, particularly for tasks with high clinical importance like kidney lesions and surgical sequelae. Radiomics is a technique that helps with risk stratification and disease prediction judgment by extracting high-dimensional and quantitative features from medical images (such as CT, MRI, and ultrasound) that can detect early pathological changes that are </w:t>
      </w:r>
      <w:r>
        <w:rPr>
          <w:rFonts w:hint="default" w:ascii="Times New Roman" w:hAnsi="Times New Roman" w:cs="Times New Roman"/>
          <w:lang w:val="en-US" w:eastAsia="zh-CN"/>
        </w:rPr>
        <w:t>un</w:t>
      </w:r>
      <w:r>
        <w:rPr>
          <w:rFonts w:hint="default" w:ascii="Times New Roman" w:hAnsi="Times New Roman" w:cs="Times New Roman"/>
        </w:rPr>
        <w:t>detectable by traditional visual assessment. Gillies et al. introduced the concept of radiomics, emphasizing the extraction of quantitative features from medical images for decision support</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_Ref2381 \r \h  \* MERGEFORMAT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t>. Information like structural alterations, perfusion status, and kidney interstitial features are frequently seen in postoperative images as slight texture or density changes. Imaging histology may be able to serve as a foundation for identifying these asymptomatic phases, which is important for the prediction of postoperative AKI.</w:t>
      </w:r>
    </w:p>
    <w:p w14:paraId="06C5F3F4">
      <w:pPr>
        <w:spacing w:line="480" w:lineRule="auto"/>
        <w:ind w:firstLine="420"/>
        <w:rPr>
          <w:rFonts w:hint="default" w:ascii="Times New Roman" w:hAnsi="Times New Roman" w:cs="Times New Roman"/>
        </w:rPr>
      </w:pPr>
      <w:r>
        <w:rPr>
          <w:rFonts w:hint="default" w:ascii="Times New Roman" w:hAnsi="Times New Roman" w:cs="Times New Roman"/>
        </w:rPr>
        <w:t xml:space="preserve">In an effort to provide a more comprehensive risk prediction framework, </w:t>
      </w:r>
      <w:r>
        <w:rPr>
          <w:rFonts w:hint="default" w:ascii="Times New Roman" w:hAnsi="Times New Roman" w:cs="Times New Roman"/>
          <w:lang w:val="en-US" w:eastAsia="zh-CN"/>
        </w:rPr>
        <w:t xml:space="preserve">an </w:t>
      </w:r>
      <w:r>
        <w:rPr>
          <w:rFonts w:hint="default" w:ascii="Times New Roman" w:hAnsi="Times New Roman" w:cs="Times New Roman"/>
        </w:rPr>
        <w:t>increasing number of studies have attempted to simultaneously model radiomic</w:t>
      </w:r>
      <w:r>
        <w:rPr>
          <w:rFonts w:hint="default" w:ascii="Times New Roman" w:hAnsi="Times New Roman" w:cs="Times New Roman"/>
          <w:lang w:val="en-US" w:eastAsia="zh-CN"/>
        </w:rPr>
        <w:t>s</w:t>
      </w:r>
      <w:r>
        <w:rPr>
          <w:rFonts w:hint="default" w:ascii="Times New Roman" w:hAnsi="Times New Roman" w:cs="Times New Roman"/>
        </w:rPr>
        <w:t xml:space="preserve"> features with structured clinical characteristics (such as serum creatinine, lactate, and urine output changes). Additionally, some research has investigated fusion architectures based on dual-branch neural networks for imaging and tabular data, which enhance the model's ability to incorporate cross-modal heterogeneous data through adaptive weighting and attention mechanisms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_Ref2988 \r \h  \* MERGEFORMAT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t>.</w:t>
      </w:r>
    </w:p>
    <w:p w14:paraId="649B7382">
      <w:pPr>
        <w:spacing w:line="480" w:lineRule="auto"/>
        <w:ind w:firstLine="420"/>
        <w:rPr>
          <w:rFonts w:hint="default" w:ascii="Times New Roman" w:hAnsi="Times New Roman" w:cs="Times New Roman"/>
        </w:rPr>
      </w:pPr>
      <w:r>
        <w:rPr>
          <w:rFonts w:hint="default" w:ascii="Times New Roman" w:hAnsi="Times New Roman" w:cs="Times New Roman"/>
        </w:rPr>
        <w:t>Although current research has preliminarily verified the potential of multimodal fusion strategies for complex prediction tasks such as postoperative AKI, several practical challenges remain: First, dimensional disparities and inconsistent expression mechanisms across modalities often lead to semantic misalignment and information redundancy during fusion. Second, nonstandardized medical imaging acquisition protocols frequently introduce image quality variations and segmentation errors that compromise feature stability. Finally, the complex architectures of multimodal models typically demand large training datasets and high annotation precision, limiting their generalizability in small-sample scenarios. To address these limitations, future research should focus on developing efficient, generalizable</w:t>
      </w:r>
      <w:r>
        <w:rPr>
          <w:rFonts w:hint="default" w:ascii="Times New Roman" w:hAnsi="Times New Roman" w:cs="Times New Roman"/>
          <w:lang w:val="en-US" w:eastAsia="zh-CN"/>
        </w:rPr>
        <w:t xml:space="preserve">, </w:t>
      </w:r>
      <w:r>
        <w:rPr>
          <w:rFonts w:hint="default" w:ascii="Times New Roman" w:hAnsi="Times New Roman" w:cs="Times New Roman"/>
        </w:rPr>
        <w:t>lightweight fusion strategies to enhance model stability and cross-scenario adaptability.</w:t>
      </w:r>
    </w:p>
    <w:p w14:paraId="1236E808">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Few-Shot Learning Methods</w:t>
      </w:r>
    </w:p>
    <w:p w14:paraId="22F55E9C">
      <w:pPr>
        <w:spacing w:line="480" w:lineRule="auto"/>
        <w:ind w:firstLine="420"/>
        <w:rPr>
          <w:rFonts w:hint="default" w:ascii="Times New Roman" w:hAnsi="Times New Roman" w:cs="Times New Roman"/>
        </w:rPr>
      </w:pPr>
      <w:r>
        <w:rPr>
          <w:rFonts w:hint="default" w:ascii="Times New Roman" w:hAnsi="Times New Roman" w:cs="Times New Roman"/>
        </w:rPr>
        <w:t>In recent years, few-shot learning (FSL) has gained popularity in medical image analysis. Its goal is to enable effective modeling with very few labeled samples. Few-shot learning is particularly valuable when medical image data acquisition is challenging and manual annotation is costly. The primary objective is to achieve rapid generalization and accurate discrimination of new sample categories by constructing metric spaces or refining meta-learning strategies using limited support samples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_Ref3762 \r \h  \* MERGEFORMAT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t>.</w:t>
      </w:r>
    </w:p>
    <w:p w14:paraId="7D0E428A">
      <w:pPr>
        <w:spacing w:line="480" w:lineRule="auto"/>
        <w:ind w:firstLine="420"/>
        <w:rPr>
          <w:rFonts w:hint="default" w:ascii="Times New Roman" w:hAnsi="Times New Roman" w:cs="Times New Roman"/>
        </w:rPr>
      </w:pPr>
      <w:r>
        <w:rPr>
          <w:rFonts w:hint="default" w:ascii="Times New Roman" w:hAnsi="Times New Roman" w:cs="Times New Roman"/>
        </w:rPr>
        <w:t>Prototypical Networks (PN), a widely used metric</w:t>
      </w:r>
      <w:r>
        <w:rPr>
          <w:rFonts w:hint="default" w:ascii="Times New Roman" w:hAnsi="Times New Roman" w:cs="Times New Roman"/>
          <w:lang w:val="en-US" w:eastAsia="zh-CN"/>
        </w:rPr>
        <w:t>-</w:t>
      </w:r>
      <w:r>
        <w:rPr>
          <w:rFonts w:hint="default" w:ascii="Times New Roman" w:hAnsi="Times New Roman" w:cs="Times New Roman"/>
        </w:rPr>
        <w:t>learning approach in FSL, classify samples by calculating feature means of support samples as class prototypes. Query samples are then compared to these prototypes using Euclidean distance. This architecture has demonstrated significant success in various medical applications including breast cancer screening</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_Ref4944 \r \h  \* MERGEFORMAT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t>, brain tumor classification</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_Ref4974 \r \h  \* MERGEFORMAT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t>, and fundus lesion detection</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_Ref4996 \r \h  \* MERGEFORMAT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t>, owing to its simplicity, training stability, and strong generalization capability under data scarcity.</w:t>
      </w:r>
    </w:p>
    <w:p w14:paraId="24DB16B4">
      <w:pPr>
        <w:spacing w:line="480" w:lineRule="auto"/>
        <w:ind w:firstLine="420"/>
        <w:rPr>
          <w:rFonts w:hint="default" w:ascii="Times New Roman" w:hAnsi="Times New Roman" w:cs="Times New Roman"/>
        </w:rPr>
      </w:pPr>
      <w:r>
        <w:rPr>
          <w:rFonts w:hint="default" w:ascii="Times New Roman" w:hAnsi="Times New Roman" w:cs="Times New Roman"/>
        </w:rPr>
        <w:t>Furthermore, Matching Networks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_Ref6159 \r \h  \* MERGEFORMAT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t xml:space="preserve"> enhance small-sample structural discrimination by considering global matching relationships between query and support samples, while Relation Networks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_Ref6195 \r \h  \* MERGEFORMAT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t xml:space="preserve"> improve fine-grained lesion recognition through learned nonlinear similarity functions. Recent studies have also integrated FSL with multimodal fusion techniques, such as jointly embedding structured clinical data and imaging features into a shared representation space</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_Ref6234 \r \h  \* MERGEFORMAT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t>, to boost prediction accuracy via collaborative modeling. These fusion strategies have progressively expanded FSL clinical applications in areas like diagnostic assistance and postoperative risk prediction.</w:t>
      </w:r>
    </w:p>
    <w:p w14:paraId="5A96D59B">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Methodology</w:t>
      </w:r>
    </w:p>
    <w:p w14:paraId="294B8EF7">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Study Subjects and Data Collection </w:t>
      </w:r>
    </w:p>
    <w:p w14:paraId="2EE710AD">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Participant Eligibility Criteria</w:t>
      </w:r>
    </w:p>
    <w:p w14:paraId="10C8C1A4">
      <w:pPr>
        <w:spacing w:line="480" w:lineRule="auto"/>
        <w:ind w:firstLine="420"/>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This retrospective study analyzed patients with renal space-occupying lesions who underwent laparoscopic renal surgery at </w:t>
      </w:r>
      <w:r>
        <w:rPr>
          <w:rFonts w:hint="default" w:ascii="Times New Roman" w:hAnsi="Times New Roman" w:eastAsia="宋体" w:cs="Times New Roman"/>
          <w:b/>
          <w:bCs/>
          <w:lang w:eastAsia="zh-CN"/>
        </w:rPr>
        <w:t>Sichuan Provincial Second People's Hospital</w:t>
      </w:r>
      <w:r>
        <w:rPr>
          <w:rFonts w:hint="default" w:ascii="Times New Roman" w:hAnsi="Times New Roman" w:eastAsia="宋体" w:cs="Times New Roman"/>
          <w:lang w:eastAsia="zh-CN"/>
        </w:rPr>
        <w:t>. Archived clinical and imaging data were accessed on 1 May 2025. All participants were selected according to strict inclusion and exclusion criteria to ensure population homogeneity and minimize confounding factors. No identifiable data were accessed during or after data collection, and the authors had no access to any information that could identify individual participants. All data were anonymized to ensure confidentiality.</w:t>
      </w:r>
    </w:p>
    <w:p w14:paraId="5E012034">
      <w:pPr>
        <w:spacing w:line="480" w:lineRule="auto"/>
        <w:rPr>
          <w:rFonts w:hint="default" w:ascii="Times New Roman" w:hAnsi="Times New Roman" w:eastAsia="宋体" w:cs="Times New Roman"/>
          <w:b/>
          <w:bCs/>
        </w:rPr>
      </w:pPr>
      <w:r>
        <w:rPr>
          <w:rFonts w:hint="default" w:ascii="Times New Roman" w:hAnsi="Times New Roman" w:eastAsia="宋体" w:cs="Times New Roman"/>
          <w:b/>
          <w:bCs/>
        </w:rPr>
        <w:t>Inclusion Criter</w:t>
      </w:r>
      <w:r>
        <w:rPr>
          <w:rFonts w:hint="default" w:ascii="Times New Roman" w:hAnsi="Times New Roman" w:eastAsia="宋体" w:cs="Times New Roman"/>
          <w:b/>
          <w:bCs/>
          <w:lang w:val="en-US" w:eastAsia="zh-CN"/>
        </w:rPr>
        <w:t>i</w:t>
      </w:r>
      <w:r>
        <w:rPr>
          <w:rFonts w:hint="default" w:ascii="Times New Roman" w:hAnsi="Times New Roman" w:eastAsia="宋体" w:cs="Times New Roman"/>
          <w:b/>
          <w:bCs/>
        </w:rPr>
        <w:t>a:</w:t>
      </w:r>
    </w:p>
    <w:p w14:paraId="42BC908B">
      <w:pPr>
        <w:numPr>
          <w:ilvl w:val="0"/>
          <w:numId w:val="4"/>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Patients with radiologically confirmed renal space-occupying lesions (via ultrasound, urologic CT, or intravenous urography (IVU)).</w:t>
      </w:r>
    </w:p>
    <w:p w14:paraId="0F8AB0B2">
      <w:pPr>
        <w:numPr>
          <w:ilvl w:val="0"/>
          <w:numId w:val="4"/>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Patients who underwent either laparoscopic partial nephrectomy or radical nephrectomy at our institution, with all surgeries performed by the same experienced chief urologist.</w:t>
      </w:r>
    </w:p>
    <w:p w14:paraId="0B402678">
      <w:pPr>
        <w:numPr>
          <w:ilvl w:val="0"/>
          <w:numId w:val="4"/>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Adult patients aged &gt; 18 years.</w:t>
      </w:r>
    </w:p>
    <w:p w14:paraId="6B4632FE">
      <w:pPr>
        <w:numPr>
          <w:ilvl w:val="0"/>
          <w:numId w:val="4"/>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Patients who had serum creatinine levels measured at least once preoperatively and within 7 days postoperatively.</w:t>
      </w:r>
    </w:p>
    <w:p w14:paraId="098D11A8">
      <w:pPr>
        <w:numPr>
          <w:ilvl w:val="0"/>
          <w:numId w:val="4"/>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Patients with complete baseline clinical data.</w:t>
      </w:r>
    </w:p>
    <w:p w14:paraId="1A409D13">
      <w:pPr>
        <w:spacing w:line="480" w:lineRule="auto"/>
        <w:rPr>
          <w:rFonts w:hint="default" w:ascii="Times New Roman" w:hAnsi="Times New Roman" w:eastAsia="宋体" w:cs="Times New Roman"/>
          <w:b/>
          <w:bCs/>
        </w:rPr>
      </w:pPr>
      <w:r>
        <w:rPr>
          <w:rFonts w:hint="default" w:ascii="Times New Roman" w:hAnsi="Times New Roman" w:eastAsia="宋体" w:cs="Times New Roman"/>
          <w:b/>
          <w:bCs/>
        </w:rPr>
        <w:t>Exclusion Criteria:</w:t>
      </w:r>
    </w:p>
    <w:p w14:paraId="2A80A181">
      <w:pPr>
        <w:numPr>
          <w:ilvl w:val="0"/>
          <w:numId w:val="5"/>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Patients with end-stage renal disease (ESRD).</w:t>
      </w:r>
    </w:p>
    <w:p w14:paraId="76839A3F">
      <w:pPr>
        <w:numPr>
          <w:ilvl w:val="0"/>
          <w:numId w:val="5"/>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Patients undergoing concomitant surgeries.</w:t>
      </w:r>
    </w:p>
    <w:p w14:paraId="1C195ACE">
      <w:pPr>
        <w:numPr>
          <w:ilvl w:val="0"/>
          <w:numId w:val="5"/>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Patients with a history of renal transplantation.</w:t>
      </w:r>
    </w:p>
    <w:p w14:paraId="63C93923">
      <w:pPr>
        <w:numPr>
          <w:ilvl w:val="0"/>
          <w:numId w:val="5"/>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Patients with other major organ diseases, malignancies, or undergoing chemotherapy.</w:t>
      </w:r>
    </w:p>
    <w:p w14:paraId="7728C86D">
      <w:pPr>
        <w:numPr>
          <w:ilvl w:val="0"/>
          <w:numId w:val="5"/>
        </w:numPr>
        <w:spacing w:line="480" w:lineRule="auto"/>
        <w:rPr>
          <w:rFonts w:hint="default" w:ascii="Times New Roman" w:hAnsi="Times New Roman" w:eastAsia="宋体" w:cs="Times New Roman"/>
        </w:rPr>
      </w:pP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Patients missing critical data.</w:t>
      </w:r>
    </w:p>
    <w:p w14:paraId="54DA9171">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This study might more accurately determine the incidence of acute renal injury following surgery while accounting for the impact of significant confounding variables by screening the study participants using the aforementioned criteria. The procedure for selecting study participants based on predetermined inclusion criteria is shown in </w:t>
      </w:r>
      <w:r>
        <w:rPr>
          <w:rFonts w:hint="default" w:ascii="Times New Roman" w:hAnsi="Times New Roman" w:eastAsia="宋体" w:cs="Times New Roman"/>
          <w:b/>
          <w:bCs/>
        </w:rPr>
        <w:t>Fig 1.</w:t>
      </w:r>
    </w:p>
    <w:p w14:paraId="2DB6F47D">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Multimodal Data Acquisition</w:t>
      </w:r>
    </w:p>
    <w:p w14:paraId="3DAC9865">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Numerous machine learning and deep learning models using preoperative clinical features have been developed to predict postoperative acute kidney injury (AKI), but these unimodal approaches still have limitations. First, most studies rely solely on clinical variables—such as biochemical indices, vital signs, and medical history—to construct risk scores or train models. For example, Yoon et al.’s CMC-AKIX model, built on 38 preoperative clinical variables, achieved an AUC of 0.83 in a retrospective cohort; however, its applicability is largely confined to specific surgical types and requires larger-scale external validation before it can be generalized to wider clinical settings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_Ref30321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[29]</w:t>
      </w:r>
      <w:r>
        <w:rPr>
          <w:rFonts w:hint="default" w:ascii="Times New Roman" w:hAnsi="Times New Roman" w:eastAsia="宋体" w:cs="Times New Roman"/>
        </w:rPr>
        <w:fldChar w:fldCharType="end"/>
      </w:r>
      <w:r>
        <w:rPr>
          <w:rFonts w:hint="default" w:ascii="Times New Roman" w:hAnsi="Times New Roman" w:eastAsia="宋体" w:cs="Times New Roman"/>
        </w:rPr>
        <w:t>. Furthermore, a systematic evaluation of 150 AKI prediction models highlighted substantial variability in study design, cohort composition, AKI definitions, and predictor variables, leading to high risk of bias and heterogeneity, which limit the models’ clinical utility</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_Ref30376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[30]</w:t>
      </w:r>
      <w:r>
        <w:rPr>
          <w:rFonts w:hint="default" w:ascii="Times New Roman" w:hAnsi="Times New Roman" w:eastAsia="宋体" w:cs="Times New Roman"/>
        </w:rPr>
        <w:fldChar w:fldCharType="end"/>
      </w:r>
      <w:r>
        <w:rPr>
          <w:rFonts w:hint="default" w:ascii="Times New Roman" w:hAnsi="Times New Roman" w:eastAsia="宋体" w:cs="Times New Roman"/>
        </w:rPr>
        <w:t>. More importantly, clinical data alone may fail to capture microanatomical or functional changes apparent in preoperative imaging, which often manifest before biochemical markers such as serum creatinine become abnormal.</w:t>
      </w:r>
    </w:p>
    <w:p w14:paraId="3CEB290B">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To address these limitations, this study integrates two complementary data types—preoperative clinical indicators and medical imaging—through a multimodal learning framework. Multimodal learning, a machine learning paradigm that combines heterogeneous inputs from diverse sources (e.g., images, text, tabular data), enhances model performance by exploiting intermodal complementarity</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_Ref30422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[31]</w:t>
      </w:r>
      <w:r>
        <w:rPr>
          <w:rFonts w:hint="default" w:ascii="Times New Roman" w:hAnsi="Times New Roman" w:eastAsia="宋体" w:cs="Times New Roman"/>
        </w:rPr>
        <w:fldChar w:fldCharType="end"/>
      </w:r>
      <w:r>
        <w:rPr>
          <w:rFonts w:hint="default" w:ascii="Times New Roman" w:hAnsi="Times New Roman" w:eastAsia="宋体" w:cs="Times New Roman"/>
        </w:rPr>
        <w:t xml:space="preserve">. Specifically, we propose and quantify an imaging-derived anatomical parameter </w:t>
      </w:r>
      <w:r>
        <w:rPr>
          <w:rFonts w:hint="default" w:ascii="Times New Roman" w:hAnsi="Times New Roman" w:eastAsia="宋体" w:cs="Times New Roman"/>
          <w:b/>
          <w:bCs/>
        </w:rPr>
        <w:t>(</w:t>
      </w:r>
      <w:r>
        <w:rPr>
          <w:rFonts w:hint="default" w:ascii="Times New Roman" w:hAnsi="Times New Roman" w:eastAsia="宋体" w:cs="Times New Roman"/>
          <w:b/>
          <w:bCs/>
          <w:lang w:val="en-US" w:eastAsia="zh-CN"/>
        </w:rPr>
        <w:t>“</w:t>
      </w:r>
      <w:r>
        <w:rPr>
          <w:rFonts w:hint="default" w:ascii="Times New Roman" w:hAnsi="Times New Roman" w:eastAsia="宋体" w:cs="Times New Roman"/>
          <w:b/>
          <w:bCs/>
        </w:rPr>
        <w:t>solitary kidney status</w:t>
      </w:r>
      <w:r>
        <w:rPr>
          <w:rFonts w:hint="default" w:ascii="Times New Roman" w:hAnsi="Times New Roman" w:eastAsia="宋体" w:cs="Times New Roman"/>
          <w:b/>
          <w:bCs/>
          <w:lang w:val="en-US" w:eastAsia="zh-CN"/>
        </w:rPr>
        <w:t>”</w:t>
      </w:r>
      <w:r>
        <w:rPr>
          <w:rFonts w:hint="default" w:ascii="Times New Roman" w:hAnsi="Times New Roman" w:eastAsia="宋体" w:cs="Times New Roman"/>
          <w:b/>
          <w:bCs/>
        </w:rPr>
        <w:t xml:space="preserve">) </w:t>
      </w:r>
      <w:r>
        <w:rPr>
          <w:rFonts w:hint="default" w:ascii="Times New Roman" w:hAnsi="Times New Roman" w:eastAsia="宋体" w:cs="Times New Roman"/>
        </w:rPr>
        <w:t>and integrate it with clinical indicators in our predictive model.</w:t>
      </w:r>
    </w:p>
    <w:p w14:paraId="2097B061">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The imaging-derived feature </w:t>
      </w:r>
      <w:r>
        <w:rPr>
          <w:rFonts w:hint="default" w:ascii="Times New Roman" w:hAnsi="Times New Roman" w:eastAsia="宋体" w:cs="Times New Roman"/>
          <w:lang w:val="en-US" w:eastAsia="zh-CN"/>
        </w:rPr>
        <w:t>“solitary</w:t>
      </w:r>
      <w:r>
        <w:rPr>
          <w:rFonts w:hint="default" w:ascii="Times New Roman" w:hAnsi="Times New Roman" w:eastAsia="宋体" w:cs="Times New Roman"/>
        </w:rPr>
        <w:t xml:space="preserve"> kidney status</w:t>
      </w:r>
      <w:r>
        <w:rPr>
          <w:rFonts w:hint="default" w:ascii="Times New Roman" w:hAnsi="Times New Roman" w:eastAsia="宋体" w:cs="Times New Roman"/>
          <w:lang w:val="en-US" w:eastAsia="zh-CN"/>
        </w:rPr>
        <w:t>”</w:t>
      </w:r>
      <w:r>
        <w:rPr>
          <w:rFonts w:hint="default" w:ascii="Times New Roman" w:hAnsi="Times New Roman" w:eastAsia="宋体" w:cs="Times New Roman"/>
        </w:rPr>
        <w:t xml:space="preserve"> holds significant clinical importance. A retrospective study demonstrated that patients with congenital or surgically acquired solitary kidneys faced substantially higher AKI risks during procedures with potential renal injury, such as percutaneous angiography. In a cohort of 3,456 angiography patients, Mayo et al. reported an odds ratio (OR) of 1.9 (95% CI 1.3</w:t>
      </w:r>
      <w:r>
        <w:rPr>
          <w:rFonts w:hint="default" w:ascii="Times New Roman" w:hAnsi="Times New Roman" w:eastAsia="宋体" w:cs="Times New Roman"/>
          <w:lang w:val="en-US" w:eastAsia="zh-CN"/>
        </w:rPr>
        <w:t>-</w:t>
      </w:r>
      <w:r>
        <w:rPr>
          <w:rFonts w:hint="default" w:ascii="Times New Roman" w:hAnsi="Times New Roman" w:eastAsia="宋体" w:cs="Times New Roman"/>
        </w:rPr>
        <w:t>2.8) for AKI occurrence in the solitary kidney group versus the two-kidney group</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_Ref30494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[32]</w:t>
      </w:r>
      <w:r>
        <w:rPr>
          <w:rFonts w:hint="default" w:ascii="Times New Roman" w:hAnsi="Times New Roman" w:eastAsia="宋体" w:cs="Times New Roman"/>
        </w:rPr>
        <w:fldChar w:fldCharType="end"/>
      </w:r>
      <w:r>
        <w:rPr>
          <w:rFonts w:hint="default" w:ascii="Times New Roman" w:hAnsi="Times New Roman" w:eastAsia="宋体" w:cs="Times New Roman"/>
        </w:rPr>
        <w:t>. Additionally, Wang et al.'s cohort study of 786 renal tumor patients revealed a postoperative AKI incidence of 24.7% in patients with preoperative unilateral nephrectomy history, significantly higher than the 12.5% incidence in patients with two kidneys (P</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&lt;</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0.01)</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_Ref30549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[33]</w:t>
      </w:r>
      <w:r>
        <w:rPr>
          <w:rFonts w:hint="default" w:ascii="Times New Roman" w:hAnsi="Times New Roman" w:eastAsia="宋体" w:cs="Times New Roman"/>
        </w:rPr>
        <w:fldChar w:fldCharType="end"/>
      </w:r>
      <w:r>
        <w:rPr>
          <w:rFonts w:hint="default" w:ascii="Times New Roman" w:hAnsi="Times New Roman" w:eastAsia="宋体" w:cs="Times New Roman"/>
        </w:rPr>
        <w:t>. These findings confirm that solitary kidney status effectively reflects interindividual variability in renal functional reserve. Incorporating this parameter into postoperative AKI prediction models could enhance high-risk patient identification accuracy and guide personalized preoperative interventions.</w:t>
      </w:r>
    </w:p>
    <w:p w14:paraId="5233F497">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This study developed a multimodal fusion strategy for postoperative AKI risk prediction by integrating feature representations from two complementary data modalities: medical imaging and clinical indicators. For the clinical modality, we incorporated significant preoperative clinical parameters (blood glucose, creatinine, lactate, and urea nitrogen) based on international guidelines, along with the imaging-derived parameter</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w:t>
      </w:r>
      <w:r>
        <w:rPr>
          <w:rFonts w:hint="default" w:ascii="Times New Roman" w:hAnsi="Times New Roman" w:eastAsia="宋体" w:cs="Times New Roman"/>
          <w:b/>
          <w:bCs/>
        </w:rPr>
        <w:t>solitary kidney status.</w:t>
      </w:r>
      <w:r>
        <w:rPr>
          <w:rFonts w:hint="default" w:ascii="Times New Roman" w:hAnsi="Times New Roman" w:eastAsia="宋体" w:cs="Times New Roman"/>
          <w:b/>
          <w:bCs/>
          <w:lang w:val="en-US" w:eastAsia="zh-CN"/>
        </w:rPr>
        <w:t>”</w:t>
      </w:r>
      <w:r>
        <w:rPr>
          <w:rFonts w:hint="default" w:ascii="Times New Roman" w:hAnsi="Times New Roman" w:eastAsia="宋体" w:cs="Times New Roman"/>
          <w:b/>
          <w:bCs/>
        </w:rPr>
        <w:t xml:space="preserve"> </w:t>
      </w:r>
      <w:r>
        <w:rPr>
          <w:rFonts w:hint="default" w:ascii="Times New Roman" w:hAnsi="Times New Roman" w:eastAsia="宋体" w:cs="Times New Roman"/>
        </w:rPr>
        <w:t>For the imaging modality, we employed a pre-trained ResNet</w:t>
      </w:r>
      <w:r>
        <w:rPr>
          <w:rFonts w:hint="default" w:ascii="Times New Roman" w:hAnsi="Times New Roman" w:eastAsia="宋体" w:cs="Times New Roman"/>
          <w:lang w:val="en-US" w:eastAsia="zh-CN"/>
        </w:rPr>
        <w:t>-</w:t>
      </w:r>
      <w:r>
        <w:rPr>
          <w:rFonts w:hint="default" w:ascii="Times New Roman" w:hAnsi="Times New Roman" w:eastAsia="宋体" w:cs="Times New Roman"/>
        </w:rPr>
        <w:t xml:space="preserve">50 network to automatically extract deep spatial features from preoperative images, including the critical </w:t>
      </w:r>
      <w:r>
        <w:rPr>
          <w:rFonts w:hint="default" w:ascii="Times New Roman" w:hAnsi="Times New Roman" w:eastAsia="宋体" w:cs="Times New Roman"/>
          <w:lang w:val="en-US" w:eastAsia="zh-CN"/>
        </w:rPr>
        <w:t>“</w:t>
      </w:r>
      <w:r>
        <w:rPr>
          <w:rFonts w:hint="default" w:ascii="Times New Roman" w:hAnsi="Times New Roman" w:eastAsia="宋体" w:cs="Times New Roman"/>
        </w:rPr>
        <w:t>solitary kidney status</w:t>
      </w:r>
      <w:r>
        <w:rPr>
          <w:rFonts w:hint="default" w:ascii="Times New Roman" w:hAnsi="Times New Roman" w:eastAsia="宋体" w:cs="Times New Roman"/>
          <w:lang w:val="en-US" w:eastAsia="zh-CN"/>
        </w:rPr>
        <w:t>”</w:t>
      </w:r>
      <w:r>
        <w:rPr>
          <w:rFonts w:hint="default" w:ascii="Times New Roman" w:hAnsi="Times New Roman" w:eastAsia="宋体" w:cs="Times New Roman"/>
        </w:rPr>
        <w:t xml:space="preserve"> assessment.</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To comprehensively capture patients' anatomical and physiological status, we performed cross-modal fusion of these features using both feature concatenation and a gated weighting module, generating a unified multimodal representation. Our data integration approach not only addresses limitations of unimodal analysis but also establishes a robust foundation for postoperative AKI prediction.</w:t>
      </w:r>
    </w:p>
    <w:p w14:paraId="32A12325">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Clinical Feature Selection and Definition</w:t>
      </w:r>
    </w:p>
    <w:p w14:paraId="133DF486">
      <w:pPr>
        <w:spacing w:line="480" w:lineRule="auto"/>
        <w:ind w:firstLine="420"/>
        <w:rPr>
          <w:rFonts w:hint="default" w:ascii="Times New Roman" w:hAnsi="Times New Roman" w:cs="Times New Roman"/>
        </w:rPr>
      </w:pPr>
      <w:r>
        <w:rPr>
          <w:rFonts w:hint="default" w:ascii="Times New Roman" w:hAnsi="Times New Roman" w:cs="Times New Roman"/>
        </w:rPr>
        <w:t xml:space="preserve">This study utilized several preoperative clinical indicators to develop a predictive model for postoperative acute kidney injury (AKI) in patients undergoing </w:t>
      </w:r>
      <w:r>
        <w:rPr>
          <w:rFonts w:hint="default" w:ascii="Times New Roman" w:hAnsi="Times New Roman" w:cs="Times New Roman"/>
          <w:lang w:val="en-US" w:eastAsia="zh-CN"/>
        </w:rPr>
        <w:t xml:space="preserve"> </w:t>
      </w:r>
      <w:r>
        <w:rPr>
          <w:rFonts w:hint="default" w:ascii="Times New Roman" w:hAnsi="Times New Roman" w:cs="Times New Roman"/>
        </w:rPr>
        <w:t>laparoscopic</w:t>
      </w:r>
      <w:r>
        <w:rPr>
          <w:rFonts w:hint="default" w:ascii="Times New Roman" w:hAnsi="Times New Roman" w:cs="Times New Roman"/>
          <w:lang w:val="en-US" w:eastAsia="zh-CN"/>
        </w:rPr>
        <w:t xml:space="preserve"> renal </w:t>
      </w:r>
      <w:r>
        <w:rPr>
          <w:rFonts w:hint="default" w:ascii="Times New Roman" w:hAnsi="Times New Roman" w:cs="Times New Roman"/>
        </w:rPr>
        <w:t>surgery. These indicators provide a comprehensive assessment of patients' hemodynamic status, metabolic abnormalities, and renal function, offering critical information for postoperative AKI risk prediction.</w:t>
      </w:r>
    </w:p>
    <w:p w14:paraId="2CA879D7">
      <w:pPr>
        <w:spacing w:line="480" w:lineRule="auto"/>
        <w:ind w:firstLine="420"/>
        <w:rPr>
          <w:rFonts w:hint="default" w:ascii="Times New Roman" w:hAnsi="Times New Roman" w:cs="Times New Roman"/>
        </w:rPr>
      </w:pPr>
      <w:r>
        <w:rPr>
          <w:rFonts w:hint="default" w:ascii="Times New Roman" w:hAnsi="Times New Roman" w:cs="Times New Roman"/>
        </w:rPr>
        <w:t>To provide a more comprehensive assessment of patients' baseline renal function and hemodynamic status, the model initially incorporated traditional preoperative markers</w:t>
      </w:r>
      <w:r>
        <w:rPr>
          <w:rFonts w:hint="default" w:ascii="Times New Roman" w:hAnsi="Times New Roman" w:cs="Times New Roman"/>
          <w:lang w:val="en-US" w:eastAsia="zh-CN"/>
        </w:rPr>
        <w:t xml:space="preserve">, </w:t>
      </w:r>
      <w:r>
        <w:rPr>
          <w:rFonts w:hint="default" w:ascii="Times New Roman" w:hAnsi="Times New Roman" w:cs="Times New Roman"/>
        </w:rPr>
        <w:t>including</w:t>
      </w:r>
      <w:r>
        <w:rPr>
          <w:rFonts w:hint="default" w:ascii="Times New Roman" w:hAnsi="Times New Roman" w:cs="Times New Roman"/>
          <w:b/>
          <w:bCs/>
        </w:rPr>
        <w:t xml:space="preserve"> age, serum creatinine, urea nitrogen, and hemoglobin</w:t>
      </w:r>
      <w:r>
        <w:rPr>
          <w:rFonts w:hint="default" w:ascii="Times New Roman" w:hAnsi="Times New Roman" w:cs="Times New Roman"/>
        </w:rPr>
        <w:t>. Older patients show increased vulnerability to acute kidney injury (AKI) due to age-related renal function decline. Elevated serum creatinine and urea nitrogen levels typically indicate impaired renal function and consequently higher AKI risk. Hemoglobin levels reflect the patient's anemia status, which may lead to postoperative renal ischemia and consequently increase AKI incidence.</w:t>
      </w:r>
    </w:p>
    <w:p w14:paraId="7D81D80C">
      <w:pPr>
        <w:spacing w:line="480" w:lineRule="auto"/>
        <w:ind w:firstLine="420"/>
        <w:rPr>
          <w:rFonts w:hint="default" w:ascii="Times New Roman" w:hAnsi="Times New Roman" w:cs="Times New Roman"/>
        </w:rPr>
      </w:pPr>
      <w:r>
        <w:rPr>
          <w:rFonts w:hint="default" w:ascii="Times New Roman" w:hAnsi="Times New Roman" w:cs="Times New Roman"/>
        </w:rPr>
        <w:t xml:space="preserve">To further enhance the model's sensitivity to preoperative metabolic disorders and tissue perfusion changes, this study innovatively introduced two additional indicators: </w:t>
      </w:r>
      <w:r>
        <w:rPr>
          <w:rFonts w:hint="default" w:ascii="Times New Roman" w:hAnsi="Times New Roman" w:cs="Times New Roman"/>
          <w:b/>
          <w:bCs/>
        </w:rPr>
        <w:t>preoperative glucose</w:t>
      </w:r>
      <w:r>
        <w:rPr>
          <w:rFonts w:hint="default" w:ascii="Times New Roman" w:hAnsi="Times New Roman" w:cs="Times New Roman"/>
        </w:rPr>
        <w:t xml:space="preserve"> and </w:t>
      </w:r>
      <w:r>
        <w:rPr>
          <w:rFonts w:hint="default" w:ascii="Times New Roman" w:hAnsi="Times New Roman" w:cs="Times New Roman"/>
          <w:b/>
          <w:bCs/>
        </w:rPr>
        <w:t>lactate levels.</w:t>
      </w:r>
      <w:r>
        <w:rPr>
          <w:rFonts w:hint="default" w:ascii="Times New Roman" w:hAnsi="Times New Roman" w:cs="Times New Roman"/>
        </w:rPr>
        <w:t xml:space="preserve"> Preoperative glucose levels have demonstrated a close association with AKI risk, showing approximately 15% increased risk for every 1 mmol/L elevation in noncardiac surgical patients</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_Ref30608 \r \h  \* MERGEFORMAT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t>. Similarly, preoperative lactate levels are strongly associated with severe AKI occurrence, as studies have shown that postoperative lactate levels &gt;</w:t>
      </w:r>
      <w:r>
        <w:rPr>
          <w:rFonts w:hint="default" w:ascii="Times New Roman" w:hAnsi="Times New Roman" w:cs="Times New Roman"/>
          <w:lang w:val="en-US" w:eastAsia="zh-CN"/>
        </w:rPr>
        <w:t xml:space="preserve"> </w:t>
      </w:r>
      <w:r>
        <w:rPr>
          <w:rFonts w:hint="default" w:ascii="Times New Roman" w:hAnsi="Times New Roman" w:cs="Times New Roman"/>
        </w:rPr>
        <w:t>3.3 mmol/L at 12 hours significantly increase severe AKI risk</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_Ref30758 \r \h  \* MERGEFORMAT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rPr>
        <w:t>.</w:t>
      </w:r>
    </w:p>
    <w:p w14:paraId="7BF92467">
      <w:pPr>
        <w:spacing w:line="480" w:lineRule="auto"/>
        <w:ind w:firstLine="420"/>
        <w:rPr>
          <w:rFonts w:hint="default" w:ascii="Times New Roman" w:hAnsi="Times New Roman" w:cs="Times New Roman"/>
        </w:rPr>
      </w:pPr>
      <w:r>
        <w:rPr>
          <w:rFonts w:hint="default" w:ascii="Times New Roman" w:hAnsi="Times New Roman" w:cs="Times New Roman"/>
        </w:rPr>
        <w:t>Two renal function-associated risk factors—</w:t>
      </w:r>
      <w:r>
        <w:rPr>
          <w:rFonts w:hint="default" w:ascii="Times New Roman" w:hAnsi="Times New Roman" w:cs="Times New Roman"/>
          <w:b/>
          <w:bCs/>
        </w:rPr>
        <w:t xml:space="preserve">hypertension </w:t>
      </w:r>
      <w:r>
        <w:rPr>
          <w:rFonts w:hint="default" w:ascii="Times New Roman" w:hAnsi="Times New Roman" w:cs="Times New Roman"/>
        </w:rPr>
        <w:t xml:space="preserve">and </w:t>
      </w:r>
      <w:r>
        <w:rPr>
          <w:rFonts w:hint="default" w:ascii="Times New Roman" w:hAnsi="Times New Roman" w:cs="Times New Roman"/>
          <w:b/>
          <w:bCs/>
        </w:rPr>
        <w:t>diabetes mellitus</w:t>
      </w:r>
      <w:r>
        <w:rPr>
          <w:rFonts w:hint="default" w:ascii="Times New Roman" w:hAnsi="Times New Roman" w:cs="Times New Roman"/>
        </w:rPr>
        <w:t>—were also included in the analysis. Diabetes mellitus induces renal damage through altered glucose metabolism and is associated with higher postoperative AKI incidence, especially in patients with inadequate glycemic control. Hypertension, defined as systolic blood pressure ≥</w:t>
      </w:r>
      <w:r>
        <w:rPr>
          <w:rFonts w:hint="default" w:ascii="Times New Roman" w:hAnsi="Times New Roman" w:cs="Times New Roman"/>
          <w:lang w:val="en-US" w:eastAsia="zh-CN"/>
        </w:rPr>
        <w:t xml:space="preserve"> </w:t>
      </w:r>
      <w:r>
        <w:rPr>
          <w:rFonts w:hint="default" w:ascii="Times New Roman" w:hAnsi="Times New Roman" w:cs="Times New Roman"/>
        </w:rPr>
        <w:t>140 mmHg or diastolic blood pressure ≥</w:t>
      </w:r>
      <w:r>
        <w:rPr>
          <w:rFonts w:hint="default" w:ascii="Times New Roman" w:hAnsi="Times New Roman" w:cs="Times New Roman"/>
          <w:lang w:val="en-US" w:eastAsia="zh-CN"/>
        </w:rPr>
        <w:t xml:space="preserve"> </w:t>
      </w:r>
      <w:r>
        <w:rPr>
          <w:rFonts w:hint="default" w:ascii="Times New Roman" w:hAnsi="Times New Roman" w:cs="Times New Roman"/>
        </w:rPr>
        <w:t>90 mmHg, is an established risk factor for chronic kidney disease.</w:t>
      </w:r>
    </w:p>
    <w:p w14:paraId="0A4FD9D6">
      <w:pPr>
        <w:spacing w:line="480" w:lineRule="auto"/>
        <w:ind w:firstLine="420"/>
        <w:rPr>
          <w:rFonts w:hint="default" w:ascii="Times New Roman" w:hAnsi="Times New Roman" w:cs="Times New Roman"/>
        </w:rPr>
      </w:pPr>
      <w:r>
        <w:rPr>
          <w:rFonts w:hint="default" w:ascii="Times New Roman" w:hAnsi="Times New Roman" w:cs="Times New Roman"/>
        </w:rPr>
        <w:t xml:space="preserve">Furthermore, </w:t>
      </w:r>
      <w:r>
        <w:rPr>
          <w:rFonts w:hint="default" w:ascii="Times New Roman" w:hAnsi="Times New Roman" w:cs="Times New Roman"/>
          <w:b/>
          <w:bCs/>
        </w:rPr>
        <w:t>blood urea nitrogen (BUN)</w:t>
      </w:r>
      <w:r>
        <w:rPr>
          <w:rFonts w:hint="default" w:ascii="Times New Roman" w:hAnsi="Times New Roman" w:cs="Times New Roman"/>
        </w:rPr>
        <w:t xml:space="preserve"> and </w:t>
      </w:r>
      <w:r>
        <w:rPr>
          <w:rFonts w:hint="default" w:ascii="Times New Roman" w:hAnsi="Times New Roman" w:cs="Times New Roman"/>
          <w:b/>
          <w:bCs/>
        </w:rPr>
        <w:t>erythrocyte</w:t>
      </w:r>
      <w:r>
        <w:rPr>
          <w:rFonts w:hint="default" w:ascii="Times New Roman" w:hAnsi="Times New Roman" w:cs="Times New Roman"/>
          <w:b/>
          <w:bCs/>
          <w:lang w:val="en-US" w:eastAsia="zh-CN"/>
        </w:rPr>
        <w:t>-</w:t>
      </w:r>
      <w:r>
        <w:rPr>
          <w:rFonts w:hint="default" w:ascii="Times New Roman" w:hAnsi="Times New Roman" w:cs="Times New Roman"/>
          <w:b/>
          <w:bCs/>
        </w:rPr>
        <w:t xml:space="preserve">specific volume </w:t>
      </w:r>
      <w:r>
        <w:rPr>
          <w:rFonts w:hint="default" w:ascii="Times New Roman" w:hAnsi="Times New Roman" w:cs="Times New Roman"/>
        </w:rPr>
        <w:t>were selected as traditional indicators of renal function and hemodynamics for this model. Low erythrocyte</w:t>
      </w:r>
      <w:r>
        <w:rPr>
          <w:rFonts w:hint="default" w:ascii="Times New Roman" w:hAnsi="Times New Roman" w:cs="Times New Roman"/>
          <w:lang w:val="en-US" w:eastAsia="zh-CN"/>
        </w:rPr>
        <w:t>-</w:t>
      </w:r>
      <w:r>
        <w:rPr>
          <w:rFonts w:hint="default" w:ascii="Times New Roman" w:hAnsi="Times New Roman" w:cs="Times New Roman"/>
        </w:rPr>
        <w:t>specific volume or perioperative anemia significantly elevates postoperative AKI incidence by reducing tissue oxygen supply, particularly during major surgeries with substantial blood loss, rendering anemic patients more vulnerable to AKI. BUN serves as a crucial glomerular filtration rate marker and, together with serum creatinine, represents a standard monitoring parameter for AKI diagnosis and management</w:t>
      </w:r>
      <w:r>
        <w:rPr>
          <w:rFonts w:hint="default" w:ascii="Times New Roman" w:hAnsi="Times New Roman"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_Ref30798 \r \h  \* MERGEFORMAT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t>.</w:t>
      </w:r>
    </w:p>
    <w:p w14:paraId="49008ACE">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lang w:val="en-US" w:eastAsia="zh-CN"/>
        </w:rPr>
        <w:t>Data Preprocessing and Augmentation</w:t>
      </w:r>
    </w:p>
    <w:p w14:paraId="10A228EC">
      <w:pPr>
        <w:spacing w:line="480" w:lineRule="auto"/>
        <w:ind w:firstLine="420"/>
        <w:rPr>
          <w:rFonts w:hint="default" w:ascii="Times New Roman" w:hAnsi="Times New Roman" w:eastAsia="宋体" w:cs="Times New Roman"/>
          <w:b w:val="0"/>
          <w:bCs w:val="0"/>
          <w:color w:val="000000" w:themeColor="text1"/>
          <w:lang w:val="en-US" w:eastAsia="zh-CN"/>
          <w14:textFill>
            <w14:solidFill>
              <w14:schemeClr w14:val="tx1"/>
            </w14:solidFill>
          </w14:textFill>
        </w:rPr>
      </w:pPr>
      <w:r>
        <w:rPr>
          <w:rFonts w:hint="default" w:ascii="Times New Roman" w:hAnsi="Times New Roman" w:eastAsia="宋体" w:cs="Times New Roman"/>
          <w:lang w:val="en-US" w:eastAsia="zh-CN"/>
        </w:rPr>
        <w:t xml:space="preserve">To preserve sample size and minimize the influence of outliers, missing preoperative clinical values were replaced with the median of each variable. Prior studies on medical datasets have demonstrated that median imputation yields predictive performance comparable to more complex multiple-imputation techniques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REF _Ref32212 \r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[37]</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 xml:space="preserve">. To remove unit disparities and facilitate model convergence, Z-score normalization was subsequently applied to all continuous variables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REF _Ref32251 \r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[38]</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 The complete imputation and normalization workflow is provided in</w:t>
      </w:r>
      <w:r>
        <w:rPr>
          <w:rFonts w:hint="default" w:ascii="Times New Roman" w:hAnsi="Times New Roman" w:eastAsia="宋体" w:cs="Times New Roman"/>
          <w:b/>
          <w:bCs/>
          <w:color w:val="000000" w:themeColor="text1"/>
          <w:lang w:val="en-US" w:eastAsia="zh-CN"/>
          <w14:textFill>
            <w14:solidFill>
              <w14:schemeClr w14:val="tx1"/>
            </w14:solidFill>
          </w14:textFill>
        </w:rPr>
        <w:t xml:space="preserve"> Supporting information (S1 Appendix. Data imputation and standardization).</w:t>
      </w:r>
    </w:p>
    <w:p w14:paraId="4FD17A07">
      <w:pPr>
        <w:spacing w:line="480" w:lineRule="auto"/>
        <w:ind w:firstLine="420"/>
        <w:rPr>
          <w:rFonts w:hint="default" w:ascii="Times New Roman" w:hAnsi="Times New Roman" w:eastAsia="宋体" w:cs="Times New Roman"/>
          <w:b w:val="0"/>
          <w:bCs w:val="0"/>
          <w:color w:val="000000" w:themeColor="text1"/>
          <w:lang w:val="en-US" w:eastAsia="zh-CN"/>
          <w14:textFill>
            <w14:solidFill>
              <w14:schemeClr w14:val="tx1"/>
            </w14:solidFill>
          </w14:textFill>
        </w:rPr>
      </w:pPr>
      <w:r>
        <w:rPr>
          <w:rFonts w:hint="default" w:ascii="Times New Roman" w:hAnsi="Times New Roman" w:eastAsia="宋体" w:cs="Times New Roman"/>
          <w:b w:val="0"/>
          <w:bCs w:val="0"/>
          <w:color w:val="000000" w:themeColor="text1"/>
          <w:lang w:val="en-US" w:eastAsia="zh-CN"/>
          <w14:textFill>
            <w14:solidFill>
              <w14:schemeClr w14:val="tx1"/>
            </w14:solidFill>
          </w14:textFill>
        </w:rPr>
        <w:t xml:space="preserve">In the imaging pipeline, regions of interest (ROIs) were cropped according to YOLO annotations and rescaled to a uniform resolution. Lightweight geometric and luminance augmentations were applied to increase data diversity before feature extraction by a pre-trained network </w:t>
      </w:r>
      <w:r>
        <w:rPr>
          <w:rFonts w:hint="default" w:ascii="Times New Roman" w:hAnsi="Times New Roman" w:eastAsia="宋体" w:cs="Times New Roman"/>
          <w:b/>
          <w:bCs/>
          <w:color w:val="000000" w:themeColor="text1"/>
          <w:lang w:val="en-US" w:eastAsia="zh-CN"/>
          <w14:textFill>
            <w14:solidFill>
              <w14:schemeClr w14:val="tx1"/>
            </w14:solidFill>
          </w14:textFill>
        </w:rPr>
        <w:t>(S2 Appendix. Data Augmentation, Class Balancing, and Feature Extraction).</w:t>
      </w:r>
    </w:p>
    <w:p w14:paraId="2CECA0BD">
      <w:pPr>
        <w:spacing w:line="480" w:lineRule="auto"/>
        <w:ind w:firstLine="420"/>
        <w:rPr>
          <w:rFonts w:hint="default" w:ascii="Times New Roman" w:hAnsi="Times New Roman" w:eastAsia="宋体" w:cs="Times New Roman"/>
          <w:b w:val="0"/>
          <w:bCs w:val="0"/>
          <w:color w:val="000000" w:themeColor="text1"/>
          <w:lang w:val="en-US" w:eastAsia="zh-CN"/>
          <w14:textFill>
            <w14:solidFill>
              <w14:schemeClr w14:val="tx1"/>
            </w14:solidFill>
          </w14:textFill>
        </w:rPr>
      </w:pPr>
      <w:r>
        <w:rPr>
          <w:rFonts w:hint="default" w:ascii="Times New Roman" w:hAnsi="Times New Roman" w:eastAsia="宋体" w:cs="Times New Roman"/>
          <w:b w:val="0"/>
          <w:bCs w:val="0"/>
          <w:color w:val="000000" w:themeColor="text1"/>
          <w:lang w:val="en-US" w:eastAsia="zh-CN"/>
          <w14:textFill>
            <w14:solidFill>
              <w14:schemeClr w14:val="tx1"/>
            </w14:solidFill>
          </w14:textFill>
        </w:rPr>
        <w:t>Given the pronounced class imbalance in the dataset (132 AKI vs. 62 non-AKI cases), a multimodal framework combining feature-space interpolation, weighted sampling, and class-weighted loss was employed to improve model sensitivity to the minority class.</w:t>
      </w:r>
    </w:p>
    <w:p w14:paraId="7742954E">
      <w:pPr>
        <w:spacing w:line="480" w:lineRule="auto"/>
        <w:ind w:firstLine="420"/>
        <w:rPr>
          <w:rFonts w:hint="default" w:ascii="Times New Roman" w:hAnsi="Times New Roman" w:eastAsia="宋体" w:cs="Times New Roman"/>
          <w:b w:val="0"/>
          <w:bCs w:val="0"/>
          <w:color w:val="000000" w:themeColor="text1"/>
          <w:lang w:val="en-US" w:eastAsia="zh-CN"/>
          <w14:textFill>
            <w14:solidFill>
              <w14:schemeClr w14:val="tx1"/>
            </w14:solidFill>
          </w14:textFill>
        </w:rPr>
      </w:pPr>
      <w:r>
        <w:rPr>
          <w:rFonts w:hint="default" w:ascii="Times New Roman" w:hAnsi="Times New Roman" w:eastAsia="宋体" w:cs="Times New Roman"/>
          <w:b w:val="0"/>
          <w:bCs w:val="0"/>
          <w:color w:val="000000" w:themeColor="text1"/>
          <w:lang w:val="en-US" w:eastAsia="zh-CN"/>
          <w14:textFill>
            <w14:solidFill>
              <w14:schemeClr w14:val="tx1"/>
            </w14:solidFill>
          </w14:textFill>
        </w:rPr>
        <w:t xml:space="preserve">Furthermore, an anchor-based pseudo-sample generation strategy was proposed to further expand the negative-class feature space while maintaining multimodal semantic consistency </w:t>
      </w:r>
      <w:r>
        <w:rPr>
          <w:rFonts w:hint="default" w:ascii="Times New Roman" w:hAnsi="Times New Roman" w:eastAsia="宋体" w:cs="Times New Roman"/>
          <w:b/>
          <w:bCs/>
          <w:color w:val="000000" w:themeColor="text1"/>
          <w:lang w:val="en-US" w:eastAsia="zh-CN"/>
          <w14:textFill>
            <w14:solidFill>
              <w14:schemeClr w14:val="tx1"/>
            </w14:solidFill>
          </w14:textFill>
        </w:rPr>
        <w:t>(Fig 2)</w:t>
      </w:r>
      <w:r>
        <w:rPr>
          <w:rFonts w:hint="default" w:ascii="Times New Roman" w:hAnsi="Times New Roman" w:eastAsia="宋体" w:cs="Times New Roman"/>
          <w:b w:val="0"/>
          <w:bCs w:val="0"/>
          <w:color w:val="000000" w:themeColor="text1"/>
          <w:lang w:val="en-US" w:eastAsia="zh-CN"/>
          <w14:textFill>
            <w14:solidFill>
              <w14:schemeClr w14:val="tx1"/>
            </w14:solidFill>
          </w14:textFill>
        </w:rPr>
        <w:t xml:space="preserve">. This approach utilizes pre-trained feature vectors to guide pseudo-sample generation, thereby enhancing data diversity and model interpretability. The parameter configurations and algorithmic details are described in </w:t>
      </w:r>
      <w:r>
        <w:rPr>
          <w:rFonts w:hint="default" w:ascii="Times New Roman" w:hAnsi="Times New Roman" w:eastAsia="宋体" w:cs="Times New Roman"/>
          <w:b/>
          <w:bCs/>
          <w:color w:val="000000" w:themeColor="text1"/>
          <w:lang w:val="en-US" w:eastAsia="zh-CN"/>
          <w14:textFill>
            <w14:solidFill>
              <w14:schemeClr w14:val="tx1"/>
            </w14:solidFill>
          </w14:textFill>
        </w:rPr>
        <w:t>Supporting information</w:t>
      </w:r>
      <w:r>
        <w:rPr>
          <w:rFonts w:hint="default" w:ascii="Times New Roman" w:hAnsi="Times New Roman" w:eastAsia="宋体" w:cs="Times New Roman"/>
          <w:b w:val="0"/>
          <w:bCs w:val="0"/>
          <w:color w:val="000000" w:themeColor="text1"/>
          <w:lang w:val="en-US" w:eastAsia="zh-CN"/>
          <w14:textFill>
            <w14:solidFill>
              <w14:schemeClr w14:val="tx1"/>
            </w14:solidFill>
          </w14:textFill>
        </w:rPr>
        <w:t xml:space="preserve"> </w:t>
      </w:r>
      <w:r>
        <w:rPr>
          <w:rFonts w:hint="default" w:ascii="Times New Roman" w:hAnsi="Times New Roman" w:eastAsia="宋体" w:cs="Times New Roman"/>
          <w:b/>
          <w:bCs/>
          <w:color w:val="000000" w:themeColor="text1"/>
          <w:lang w:val="en-US" w:eastAsia="zh-CN"/>
          <w14:textFill>
            <w14:solidFill>
              <w14:schemeClr w14:val="tx1"/>
            </w14:solidFill>
          </w14:textFill>
        </w:rPr>
        <w:t xml:space="preserve">(S2 Appendix. Data Augmentation, Class Balancing, and Feature Extraction). </w:t>
      </w:r>
    </w:p>
    <w:p w14:paraId="70E4FE3D">
      <w:pPr>
        <w:numPr>
          <w:ilvl w:val="1"/>
          <w:numId w:val="2"/>
        </w:numPr>
        <w:spacing w:line="480" w:lineRule="auto"/>
        <w:outlineLvl w:val="1"/>
        <w:rPr>
          <w:rFonts w:hint="default" w:ascii="Times New Roman" w:hAnsi="Times New Roman" w:cs="Times New Roman"/>
          <w:b/>
          <w:bCs/>
          <w:sz w:val="32"/>
          <w:szCs w:val="32"/>
        </w:rPr>
      </w:pPr>
      <w:bookmarkStart w:id="0" w:name="_Toc32329"/>
      <w:bookmarkStart w:id="1" w:name="_Toc12960"/>
      <w:bookmarkStart w:id="2" w:name="_Toc4139"/>
      <w:bookmarkStart w:id="3" w:name="_Toc30307"/>
      <w:bookmarkStart w:id="4" w:name="_Toc30662"/>
      <w:r>
        <w:rPr>
          <w:rFonts w:hint="default" w:ascii="Times New Roman" w:hAnsi="Times New Roman" w:cs="Times New Roman"/>
          <w:b/>
          <w:bCs/>
          <w:sz w:val="32"/>
          <w:szCs w:val="32"/>
        </w:rPr>
        <w:t>Multimodal Feature Fusion Network</w:t>
      </w:r>
      <w:bookmarkEnd w:id="0"/>
      <w:bookmarkEnd w:id="1"/>
      <w:bookmarkEnd w:id="2"/>
      <w:bookmarkEnd w:id="3"/>
      <w:bookmarkEnd w:id="4"/>
    </w:p>
    <w:p w14:paraId="336FA268">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This study presents a multimodal feature</w:t>
      </w:r>
      <w:r>
        <w:rPr>
          <w:rFonts w:hint="default" w:ascii="Times New Roman" w:hAnsi="Times New Roman" w:eastAsia="宋体" w:cs="Times New Roman"/>
          <w:lang w:val="en-US" w:eastAsia="zh-CN"/>
        </w:rPr>
        <w:t>-</w:t>
      </w:r>
      <w:r>
        <w:rPr>
          <w:rFonts w:hint="default" w:ascii="Times New Roman" w:hAnsi="Times New Roman" w:eastAsia="宋体" w:cs="Times New Roman"/>
        </w:rPr>
        <w:t>fusion framework to effectively leverage complementary information from imaging and tabular data in small-sample clinical contexts,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addressing challenges such as data scarcity,</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 xml:space="preserve">modality imbalance, and cross-modal alignment. As shown in </w:t>
      </w:r>
      <w:r>
        <w:rPr>
          <w:rFonts w:hint="default" w:ascii="Times New Roman" w:hAnsi="Times New Roman" w:eastAsia="宋体" w:cs="Times New Roman"/>
          <w:b/>
          <w:bCs/>
        </w:rPr>
        <w:t>Fig</w:t>
      </w:r>
      <w:r>
        <w:rPr>
          <w:rFonts w:hint="default" w:ascii="Times New Roman" w:hAnsi="Times New Roman" w:eastAsia="宋体" w:cs="Times New Roman"/>
          <w:b/>
          <w:bCs/>
          <w:lang w:val="en-US" w:eastAsia="zh-CN"/>
        </w:rPr>
        <w:t xml:space="preserve"> </w:t>
      </w:r>
      <w:r>
        <w:rPr>
          <w:rFonts w:hint="default" w:ascii="Times New Roman" w:hAnsi="Times New Roman" w:eastAsia="宋体" w:cs="Times New Roman"/>
          <w:b/>
          <w:bCs/>
        </w:rPr>
        <w:t>3</w:t>
      </w:r>
      <w:r>
        <w:rPr>
          <w:rFonts w:hint="default" w:ascii="Times New Roman" w:hAnsi="Times New Roman" w:eastAsia="宋体" w:cs="Times New Roman"/>
        </w:rPr>
        <w:t>, visual features are extracted from the image branch using a pre</w:t>
      </w:r>
      <w:r>
        <w:rPr>
          <w:rFonts w:hint="default" w:ascii="Times New Roman" w:hAnsi="Times New Roman" w:eastAsia="宋体" w:cs="Times New Roman"/>
          <w:lang w:val="en-US" w:eastAsia="zh-CN"/>
        </w:rPr>
        <w:t>-</w:t>
      </w:r>
      <w:r>
        <w:rPr>
          <w:rFonts w:hint="default" w:ascii="Times New Roman" w:hAnsi="Times New Roman" w:eastAsia="宋体" w:cs="Times New Roman"/>
        </w:rPr>
        <w:t xml:space="preserve">trained </w:t>
      </w:r>
      <w:r>
        <w:rPr>
          <w:rFonts w:hint="default" w:ascii="Times New Roman" w:hAnsi="Times New Roman" w:eastAsia="宋体" w:cs="Times New Roman"/>
          <w:b/>
          <w:bCs/>
        </w:rPr>
        <w:t>ResNet-50</w:t>
      </w:r>
      <w:r>
        <w:rPr>
          <w:rFonts w:hint="default" w:ascii="Times New Roman" w:hAnsi="Times New Roman" w:eastAsia="宋体" w:cs="Times New Roman"/>
        </w:rPr>
        <w:t>,</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yielding 2048-dimensional representations, while structured features are obtained from the tabular branch via a multilayer perceptron encoder, resulting in 128-dimensional representations. These features are combined into a joint representation. Next, parallel sigmoid gating assigns dynamic weights to each modality, amplifying reliable signals and suppressing noise. The weighted high-dimensional vectors are compressed into 128-dimensional embeddings through a two-layer fully connected network with</w:t>
      </w:r>
      <w:r>
        <w:rPr>
          <w:rFonts w:hint="default" w:ascii="Times New Roman" w:hAnsi="Times New Roman" w:eastAsia="宋体" w:cs="Times New Roman"/>
          <w:b/>
          <w:bCs/>
        </w:rPr>
        <w:t xml:space="preserve"> batch normalization</w:t>
      </w:r>
      <w:r>
        <w:rPr>
          <w:rFonts w:hint="default" w:ascii="Times New Roman" w:hAnsi="Times New Roman" w:eastAsia="宋体" w:cs="Times New Roman"/>
        </w:rPr>
        <w:t xml:space="preserve">, </w:t>
      </w:r>
      <w:r>
        <w:rPr>
          <w:rFonts w:hint="default" w:ascii="Times New Roman" w:hAnsi="Times New Roman" w:eastAsia="宋体" w:cs="Times New Roman"/>
          <w:b/>
          <w:bCs/>
        </w:rPr>
        <w:t>LeakyReLU</w:t>
      </w:r>
      <w:r>
        <w:rPr>
          <w:rFonts w:hint="default" w:ascii="Times New Roman" w:hAnsi="Times New Roman" w:eastAsia="宋体" w:cs="Times New Roman"/>
        </w:rPr>
        <w:t xml:space="preserve"> activation, and </w:t>
      </w:r>
      <w:r>
        <w:rPr>
          <w:rFonts w:hint="default" w:ascii="Times New Roman" w:hAnsi="Times New Roman" w:eastAsia="宋体" w:cs="Times New Roman"/>
          <w:b/>
          <w:bCs/>
        </w:rPr>
        <w:t>dropout</w:t>
      </w:r>
      <w:r>
        <w:rPr>
          <w:rFonts w:hint="default" w:ascii="Times New Roman" w:hAnsi="Times New Roman" w:eastAsia="宋体" w:cs="Times New Roman"/>
        </w:rPr>
        <w:t xml:space="preserve">. Finally, </w:t>
      </w:r>
      <w:r>
        <w:rPr>
          <w:rFonts w:hint="default" w:ascii="Times New Roman" w:hAnsi="Times New Roman" w:eastAsia="宋体" w:cs="Times New Roman"/>
          <w:b/>
          <w:bCs/>
        </w:rPr>
        <w:t>L2 normalization</w:t>
      </w:r>
      <w:r>
        <w:rPr>
          <w:rFonts w:hint="default" w:ascii="Times New Roman" w:hAnsi="Times New Roman" w:eastAsia="宋体" w:cs="Times New Roman"/>
        </w:rPr>
        <w:t xml:space="preserve"> ensures compatibility with metric learning. In imbalanced postoperative AKI prediction tasks, this lightweight architecture improves sensitivity and generalization while avoiding complex attention mechanisms and extensive hyperparameter tuning.</w:t>
      </w:r>
    </w:p>
    <w:p w14:paraId="47042CAD">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Feature Extraction Module</w:t>
      </w:r>
    </w:p>
    <w:p w14:paraId="7CDB4519">
      <w:pPr>
        <w:spacing w:line="480" w:lineRule="auto"/>
        <w:ind w:firstLine="420" w:firstLineChars="0"/>
        <w:rPr>
          <w:rFonts w:hint="default" w:ascii="Times New Roman" w:hAnsi="Times New Roman" w:eastAsia="宋体" w:cs="Times New Roman"/>
          <w:color w:val="000000" w:themeColor="text1"/>
          <w:lang w:val="en-US" w:eastAsia="zh-CN"/>
          <w14:textFill>
            <w14:solidFill>
              <w14:schemeClr w14:val="tx1"/>
            </w14:solidFill>
          </w14:textFill>
        </w:rPr>
      </w:pPr>
      <w:r>
        <w:rPr>
          <w:rFonts w:hint="default" w:ascii="Times New Roman" w:hAnsi="Times New Roman" w:eastAsia="宋体" w:cs="Times New Roman"/>
          <w:color w:val="000000" w:themeColor="text1"/>
          <w:lang w:val="en-US" w:eastAsia="zh-CN"/>
          <w14:textFill>
            <w14:solidFill>
              <w14:schemeClr w14:val="tx1"/>
            </w14:solidFill>
          </w14:textFill>
        </w:rPr>
        <w:t>To integrate multimodal data, we use a dual-branch feature-extraction architecture.</w:t>
      </w:r>
    </w:p>
    <w:p w14:paraId="2E8C85D4">
      <w:pPr>
        <w:spacing w:line="480" w:lineRule="auto"/>
        <w:ind w:firstLine="420" w:firstLineChars="0"/>
        <w:rPr>
          <w:rFonts w:hint="default" w:ascii="Times New Roman" w:hAnsi="Times New Roman" w:eastAsia="宋体" w:cs="Times New Roman"/>
          <w:color w:val="000000" w:themeColor="text1"/>
          <w:lang w:val="en-US" w:eastAsia="zh-CN"/>
          <w14:textFill>
            <w14:solidFill>
              <w14:schemeClr w14:val="tx1"/>
            </w14:solidFill>
          </w14:textFill>
        </w:rPr>
      </w:pPr>
      <w:r>
        <w:rPr>
          <w:rFonts w:hint="default" w:ascii="Times New Roman" w:hAnsi="Times New Roman" w:eastAsia="宋体" w:cs="Times New Roman"/>
          <w:b/>
          <w:bCs/>
          <w:color w:val="000000" w:themeColor="text1"/>
          <w:lang w:val="en-US" w:eastAsia="zh-CN"/>
          <w14:textFill>
            <w14:solidFill>
              <w14:schemeClr w14:val="tx1"/>
            </w14:solidFill>
          </w14:textFill>
        </w:rPr>
        <w:t xml:space="preserve">Image feature encoder: </w:t>
      </w:r>
      <w:r>
        <w:rPr>
          <w:rFonts w:hint="default" w:ascii="Times New Roman" w:hAnsi="Times New Roman" w:eastAsia="宋体" w:cs="Times New Roman"/>
          <w:color w:val="000000" w:themeColor="text1"/>
          <w:lang w:val="en-US" w:eastAsia="zh-CN"/>
          <w14:textFill>
            <w14:solidFill>
              <w14:schemeClr w14:val="tx1"/>
            </w14:solidFill>
          </w14:textFill>
        </w:rPr>
        <w:t>A pre-trained ResNet-50 with YOLO-based ROI cropping provides high-level visual features while minimizing background interference; the design supports flexible fine-tuning for small-sample settings.</w:t>
      </w:r>
    </w:p>
    <w:p w14:paraId="715CC484">
      <w:pPr>
        <w:spacing w:line="480" w:lineRule="auto"/>
        <w:ind w:firstLine="420" w:firstLineChars="0"/>
        <w:rPr>
          <w:rFonts w:hint="default" w:ascii="Times New Roman" w:hAnsi="Times New Roman" w:eastAsia="宋体" w:cs="Times New Roman"/>
          <w:color w:val="000000" w:themeColor="text1"/>
          <w:lang w:val="en-US"/>
          <w14:textFill>
            <w14:solidFill>
              <w14:schemeClr w14:val="tx1"/>
            </w14:solidFill>
          </w14:textFill>
        </w:rPr>
      </w:pPr>
      <w:r>
        <w:rPr>
          <w:rFonts w:hint="default" w:ascii="Times New Roman" w:hAnsi="Times New Roman" w:eastAsia="宋体" w:cs="Times New Roman"/>
          <w:b/>
          <w:bCs/>
          <w:color w:val="000000" w:themeColor="text1"/>
          <w:lang w:val="en-US" w:eastAsia="zh-CN"/>
          <w14:textFill>
            <w14:solidFill>
              <w14:schemeClr w14:val="tx1"/>
            </w14:solidFill>
          </w14:textFill>
        </w:rPr>
        <w:t xml:space="preserve">Tabular feature encoder: </w:t>
      </w:r>
      <w:r>
        <w:rPr>
          <w:rFonts w:hint="default" w:ascii="Times New Roman" w:hAnsi="Times New Roman" w:eastAsia="宋体" w:cs="Times New Roman"/>
          <w:color w:val="000000" w:themeColor="text1"/>
          <w:lang w:val="en-US" w:eastAsia="zh-CN"/>
          <w14:textFill>
            <w14:solidFill>
              <w14:schemeClr w14:val="tx1"/>
            </w14:solidFill>
          </w14:textFill>
        </w:rPr>
        <w:t>A shallow MLP maps structured clinical variables into a compact representation with ReLU activations and dropout for better generalization. Implementation details are provided in</w:t>
      </w:r>
      <w:r>
        <w:rPr>
          <w:rFonts w:hint="default" w:ascii="Times New Roman" w:hAnsi="Times New Roman" w:eastAsia="宋体" w:cs="Times New Roman"/>
          <w:b/>
          <w:bCs/>
          <w:color w:val="000000" w:themeColor="text1"/>
          <w:lang w:val="en-US" w:eastAsia="zh-CN"/>
          <w14:textFill>
            <w14:solidFill>
              <w14:schemeClr w14:val="tx1"/>
            </w14:solidFill>
          </w14:textFill>
        </w:rPr>
        <w:t xml:space="preserve"> Supporting information (S3 Appendix. Detailed Design of the Feature Extraction Module).</w:t>
      </w:r>
    </w:p>
    <w:p w14:paraId="20EAEC18">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Dynamic Gated Fusion and Dimensionality Reduction</w:t>
      </w:r>
    </w:p>
    <w:p w14:paraId="7C844F4F">
      <w:pPr>
        <w:spacing w:line="480" w:lineRule="auto"/>
        <w:ind w:firstLine="420"/>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To fuse modalities, we adopt </w:t>
      </w:r>
      <w:r>
        <w:rPr>
          <w:rFonts w:hint="default" w:ascii="Times New Roman" w:hAnsi="Times New Roman" w:eastAsia="宋体" w:cs="Times New Roman"/>
          <w:b/>
          <w:bCs/>
          <w:color w:val="000000" w:themeColor="text1"/>
          <w14:textFill>
            <w14:solidFill>
              <w14:schemeClr w14:val="tx1"/>
            </w14:solidFill>
          </w14:textFill>
        </w:rPr>
        <w:t>sample-wise sigmoid gating</w:t>
      </w:r>
      <w:r>
        <w:rPr>
          <w:rFonts w:hint="default" w:ascii="Times New Roman" w:hAnsi="Times New Roman" w:eastAsia="宋体" w:cs="Times New Roman"/>
          <w:color w:val="000000" w:themeColor="text1"/>
          <w14:textFill>
            <w14:solidFill>
              <w14:schemeClr w14:val="tx1"/>
            </w14:solidFill>
          </w14:textFill>
        </w:rPr>
        <w:t xml:space="preserve"> that independently weights each modality, avoiding the sum-to-one competition of softmax-based attention. Informative modalities can thus be jointly amplified, while unreliable inputs are automatically down-weighted. The gated representation is then passed through a </w:t>
      </w:r>
      <w:r>
        <w:rPr>
          <w:rFonts w:hint="default" w:ascii="Times New Roman" w:hAnsi="Times New Roman" w:eastAsia="宋体" w:cs="Times New Roman"/>
          <w:b/>
          <w:bCs/>
          <w:color w:val="000000" w:themeColor="text1"/>
          <w14:textFill>
            <w14:solidFill>
              <w14:schemeClr w14:val="tx1"/>
            </w14:solidFill>
          </w14:textFill>
        </w:rPr>
        <w:t>lightweight two-layer projection</w:t>
      </w:r>
      <w:r>
        <w:rPr>
          <w:rFonts w:hint="default" w:ascii="Times New Roman" w:hAnsi="Times New Roman" w:eastAsia="宋体" w:cs="Times New Roman"/>
          <w:color w:val="000000" w:themeColor="text1"/>
          <w14:textFill>
            <w14:solidFill>
              <w14:schemeClr w14:val="tx1"/>
            </w14:solidFill>
          </w14:textFill>
        </w:rPr>
        <w:t xml:space="preserve"> to obtain a </w:t>
      </w:r>
      <w:r>
        <w:rPr>
          <w:rFonts w:hint="default" w:ascii="Times New Roman" w:hAnsi="Times New Roman" w:eastAsia="宋体" w:cs="Times New Roman"/>
          <w:b/>
          <w:bCs/>
          <w:color w:val="000000" w:themeColor="text1"/>
          <w14:textFill>
            <w14:solidFill>
              <w14:schemeClr w14:val="tx1"/>
            </w14:solidFill>
          </w14:textFill>
        </w:rPr>
        <w:t>compact 128-dimensional embedding</w:t>
      </w:r>
      <w:r>
        <w:rPr>
          <w:rFonts w:hint="default" w:ascii="Times New Roman" w:hAnsi="Times New Roman" w:eastAsia="宋体" w:cs="Times New Roman"/>
          <w:color w:val="000000" w:themeColor="text1"/>
          <w14:textFill>
            <w14:solidFill>
              <w14:schemeClr w14:val="tx1"/>
            </w14:solidFill>
          </w14:textFill>
        </w:rPr>
        <w:t xml:space="preserve">, followed by </w:t>
      </w:r>
      <w:r>
        <w:rPr>
          <w:rFonts w:hint="default" w:ascii="Times New Roman" w:hAnsi="Times New Roman" w:eastAsia="宋体" w:cs="Times New Roman"/>
          <w:b/>
          <w:bCs/>
          <w:color w:val="000000" w:themeColor="text1"/>
          <w14:textFill>
            <w14:solidFill>
              <w14:schemeClr w14:val="tx1"/>
            </w14:solidFill>
          </w14:textFill>
        </w:rPr>
        <w:t>L2 normalization</w:t>
      </w:r>
      <w:r>
        <w:rPr>
          <w:rFonts w:hint="default" w:ascii="Times New Roman" w:hAnsi="Times New Roman" w:eastAsia="宋体" w:cs="Times New Roman"/>
          <w:color w:val="000000" w:themeColor="text1"/>
          <w14:textFill>
            <w14:solidFill>
              <w14:schemeClr w14:val="tx1"/>
            </w14:solidFill>
          </w14:textFill>
        </w:rPr>
        <w:t xml:space="preserve"> to map embeddings onto the unit sphere and harmonize Euclidean and cosine metrics. In Prototypical Networks, class prototypes are obtained by calculating the simple mean of normalized embedded vectors from the support set, and the normalized prototypes also lie on the unit sphere, ensuring consistency and interpretability in distance metrics between classes</w:t>
      </w:r>
      <w:r>
        <w:rPr>
          <w:rFonts w:hint="default" w:ascii="Times New Roman" w:hAnsi="Times New Roman" w:eastAsia="宋体" w:cs="Times New Roman"/>
          <w:color w:val="000000" w:themeColor="text1"/>
          <w:lang w:val="en-US" w:eastAsia="zh-CN"/>
          <w14:textFill>
            <w14:solidFill>
              <w14:schemeClr w14:val="tx1"/>
            </w14:solidFill>
          </w14:textFill>
        </w:rPr>
        <w:t xml:space="preserve"> </w:t>
      </w:r>
      <w:r>
        <w:rPr>
          <w:rFonts w:hint="default" w:ascii="Times New Roman" w:hAnsi="Times New Roman" w:eastAsia="宋体" w:cs="Times New Roman"/>
          <w:color w:val="000000" w:themeColor="text1"/>
          <w:lang w:val="en-US"/>
          <w14:textFill>
            <w14:solidFill>
              <w14:schemeClr w14:val="tx1"/>
            </w14:solidFill>
          </w14:textFill>
        </w:rPr>
        <w:fldChar w:fldCharType="begin"/>
      </w:r>
      <w:r>
        <w:rPr>
          <w:rFonts w:hint="default" w:ascii="Times New Roman" w:hAnsi="Times New Roman" w:eastAsia="宋体" w:cs="Times New Roman"/>
          <w:color w:val="000000" w:themeColor="text1"/>
          <w:lang w:val="en-US"/>
          <w14:textFill>
            <w14:solidFill>
              <w14:schemeClr w14:val="tx1"/>
            </w14:solidFill>
          </w14:textFill>
        </w:rPr>
        <w:instrText xml:space="preserve"> REF _Ref1311 \r \h </w:instrText>
      </w:r>
      <w:r>
        <w:rPr>
          <w:rFonts w:hint="default" w:ascii="Times New Roman" w:hAnsi="Times New Roman" w:eastAsia="宋体" w:cs="Times New Roman"/>
          <w:color w:val="000000" w:themeColor="text1"/>
          <w:lang w:val="en-US"/>
          <w14:textFill>
            <w14:solidFill>
              <w14:schemeClr w14:val="tx1"/>
            </w14:solidFill>
          </w14:textFill>
        </w:rPr>
        <w:fldChar w:fldCharType="separate"/>
      </w:r>
      <w:r>
        <w:rPr>
          <w:rFonts w:hint="default" w:ascii="Times New Roman" w:hAnsi="Times New Roman" w:eastAsia="宋体" w:cs="Times New Roman"/>
          <w:color w:val="000000" w:themeColor="text1"/>
          <w:lang w:val="en-US"/>
          <w14:textFill>
            <w14:solidFill>
              <w14:schemeClr w14:val="tx1"/>
            </w14:solidFill>
          </w14:textFill>
        </w:rPr>
        <w:t>[39]</w:t>
      </w:r>
      <w:r>
        <w:rPr>
          <w:rFonts w:hint="default" w:ascii="Times New Roman" w:hAnsi="Times New Roman" w:eastAsia="宋体" w:cs="Times New Roman"/>
          <w:color w:val="000000" w:themeColor="text1"/>
          <w:lang w:val="en-US"/>
          <w14:textFill>
            <w14:solidFill>
              <w14:schemeClr w14:val="tx1"/>
            </w14:solidFill>
          </w14:textFill>
        </w:rPr>
        <w:fldChar w:fldCharType="end"/>
      </w:r>
      <w:r>
        <w:rPr>
          <w:rFonts w:hint="default" w:ascii="Times New Roman" w:hAnsi="Times New Roman" w:eastAsia="宋体" w:cs="Times New Roman"/>
          <w:color w:val="000000" w:themeColor="text1"/>
          <w14:textFill>
            <w14:solidFill>
              <w14:schemeClr w14:val="tx1"/>
            </w14:solidFill>
          </w14:textFill>
        </w:rPr>
        <w:t xml:space="preserve">. This design requires no extra hyperparameter tuning and improves sensitivity and generalization under small-sample and class-imbalanced conditions (Detailed equations and network parameters are provided in </w:t>
      </w:r>
      <w:r>
        <w:rPr>
          <w:rFonts w:hint="default" w:ascii="Times New Roman" w:hAnsi="Times New Roman" w:eastAsia="宋体" w:cs="Times New Roman"/>
          <w:b/>
          <w:bCs/>
          <w:color w:val="000000" w:themeColor="text1"/>
          <w:lang w:val="en-US" w:eastAsia="zh-CN"/>
          <w14:textFill>
            <w14:solidFill>
              <w14:schemeClr w14:val="tx1"/>
            </w14:solidFill>
          </w14:textFill>
        </w:rPr>
        <w:t>Supporting information (S4 Appendix. Dynamic Gated Fusion Mechanism and S5 Appendix. Multimodal Feature Fusion and Dimensionality Reduction</w:t>
      </w:r>
      <w:r>
        <w:rPr>
          <w:rFonts w:hint="default" w:ascii="Times New Roman" w:hAnsi="Times New Roman" w:eastAsia="宋体" w:cs="Times New Roman"/>
          <w:b/>
          <w:bCs/>
          <w:color w:val="000000" w:themeColor="text1"/>
          <w14:textFill>
            <w14:solidFill>
              <w14:schemeClr w14:val="tx1"/>
            </w14:solidFill>
          </w14:textFill>
        </w:rPr>
        <w:t>)</w:t>
      </w:r>
      <w:r>
        <w:rPr>
          <w:rFonts w:hint="default" w:ascii="Times New Roman" w:hAnsi="Times New Roman" w:eastAsia="宋体" w:cs="Times New Roman"/>
          <w:b/>
          <w:bCs/>
          <w:color w:val="000000" w:themeColor="text1"/>
          <w:lang w:val="en-US" w:eastAsia="zh-CN"/>
          <w14:textFill>
            <w14:solidFill>
              <w14:schemeClr w14:val="tx1"/>
            </w14:solidFill>
          </w14:textFill>
        </w:rPr>
        <w:t>.</w:t>
      </w:r>
    </w:p>
    <w:p w14:paraId="29CED98C">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Few-Shot Learning Strategy</w:t>
      </w:r>
    </w:p>
    <w:p w14:paraId="270C82C0">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Multi-Prototype Construction</w:t>
      </w:r>
    </w:p>
    <w:p w14:paraId="1786B442">
      <w:pPr>
        <w:spacing w:line="480" w:lineRule="auto"/>
        <w:ind w:firstLine="420"/>
        <w:rPr>
          <w:rFonts w:hint="default" w:ascii="Times New Roman" w:hAnsi="Times New Roman" w:eastAsia="宋体" w:cs="Times New Roman"/>
          <w:lang w:val="en-US" w:eastAsia="zh-CN"/>
        </w:rPr>
      </w:pPr>
      <w:r>
        <w:rPr>
          <w:rFonts w:hint="default" w:ascii="Times New Roman" w:hAnsi="Times New Roman" w:eastAsia="宋体" w:cs="Times New Roman"/>
        </w:rPr>
        <w:t xml:space="preserve">In classical </w:t>
      </w:r>
      <w:r>
        <w:rPr>
          <w:rFonts w:hint="default" w:ascii="Times New Roman" w:hAnsi="Times New Roman" w:eastAsia="宋体" w:cs="Times New Roman"/>
          <w:b/>
          <w:bCs/>
        </w:rPr>
        <w:t>Prototypical Networks (PN)</w:t>
      </w:r>
      <w:r>
        <w:rPr>
          <w:rFonts w:hint="default" w:ascii="Times New Roman" w:hAnsi="Times New Roman" w:eastAsia="宋体" w:cs="Times New Roman"/>
          <w:b/>
          <w:bCs/>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_Ref1311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[39]</w:t>
      </w:r>
      <w:r>
        <w:rPr>
          <w:rFonts w:hint="default" w:ascii="Times New Roman" w:hAnsi="Times New Roman" w:eastAsia="宋体" w:cs="Times New Roman"/>
        </w:rPr>
        <w:fldChar w:fldCharType="end"/>
      </w:r>
      <w:r>
        <w:rPr>
          <w:rFonts w:hint="default" w:ascii="Times New Roman" w:hAnsi="Times New Roman" w:eastAsia="宋体" w:cs="Times New Roman"/>
        </w:rPr>
        <w:t>,</w:t>
      </w:r>
      <w:r>
        <w:rPr>
          <w:rFonts w:hint="default" w:ascii="Times New Roman" w:hAnsi="Times New Roman" w:eastAsia="宋体" w:cs="Times New Roman"/>
          <w:lang w:val="en-US" w:eastAsia="zh-CN"/>
        </w:rPr>
        <w:t xml:space="preserve"> each class is represented by a single prototype computed as the mean of support embeddings, which may be insufficient to capture </w:t>
      </w:r>
      <w:r>
        <w:rPr>
          <w:rFonts w:hint="default" w:ascii="Times New Roman" w:hAnsi="Times New Roman" w:eastAsia="宋体" w:cs="Times New Roman"/>
          <w:b/>
          <w:bCs/>
          <w:lang w:val="en-US" w:eastAsia="zh-CN"/>
        </w:rPr>
        <w:t>intra-class multimodality</w:t>
      </w:r>
      <w:r>
        <w:rPr>
          <w:rFonts w:hint="default" w:ascii="Times New Roman" w:hAnsi="Times New Roman" w:eastAsia="宋体" w:cs="Times New Roman"/>
          <w:lang w:val="en-US" w:eastAsia="zh-CN"/>
        </w:rPr>
        <w:t xml:space="preserve"> and subcategory structure in real-world data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REF _Ref1347 \r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[40]</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 xml:space="preserve">. To address this, we adopt a </w:t>
      </w:r>
      <w:r>
        <w:rPr>
          <w:rFonts w:hint="default" w:ascii="Times New Roman" w:hAnsi="Times New Roman" w:eastAsia="宋体" w:cs="Times New Roman"/>
          <w:b/>
          <w:bCs/>
          <w:lang w:val="en-US" w:eastAsia="zh-CN"/>
        </w:rPr>
        <w:t>KMeans-based multi-prototype</w:t>
      </w:r>
      <w:r>
        <w:rPr>
          <w:rFonts w:hint="default" w:ascii="Times New Roman" w:hAnsi="Times New Roman" w:eastAsia="宋体" w:cs="Times New Roman"/>
          <w:lang w:val="en-US" w:eastAsia="zh-CN"/>
        </w:rPr>
        <w:t xml:space="preserve"> scheme: support-set embeddings of the same class are aggregated into multiple prototypes that jointly describe the class distribution </w:t>
      </w:r>
      <w:r>
        <w:rPr>
          <w:rFonts w:hint="default" w:ascii="Times New Roman" w:hAnsi="Times New Roman" w:eastAsia="宋体" w:cs="Times New Roman"/>
          <w:b/>
          <w:bCs/>
          <w:lang w:val="en-US" w:eastAsia="zh-CN"/>
        </w:rPr>
        <w:t>(Fig 4)</w:t>
      </w:r>
      <w:r>
        <w:rPr>
          <w:rFonts w:hint="default" w:ascii="Times New Roman" w:hAnsi="Times New Roman" w:eastAsia="宋体" w:cs="Times New Roman"/>
          <w:lang w:val="en-US" w:eastAsia="zh-CN"/>
        </w:rPr>
        <w:t xml:space="preserve">. </w:t>
      </w:r>
    </w:p>
    <w:p w14:paraId="3908D28D">
      <w:pPr>
        <w:spacing w:line="480" w:lineRule="auto"/>
        <w:ind w:firstLine="420"/>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eastAsia="宋体" w:cs="Times New Roman"/>
          <w:lang w:val="en-US" w:eastAsia="zh-CN"/>
        </w:rPr>
        <w:t xml:space="preserve">The clustering step is used </w:t>
      </w:r>
      <w:r>
        <w:rPr>
          <w:rFonts w:hint="default" w:ascii="Times New Roman" w:hAnsi="Times New Roman" w:eastAsia="宋体" w:cs="Times New Roman"/>
          <w:b/>
          <w:bCs/>
          <w:lang w:val="en-US" w:eastAsia="zh-CN"/>
        </w:rPr>
        <w:t>offline</w:t>
      </w:r>
      <w:r>
        <w:rPr>
          <w:rFonts w:hint="default" w:ascii="Times New Roman" w:hAnsi="Times New Roman" w:eastAsia="宋体" w:cs="Times New Roman"/>
          <w:lang w:val="en-US" w:eastAsia="zh-CN"/>
        </w:rPr>
        <w:t xml:space="preserve"> as an unsupervised aid and does </w:t>
      </w:r>
      <w:r>
        <w:rPr>
          <w:rFonts w:hint="default" w:ascii="Times New Roman" w:hAnsi="Times New Roman" w:eastAsia="宋体" w:cs="Times New Roman"/>
          <w:b/>
          <w:bCs/>
          <w:lang w:val="en-US" w:eastAsia="zh-CN"/>
        </w:rPr>
        <w:t>not</w:t>
      </w:r>
      <w:r>
        <w:rPr>
          <w:rFonts w:hint="default" w:ascii="Times New Roman" w:hAnsi="Times New Roman" w:eastAsia="宋体" w:cs="Times New Roman"/>
          <w:lang w:val="en-US" w:eastAsia="zh-CN"/>
        </w:rPr>
        <w:t xml:space="preserve"> interfe</w:t>
      </w:r>
      <w:bookmarkStart w:id="69" w:name="_GoBack"/>
      <w:bookmarkEnd w:id="69"/>
      <w:r>
        <w:rPr>
          <w:rFonts w:hint="default" w:ascii="Times New Roman" w:hAnsi="Times New Roman" w:eastAsia="宋体" w:cs="Times New Roman"/>
          <w:lang w:val="en-US" w:eastAsia="zh-CN"/>
        </w:rPr>
        <w:t xml:space="preserve">re with the supervised training objective; it enriches class structure and improves the stability and accuracy of metric-based inference. For categories with extremely few samples, we apply a </w:t>
      </w:r>
      <w:r>
        <w:rPr>
          <w:rFonts w:hint="default" w:ascii="Times New Roman" w:hAnsi="Times New Roman" w:eastAsia="宋体" w:cs="Times New Roman"/>
          <w:b/>
          <w:bCs/>
          <w:lang w:val="en-US" w:eastAsia="zh-CN"/>
        </w:rPr>
        <w:t>mean-based compensation</w:t>
      </w:r>
      <w:r>
        <w:rPr>
          <w:rFonts w:hint="default" w:ascii="Times New Roman" w:hAnsi="Times New Roman" w:eastAsia="宋体" w:cs="Times New Roman"/>
          <w:lang w:val="en-US" w:eastAsia="zh-CN"/>
        </w:rPr>
        <w:t xml:space="preserve"> to maintain a </w:t>
      </w:r>
      <w:r>
        <w:rPr>
          <w:rFonts w:hint="default" w:ascii="Times New Roman" w:hAnsi="Times New Roman" w:eastAsia="宋体" w:cs="Times New Roman"/>
          <w:b/>
          <w:bCs/>
          <w:lang w:val="en-US" w:eastAsia="zh-CN"/>
        </w:rPr>
        <w:t>fixed number</w:t>
      </w:r>
      <w:r>
        <w:rPr>
          <w:rFonts w:hint="default" w:ascii="Times New Roman" w:hAnsi="Times New Roman" w:eastAsia="宋体" w:cs="Times New Roman"/>
          <w:lang w:val="en-US" w:eastAsia="zh-CN"/>
        </w:rPr>
        <w:t xml:space="preserve"> of prototypes per class, ensuring consistent interfaces during inference. Prior studies also report benefits of multi-prototype representations in settings with pronounced intra-class variation—for example, Zhu et al.’s </w:t>
      </w:r>
      <w:r>
        <w:rPr>
          <w:rFonts w:hint="default" w:ascii="Times New Roman" w:hAnsi="Times New Roman" w:eastAsia="宋体" w:cs="Times New Roman"/>
          <w:b/>
          <w:bCs/>
          <w:lang w:val="en-US" w:eastAsia="zh-CN"/>
        </w:rPr>
        <w:t xml:space="preserve">Multi-Prototype Prototypical Network </w:t>
      </w:r>
      <w:r>
        <w:rPr>
          <w:rFonts w:hint="default" w:ascii="Times New Roman" w:hAnsi="Times New Roman" w:eastAsia="宋体" w:cs="Times New Roman"/>
          <w:lang w:val="en-US" w:eastAsia="zh-CN"/>
        </w:rPr>
        <w:t xml:space="preserve">achieves strong results in fine-grained recognition—supporting our design choice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REF _Ref1396 \r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[41]</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 xml:space="preserve">. Full construction details are provided in </w:t>
      </w:r>
      <w:r>
        <w:rPr>
          <w:rFonts w:hint="default" w:ascii="Times New Roman" w:hAnsi="Times New Roman" w:eastAsia="宋体" w:cs="Times New Roman"/>
          <w:b/>
          <w:bCs/>
          <w:color w:val="000000" w:themeColor="text1"/>
          <w:lang w:val="en-US" w:eastAsia="zh-CN"/>
          <w14:textFill>
            <w14:solidFill>
              <w14:schemeClr w14:val="tx1"/>
            </w14:solidFill>
          </w14:textFill>
        </w:rPr>
        <w:t>Supporting information (S6 Appendix. Few-Shot Learning Strategy).</w:t>
      </w:r>
    </w:p>
    <w:p w14:paraId="52DD4D74">
      <w:pPr>
        <w:numPr>
          <w:ilvl w:val="2"/>
          <w:numId w:val="2"/>
        </w:numPr>
        <w:spacing w:line="480" w:lineRule="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Prototype Normalization and Minimum-Distance Selection</w:t>
      </w:r>
    </w:p>
    <w:p w14:paraId="5535708C">
      <w:pPr>
        <w:spacing w:line="480" w:lineRule="auto"/>
        <w:ind w:firstLine="420"/>
        <w:rPr>
          <w:rFonts w:hint="default" w:ascii="Times New Roman" w:hAnsi="Times New Roman" w:eastAsia="宋体" w:cs="Times New Roman"/>
          <w:b/>
          <w:bCs/>
          <w:color w:val="000000" w:themeColor="text1"/>
          <w:lang w:val="en-US"/>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To eliminate scale differences and ensure a consistent metric space, </w:t>
      </w:r>
      <w:r>
        <w:rPr>
          <w:rFonts w:hint="default" w:ascii="Times New Roman" w:hAnsi="Times New Roman" w:eastAsia="宋体" w:cs="Times New Roman"/>
          <w:b/>
          <w:bCs/>
          <w:color w:val="000000" w:themeColor="text1"/>
          <w14:textFill>
            <w14:solidFill>
              <w14:schemeClr w14:val="tx1"/>
            </w14:solidFill>
          </w14:textFill>
        </w:rPr>
        <w:t>L2 normalization</w:t>
      </w:r>
      <w:r>
        <w:rPr>
          <w:rFonts w:hint="default" w:ascii="Times New Roman" w:hAnsi="Times New Roman" w:eastAsia="宋体" w:cs="Times New Roman"/>
          <w:color w:val="000000" w:themeColor="text1"/>
          <w14:textFill>
            <w14:solidFill>
              <w14:schemeClr w14:val="tx1"/>
            </w14:solidFill>
          </w14:textFill>
        </w:rPr>
        <w:t xml:space="preserve"> is applied to all prototypes after construction. During classification, a query’s similarity to a class is defined as the </w:t>
      </w:r>
      <w:r>
        <w:rPr>
          <w:rFonts w:hint="default" w:ascii="Times New Roman" w:hAnsi="Times New Roman" w:eastAsia="宋体" w:cs="Times New Roman"/>
          <w:b/>
          <w:bCs/>
          <w:color w:val="000000" w:themeColor="text1"/>
          <w14:textFill>
            <w14:solidFill>
              <w14:schemeClr w14:val="tx1"/>
            </w14:solidFill>
          </w14:textFill>
        </w:rPr>
        <w:t>minimum Euclidean distance</w:t>
      </w:r>
      <w:r>
        <w:rPr>
          <w:rFonts w:hint="default" w:ascii="Times New Roman" w:hAnsi="Times New Roman" w:eastAsia="宋体" w:cs="Times New Roman"/>
          <w:color w:val="000000" w:themeColor="text1"/>
          <w14:textFill>
            <w14:solidFill>
              <w14:schemeClr w14:val="tx1"/>
            </w14:solidFill>
          </w14:textFill>
        </w:rPr>
        <w:t xml:space="preserve"> to that class’s prototypes, aligning the query with its </w:t>
      </w:r>
      <w:r>
        <w:rPr>
          <w:rFonts w:hint="default" w:ascii="Times New Roman" w:hAnsi="Times New Roman" w:eastAsia="宋体" w:cs="Times New Roman"/>
          <w:b/>
          <w:bCs/>
          <w:color w:val="000000" w:themeColor="text1"/>
          <w14:textFill>
            <w14:solidFill>
              <w14:schemeClr w14:val="tx1"/>
            </w14:solidFill>
          </w14:textFill>
        </w:rPr>
        <w:t>nearest local pattern</w:t>
      </w:r>
      <w:r>
        <w:rPr>
          <w:rFonts w:hint="default" w:ascii="Times New Roman" w:hAnsi="Times New Roman" w:eastAsia="宋体" w:cs="Times New Roman"/>
          <w:color w:val="000000" w:themeColor="text1"/>
          <w14:textFill>
            <w14:solidFill>
              <w14:schemeClr w14:val="tx1"/>
            </w14:solidFill>
          </w14:textFill>
        </w:rPr>
        <w:t xml:space="preserve"> within the class and thereby improving recognition accuracy and robustness</w:t>
      </w:r>
      <w:r>
        <w:rPr>
          <w:rFonts w:hint="default" w:ascii="Times New Roman" w:hAnsi="Times New Roman" w:eastAsia="宋体" w:cs="Times New Roman"/>
          <w:color w:val="000000" w:themeColor="text1"/>
          <w:lang w:val="en-US" w:eastAsia="zh-CN"/>
          <w14:textFill>
            <w14:solidFill>
              <w14:schemeClr w14:val="tx1"/>
            </w14:solidFill>
          </w14:textFill>
        </w:rPr>
        <w:t xml:space="preserve"> </w:t>
      </w:r>
      <w:r>
        <w:rPr>
          <w:rFonts w:hint="default" w:ascii="Times New Roman" w:hAnsi="Times New Roman" w:eastAsia="宋体" w:cs="Times New Roman"/>
          <w:b/>
          <w:bCs/>
          <w:color w:val="000000" w:themeColor="text1"/>
          <w:lang w:val="en-US" w:eastAsia="zh-CN"/>
          <w14:textFill>
            <w14:solidFill>
              <w14:schemeClr w14:val="tx1"/>
            </w14:solidFill>
          </w14:textFill>
        </w:rPr>
        <w:t>(Supporting information: Details are available in S6 Appendix. Few-Shot Learning Strategy).</w:t>
      </w:r>
    </w:p>
    <w:p w14:paraId="20E070CA">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Compared to a single-prototype strategy, multi-prototype approaches can more finely capture intra-class multimodal characteristics, with particularly pronounced benefits in medical few-shot scenarios. This aligns with Tang et al.’s Adaptive Prototype Learning (APL), which demonstrated higher accuracy and generalization in remote-sensing image classification through a multi-prototype design</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_Ref1436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[42]</w:t>
      </w:r>
      <w:r>
        <w:rPr>
          <w:rFonts w:hint="default" w:ascii="Times New Roman" w:hAnsi="Times New Roman" w:eastAsia="宋体" w:cs="Times New Roman"/>
        </w:rPr>
        <w:fldChar w:fldCharType="end"/>
      </w:r>
      <w:r>
        <w:rPr>
          <w:rFonts w:hint="default" w:ascii="Times New Roman" w:hAnsi="Times New Roman" w:eastAsia="宋体" w:cs="Times New Roman"/>
        </w:rPr>
        <w:t xml:space="preserve">. </w:t>
      </w:r>
      <w:r>
        <w:rPr>
          <w:rFonts w:hint="default" w:ascii="Times New Roman" w:hAnsi="Times New Roman" w:eastAsia="宋体" w:cs="Times New Roman"/>
          <w:b/>
          <w:bCs/>
        </w:rPr>
        <w:t xml:space="preserve">Table 1 </w:t>
      </w:r>
      <w:r>
        <w:rPr>
          <w:rFonts w:hint="default" w:ascii="Times New Roman" w:hAnsi="Times New Roman" w:eastAsia="宋体" w:cs="Times New Roman"/>
        </w:rPr>
        <w:t>summarizes the core differences and advantages between traditional single-prototype methods and our proposed multi-prototype approach.</w:t>
      </w:r>
    </w:p>
    <w:tbl>
      <w:tblPr>
        <w:tblStyle w:val="15"/>
        <w:tblW w:w="872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53"/>
        <w:gridCol w:w="1171"/>
        <w:gridCol w:w="1919"/>
        <w:gridCol w:w="1498"/>
        <w:gridCol w:w="2085"/>
      </w:tblGrid>
      <w:tr w14:paraId="1F9651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98" w:hRule="atLeast"/>
          <w:jc w:val="center"/>
        </w:trPr>
        <w:tc>
          <w:tcPr>
            <w:tcW w:w="2053" w:type="dxa"/>
            <w:tcBorders>
              <w:bottom w:val="single" w:color="auto" w:sz="6" w:space="0"/>
            </w:tcBorders>
          </w:tcPr>
          <w:p w14:paraId="67C8F432">
            <w:pPr>
              <w:spacing w:line="48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Method</w:t>
            </w:r>
          </w:p>
        </w:tc>
        <w:tc>
          <w:tcPr>
            <w:tcW w:w="1171" w:type="dxa"/>
            <w:tcBorders>
              <w:bottom w:val="single" w:color="auto" w:sz="6" w:space="0"/>
            </w:tcBorders>
          </w:tcPr>
          <w:p w14:paraId="21C87CA8">
            <w:pPr>
              <w:spacing w:line="48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Number of Prototypes per Class</w:t>
            </w:r>
          </w:p>
        </w:tc>
        <w:tc>
          <w:tcPr>
            <w:tcW w:w="1919" w:type="dxa"/>
            <w:tcBorders>
              <w:bottom w:val="single" w:color="auto" w:sz="6" w:space="0"/>
            </w:tcBorders>
          </w:tcPr>
          <w:p w14:paraId="383911AB">
            <w:pPr>
              <w:spacing w:line="48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Intra-class Feature Representation Ability</w:t>
            </w:r>
          </w:p>
        </w:tc>
        <w:tc>
          <w:tcPr>
            <w:tcW w:w="1498" w:type="dxa"/>
            <w:tcBorders>
              <w:bottom w:val="single" w:color="auto" w:sz="6" w:space="0"/>
            </w:tcBorders>
          </w:tcPr>
          <w:p w14:paraId="2D3C2FEE">
            <w:pPr>
              <w:spacing w:line="48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Computational Complexity</w:t>
            </w:r>
          </w:p>
        </w:tc>
        <w:tc>
          <w:tcPr>
            <w:tcW w:w="2085" w:type="dxa"/>
            <w:tcBorders>
              <w:bottom w:val="single" w:color="auto" w:sz="6" w:space="0"/>
            </w:tcBorders>
          </w:tcPr>
          <w:p w14:paraId="20F8DC61">
            <w:pPr>
              <w:spacing w:line="480" w:lineRule="auto"/>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Handling Method for Insufficient Samples</w:t>
            </w:r>
          </w:p>
        </w:tc>
      </w:tr>
      <w:tr w14:paraId="378E80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2053" w:type="dxa"/>
            <w:tcBorders>
              <w:top w:val="single" w:color="auto" w:sz="6" w:space="0"/>
              <w:tl2br w:val="nil"/>
              <w:tr2bl w:val="nil"/>
            </w:tcBorders>
          </w:tcPr>
          <w:p w14:paraId="40A7DA04">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b/>
                <w:bCs/>
                <w:color w:val="000000" w:themeColor="text1"/>
                <w:sz w:val="15"/>
                <w:szCs w:val="15"/>
                <w14:textFill>
                  <w14:solidFill>
                    <w14:schemeClr w14:val="tx1"/>
                  </w14:solidFill>
                </w14:textFill>
              </w:rPr>
              <w:t>Prototypical Networks</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begin"/>
            </w:r>
            <w:r>
              <w:rPr>
                <w:rFonts w:hint="default" w:ascii="Times New Roman" w:hAnsi="Times New Roman" w:eastAsia="宋体" w:cs="Times New Roman"/>
                <w:b/>
                <w:bCs/>
                <w:color w:val="000000" w:themeColor="text1"/>
                <w:sz w:val="15"/>
                <w:szCs w:val="15"/>
                <w14:textFill>
                  <w14:solidFill>
                    <w14:schemeClr w14:val="tx1"/>
                  </w14:solidFill>
                </w14:textFill>
              </w:rPr>
              <w:instrText xml:space="preserve"> REF _Ref1347 \r \h  \* MERGEFORMAT </w:instrText>
            </w:r>
            <w:r>
              <w:rPr>
                <w:rFonts w:hint="default" w:ascii="Times New Roman" w:hAnsi="Times New Roman" w:eastAsia="宋体" w:cs="Times New Roman"/>
                <w:b/>
                <w:bCs/>
                <w:color w:val="000000" w:themeColor="text1"/>
                <w:sz w:val="15"/>
                <w:szCs w:val="15"/>
                <w14:textFill>
                  <w14:solidFill>
                    <w14:schemeClr w14:val="tx1"/>
                  </w14:solidFill>
                </w14:textFill>
              </w:rPr>
              <w:fldChar w:fldCharType="separate"/>
            </w:r>
            <w:r>
              <w:rPr>
                <w:rFonts w:hint="default" w:ascii="Times New Roman" w:hAnsi="Times New Roman" w:eastAsia="宋体" w:cs="Times New Roman"/>
                <w:b/>
                <w:bCs/>
                <w:color w:val="000000" w:themeColor="text1"/>
                <w:sz w:val="15"/>
                <w:szCs w:val="15"/>
                <w14:textFill>
                  <w14:solidFill>
                    <w14:schemeClr w14:val="tx1"/>
                  </w14:solidFill>
                </w14:textFill>
              </w:rPr>
              <w:t>[40]</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end"/>
            </w:r>
          </w:p>
        </w:tc>
        <w:tc>
          <w:tcPr>
            <w:tcW w:w="1171" w:type="dxa"/>
            <w:tcBorders>
              <w:top w:val="single" w:color="auto" w:sz="6" w:space="0"/>
              <w:tl2br w:val="nil"/>
              <w:tr2bl w:val="nil"/>
            </w:tcBorders>
          </w:tcPr>
          <w:p w14:paraId="2B6E96D6">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1</w:t>
            </w:r>
          </w:p>
        </w:tc>
        <w:tc>
          <w:tcPr>
            <w:tcW w:w="1919" w:type="dxa"/>
            <w:tcBorders>
              <w:top w:val="single" w:color="auto" w:sz="6" w:space="0"/>
              <w:tl2br w:val="nil"/>
              <w:tr2bl w:val="nil"/>
            </w:tcBorders>
          </w:tcPr>
          <w:p w14:paraId="639A5B17">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Low</w:t>
            </w:r>
          </w:p>
        </w:tc>
        <w:tc>
          <w:tcPr>
            <w:tcW w:w="1498" w:type="dxa"/>
            <w:tcBorders>
              <w:top w:val="single" w:color="auto" w:sz="6" w:space="0"/>
              <w:tl2br w:val="nil"/>
              <w:tr2bl w:val="nil"/>
            </w:tcBorders>
          </w:tcPr>
          <w:p w14:paraId="6EE8B191">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Low</w:t>
            </w:r>
          </w:p>
        </w:tc>
        <w:tc>
          <w:tcPr>
            <w:tcW w:w="2085" w:type="dxa"/>
            <w:tcBorders>
              <w:top w:val="single" w:color="auto" w:sz="6" w:space="0"/>
              <w:tl2br w:val="nil"/>
              <w:tr2bl w:val="nil"/>
            </w:tcBorders>
          </w:tcPr>
          <w:p w14:paraId="5F83C3D5">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None</w:t>
            </w:r>
          </w:p>
        </w:tc>
      </w:tr>
      <w:tr w14:paraId="7A2AF3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jc w:val="center"/>
        </w:trPr>
        <w:tc>
          <w:tcPr>
            <w:tcW w:w="2053" w:type="dxa"/>
            <w:tcBorders>
              <w:tl2br w:val="nil"/>
              <w:tr2bl w:val="nil"/>
            </w:tcBorders>
          </w:tcPr>
          <w:p w14:paraId="5098F8E5">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b/>
                <w:bCs/>
                <w:color w:val="000000" w:themeColor="text1"/>
                <w:sz w:val="15"/>
                <w:szCs w:val="15"/>
                <w14:textFill>
                  <w14:solidFill>
                    <w14:schemeClr w14:val="tx1"/>
                  </w14:solidFill>
                </w14:textFill>
              </w:rPr>
              <w:t>Multi-Prototype</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begin"/>
            </w:r>
            <w:r>
              <w:rPr>
                <w:rFonts w:hint="default" w:ascii="Times New Roman" w:hAnsi="Times New Roman" w:eastAsia="宋体" w:cs="Times New Roman"/>
                <w:b/>
                <w:bCs/>
                <w:color w:val="000000" w:themeColor="text1"/>
                <w:sz w:val="15"/>
                <w:szCs w:val="15"/>
                <w14:textFill>
                  <w14:solidFill>
                    <w14:schemeClr w14:val="tx1"/>
                  </w14:solidFill>
                </w14:textFill>
              </w:rPr>
              <w:instrText xml:space="preserve"> REF _Ref1436 \r \h  \* MERGEFORMAT </w:instrText>
            </w:r>
            <w:r>
              <w:rPr>
                <w:rFonts w:hint="default" w:ascii="Times New Roman" w:hAnsi="Times New Roman" w:eastAsia="宋体" w:cs="Times New Roman"/>
                <w:b/>
                <w:bCs/>
                <w:color w:val="000000" w:themeColor="text1"/>
                <w:sz w:val="15"/>
                <w:szCs w:val="15"/>
                <w14:textFill>
                  <w14:solidFill>
                    <w14:schemeClr w14:val="tx1"/>
                  </w14:solidFill>
                </w14:textFill>
              </w:rPr>
              <w:fldChar w:fldCharType="separate"/>
            </w:r>
            <w:r>
              <w:rPr>
                <w:rFonts w:hint="default" w:ascii="Times New Roman" w:hAnsi="Times New Roman" w:eastAsia="宋体" w:cs="Times New Roman"/>
                <w:b/>
                <w:bCs/>
                <w:color w:val="000000" w:themeColor="text1"/>
                <w:sz w:val="15"/>
                <w:szCs w:val="15"/>
                <w14:textFill>
                  <w14:solidFill>
                    <w14:schemeClr w14:val="tx1"/>
                  </w14:solidFill>
                </w14:textFill>
              </w:rPr>
              <w:t>[42]</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end"/>
            </w:r>
          </w:p>
        </w:tc>
        <w:tc>
          <w:tcPr>
            <w:tcW w:w="1171" w:type="dxa"/>
            <w:tcBorders>
              <w:tl2br w:val="nil"/>
              <w:tr2bl w:val="nil"/>
            </w:tcBorders>
          </w:tcPr>
          <w:p w14:paraId="42EFE7BD">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m:oMath>
              <m:r>
                <m:rPr>
                  <m:nor/>
                  <m:sty m:val="p"/>
                </m:rPr>
                <w:rPr>
                  <w:rFonts w:hint="default" w:ascii="Times New Roman" w:hAnsi="Times New Roman" w:eastAsia="宋体" w:cs="Times New Roman"/>
                  <w:b w:val="0"/>
                  <w:i w:val="0"/>
                  <w:color w:val="000000" w:themeColor="text1"/>
                  <w:sz w:val="15"/>
                  <w:szCs w:val="15"/>
                  <w14:textFill>
                    <w14:solidFill>
                      <w14:schemeClr w14:val="tx1"/>
                    </w14:solidFill>
                  </w14:textFill>
                </w:rPr>
                <m:t>≥</m:t>
              </m:r>
            </m:oMath>
            <w:r>
              <w:rPr>
                <w:rFonts w:hint="default" w:ascii="Times New Roman" w:hAnsi="Times New Roman" w:eastAsia="宋体" w:cs="Times New Roman"/>
                <w:color w:val="000000" w:themeColor="text1"/>
                <w:sz w:val="15"/>
                <w:szCs w:val="15"/>
                <w14:textFill>
                  <w14:solidFill>
                    <w14:schemeClr w14:val="tx1"/>
                  </w14:solidFill>
                </w14:textFill>
              </w:rPr>
              <w:t xml:space="preserve"> 2</w:t>
            </w:r>
          </w:p>
        </w:tc>
        <w:tc>
          <w:tcPr>
            <w:tcW w:w="1919" w:type="dxa"/>
            <w:tcBorders>
              <w:tl2br w:val="nil"/>
              <w:tr2bl w:val="nil"/>
            </w:tcBorders>
          </w:tcPr>
          <w:p w14:paraId="6A340BA9">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Medium</w:t>
            </w:r>
          </w:p>
        </w:tc>
        <w:tc>
          <w:tcPr>
            <w:tcW w:w="1498" w:type="dxa"/>
            <w:tcBorders>
              <w:tl2br w:val="nil"/>
              <w:tr2bl w:val="nil"/>
            </w:tcBorders>
          </w:tcPr>
          <w:p w14:paraId="123D9438">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Medium</w:t>
            </w:r>
          </w:p>
        </w:tc>
        <w:tc>
          <w:tcPr>
            <w:tcW w:w="2085" w:type="dxa"/>
            <w:tcBorders>
              <w:tl2br w:val="nil"/>
              <w:tr2bl w:val="nil"/>
            </w:tcBorders>
          </w:tcPr>
          <w:p w14:paraId="51AD19D1">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Simple Mean Compensation</w:t>
            </w:r>
          </w:p>
        </w:tc>
      </w:tr>
      <w:tr w14:paraId="00DB7E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6" w:hRule="atLeast"/>
          <w:jc w:val="center"/>
        </w:trPr>
        <w:tc>
          <w:tcPr>
            <w:tcW w:w="2053" w:type="dxa"/>
            <w:tcBorders>
              <w:tl2br w:val="nil"/>
              <w:tr2bl w:val="nil"/>
            </w:tcBorders>
          </w:tcPr>
          <w:p w14:paraId="4C321DA8">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Proposed Method</w:t>
            </w:r>
          </w:p>
        </w:tc>
        <w:tc>
          <w:tcPr>
            <w:tcW w:w="1171" w:type="dxa"/>
            <w:tcBorders>
              <w:tl2br w:val="nil"/>
              <w:tr2bl w:val="nil"/>
            </w:tcBorders>
          </w:tcPr>
          <w:p w14:paraId="4C445297">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3</w:t>
            </w:r>
          </w:p>
        </w:tc>
        <w:tc>
          <w:tcPr>
            <w:tcW w:w="1919" w:type="dxa"/>
            <w:tcBorders>
              <w:tl2br w:val="nil"/>
              <w:tr2bl w:val="nil"/>
            </w:tcBorders>
          </w:tcPr>
          <w:p w14:paraId="1437266F">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High</w:t>
            </w:r>
          </w:p>
        </w:tc>
        <w:tc>
          <w:tcPr>
            <w:tcW w:w="1498" w:type="dxa"/>
            <w:tcBorders>
              <w:tl2br w:val="nil"/>
              <w:tr2bl w:val="nil"/>
            </w:tcBorders>
          </w:tcPr>
          <w:p w14:paraId="4966CBC1">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Medium</w:t>
            </w:r>
          </w:p>
        </w:tc>
        <w:tc>
          <w:tcPr>
            <w:tcW w:w="2085" w:type="dxa"/>
            <w:tcBorders>
              <w:tl2br w:val="nil"/>
              <w:tr2bl w:val="nil"/>
            </w:tcBorders>
          </w:tcPr>
          <w:p w14:paraId="5E0B29E6">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KMeans+Mean Compensation</w:t>
            </w:r>
          </w:p>
        </w:tc>
      </w:tr>
      <w:tr w14:paraId="62083F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jc w:val="center"/>
        </w:trPr>
        <w:tc>
          <w:tcPr>
            <w:tcW w:w="2053" w:type="dxa"/>
            <w:tcBorders>
              <w:tl2br w:val="nil"/>
              <w:tr2bl w:val="nil"/>
            </w:tcBorders>
          </w:tcPr>
          <w:p w14:paraId="3B54078C">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b/>
                <w:bCs/>
                <w:color w:val="000000" w:themeColor="text1"/>
                <w:sz w:val="15"/>
                <w:szCs w:val="15"/>
                <w14:textFill>
                  <w14:solidFill>
                    <w14:schemeClr w14:val="tx1"/>
                  </w14:solidFill>
                </w14:textFill>
              </w:rPr>
              <w:t>Matching Networks</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begin"/>
            </w:r>
            <w:r>
              <w:rPr>
                <w:rFonts w:hint="default" w:ascii="Times New Roman" w:hAnsi="Times New Roman" w:eastAsia="宋体" w:cs="Times New Roman"/>
                <w:b/>
                <w:bCs/>
                <w:color w:val="000000" w:themeColor="text1"/>
                <w:sz w:val="15"/>
                <w:szCs w:val="15"/>
                <w14:textFill>
                  <w14:solidFill>
                    <w14:schemeClr w14:val="tx1"/>
                  </w14:solidFill>
                </w14:textFill>
              </w:rPr>
              <w:instrText xml:space="preserve"> REF _Ref1540 \r \h  \* MERGEFORMAT </w:instrText>
            </w:r>
            <w:r>
              <w:rPr>
                <w:rFonts w:hint="default" w:ascii="Times New Roman" w:hAnsi="Times New Roman" w:eastAsia="宋体" w:cs="Times New Roman"/>
                <w:b/>
                <w:bCs/>
                <w:color w:val="000000" w:themeColor="text1"/>
                <w:sz w:val="15"/>
                <w:szCs w:val="15"/>
                <w14:textFill>
                  <w14:solidFill>
                    <w14:schemeClr w14:val="tx1"/>
                  </w14:solidFill>
                </w14:textFill>
              </w:rPr>
              <w:fldChar w:fldCharType="separate"/>
            </w:r>
            <w:r>
              <w:rPr>
                <w:rFonts w:hint="default" w:ascii="Times New Roman" w:hAnsi="Times New Roman" w:eastAsia="宋体" w:cs="Times New Roman"/>
                <w:b/>
                <w:bCs/>
                <w:color w:val="000000" w:themeColor="text1"/>
                <w:sz w:val="15"/>
                <w:szCs w:val="15"/>
                <w14:textFill>
                  <w14:solidFill>
                    <w14:schemeClr w14:val="tx1"/>
                  </w14:solidFill>
                </w14:textFill>
              </w:rPr>
              <w:t>[43]</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end"/>
            </w:r>
          </w:p>
        </w:tc>
        <w:tc>
          <w:tcPr>
            <w:tcW w:w="1171" w:type="dxa"/>
            <w:tcBorders>
              <w:tl2br w:val="nil"/>
              <w:tr2bl w:val="nil"/>
            </w:tcBorders>
          </w:tcPr>
          <w:p w14:paraId="1E7033A6">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N/A</w:t>
            </w:r>
          </w:p>
        </w:tc>
        <w:tc>
          <w:tcPr>
            <w:tcW w:w="1919" w:type="dxa"/>
            <w:tcBorders>
              <w:tl2br w:val="nil"/>
              <w:tr2bl w:val="nil"/>
            </w:tcBorders>
          </w:tcPr>
          <w:p w14:paraId="69DF00F3">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Medium</w:t>
            </w:r>
          </w:p>
        </w:tc>
        <w:tc>
          <w:tcPr>
            <w:tcW w:w="1498" w:type="dxa"/>
            <w:tcBorders>
              <w:tl2br w:val="nil"/>
              <w:tr2bl w:val="nil"/>
            </w:tcBorders>
          </w:tcPr>
          <w:p w14:paraId="7ADBD921">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High</w:t>
            </w:r>
          </w:p>
        </w:tc>
        <w:tc>
          <w:tcPr>
            <w:tcW w:w="2085" w:type="dxa"/>
            <w:tcBorders>
              <w:tl2br w:val="nil"/>
              <w:tr2bl w:val="nil"/>
            </w:tcBorders>
          </w:tcPr>
          <w:p w14:paraId="037B8DBF">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Episodic Training Framework, no fine-tuning required</w:t>
            </w:r>
          </w:p>
        </w:tc>
      </w:tr>
      <w:tr w14:paraId="748521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0" w:hRule="atLeast"/>
          <w:jc w:val="center"/>
        </w:trPr>
        <w:tc>
          <w:tcPr>
            <w:tcW w:w="2053" w:type="dxa"/>
            <w:tcBorders>
              <w:tl2br w:val="nil"/>
              <w:tr2bl w:val="nil"/>
            </w:tcBorders>
          </w:tcPr>
          <w:p w14:paraId="07AF8CD7">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b/>
                <w:bCs/>
                <w:color w:val="000000" w:themeColor="text1"/>
                <w:sz w:val="15"/>
                <w:szCs w:val="15"/>
                <w14:textFill>
                  <w14:solidFill>
                    <w14:schemeClr w14:val="tx1"/>
                  </w14:solidFill>
                </w14:textFill>
              </w:rPr>
              <w:t>Relation Networks</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begin"/>
            </w:r>
            <w:r>
              <w:rPr>
                <w:rFonts w:hint="default" w:ascii="Times New Roman" w:hAnsi="Times New Roman" w:eastAsia="宋体" w:cs="Times New Roman"/>
                <w:b/>
                <w:bCs/>
                <w:color w:val="000000" w:themeColor="text1"/>
                <w:sz w:val="15"/>
                <w:szCs w:val="15"/>
                <w14:textFill>
                  <w14:solidFill>
                    <w14:schemeClr w14:val="tx1"/>
                  </w14:solidFill>
                </w14:textFill>
              </w:rPr>
              <w:instrText xml:space="preserve"> REF _Ref1573 \r \h  \* MERGEFORMAT </w:instrText>
            </w:r>
            <w:r>
              <w:rPr>
                <w:rFonts w:hint="default" w:ascii="Times New Roman" w:hAnsi="Times New Roman" w:eastAsia="宋体" w:cs="Times New Roman"/>
                <w:b/>
                <w:bCs/>
                <w:color w:val="000000" w:themeColor="text1"/>
                <w:sz w:val="15"/>
                <w:szCs w:val="15"/>
                <w14:textFill>
                  <w14:solidFill>
                    <w14:schemeClr w14:val="tx1"/>
                  </w14:solidFill>
                </w14:textFill>
              </w:rPr>
              <w:fldChar w:fldCharType="separate"/>
            </w:r>
            <w:r>
              <w:rPr>
                <w:rFonts w:hint="default" w:ascii="Times New Roman" w:hAnsi="Times New Roman" w:eastAsia="宋体" w:cs="Times New Roman"/>
                <w:b/>
                <w:bCs/>
                <w:color w:val="000000" w:themeColor="text1"/>
                <w:sz w:val="15"/>
                <w:szCs w:val="15"/>
                <w14:textFill>
                  <w14:solidFill>
                    <w14:schemeClr w14:val="tx1"/>
                  </w14:solidFill>
                </w14:textFill>
              </w:rPr>
              <w:t>[44]</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end"/>
            </w:r>
          </w:p>
        </w:tc>
        <w:tc>
          <w:tcPr>
            <w:tcW w:w="1171" w:type="dxa"/>
            <w:tcBorders>
              <w:tl2br w:val="nil"/>
              <w:tr2bl w:val="nil"/>
            </w:tcBorders>
          </w:tcPr>
          <w:p w14:paraId="619165D1">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N/A</w:t>
            </w:r>
          </w:p>
        </w:tc>
        <w:tc>
          <w:tcPr>
            <w:tcW w:w="1919" w:type="dxa"/>
            <w:tcBorders>
              <w:tl2br w:val="nil"/>
              <w:tr2bl w:val="nil"/>
            </w:tcBorders>
          </w:tcPr>
          <w:p w14:paraId="18106010">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High</w:t>
            </w:r>
          </w:p>
        </w:tc>
        <w:tc>
          <w:tcPr>
            <w:tcW w:w="1498" w:type="dxa"/>
            <w:tcBorders>
              <w:tl2br w:val="nil"/>
              <w:tr2bl w:val="nil"/>
            </w:tcBorders>
          </w:tcPr>
          <w:p w14:paraId="7E2EEE86">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High</w:t>
            </w:r>
          </w:p>
        </w:tc>
        <w:tc>
          <w:tcPr>
            <w:tcW w:w="2085" w:type="dxa"/>
            <w:tcBorders>
              <w:tl2br w:val="nil"/>
              <w:tr2bl w:val="nil"/>
            </w:tcBorders>
          </w:tcPr>
          <w:p w14:paraId="25334AE7">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Learn deep nonlinear metrics, no explicit prototypes required</w:t>
            </w:r>
          </w:p>
        </w:tc>
      </w:tr>
      <w:tr w14:paraId="77E413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89" w:hRule="atLeast"/>
          <w:jc w:val="center"/>
        </w:trPr>
        <w:tc>
          <w:tcPr>
            <w:tcW w:w="2053" w:type="dxa"/>
            <w:tcBorders>
              <w:tl2br w:val="nil"/>
              <w:tr2bl w:val="nil"/>
            </w:tcBorders>
          </w:tcPr>
          <w:p w14:paraId="71EC24ED">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b/>
                <w:bCs/>
                <w:color w:val="000000" w:themeColor="text1"/>
                <w:sz w:val="15"/>
                <w:szCs w:val="15"/>
                <w14:textFill>
                  <w14:solidFill>
                    <w14:schemeClr w14:val="tx1"/>
                  </w14:solidFill>
                </w14:textFill>
              </w:rPr>
              <w:t>Transductive Propagation Network</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begin"/>
            </w:r>
            <w:r>
              <w:rPr>
                <w:rFonts w:hint="default" w:ascii="Times New Roman" w:hAnsi="Times New Roman" w:eastAsia="宋体" w:cs="Times New Roman"/>
                <w:b/>
                <w:bCs/>
                <w:color w:val="000000" w:themeColor="text1"/>
                <w:sz w:val="15"/>
                <w:szCs w:val="15"/>
                <w14:textFill>
                  <w14:solidFill>
                    <w14:schemeClr w14:val="tx1"/>
                  </w14:solidFill>
                </w14:textFill>
              </w:rPr>
              <w:instrText xml:space="preserve"> REF _Ref1609 \r \h  \* MERGEFORMAT </w:instrText>
            </w:r>
            <w:r>
              <w:rPr>
                <w:rFonts w:hint="default" w:ascii="Times New Roman" w:hAnsi="Times New Roman" w:eastAsia="宋体" w:cs="Times New Roman"/>
                <w:b/>
                <w:bCs/>
                <w:color w:val="000000" w:themeColor="text1"/>
                <w:sz w:val="15"/>
                <w:szCs w:val="15"/>
                <w14:textFill>
                  <w14:solidFill>
                    <w14:schemeClr w14:val="tx1"/>
                  </w14:solidFill>
                </w14:textFill>
              </w:rPr>
              <w:fldChar w:fldCharType="separate"/>
            </w:r>
            <w:r>
              <w:rPr>
                <w:rFonts w:hint="default" w:ascii="Times New Roman" w:hAnsi="Times New Roman" w:eastAsia="宋体" w:cs="Times New Roman"/>
                <w:b/>
                <w:bCs/>
                <w:color w:val="000000" w:themeColor="text1"/>
                <w:sz w:val="15"/>
                <w:szCs w:val="15"/>
                <w14:textFill>
                  <w14:solidFill>
                    <w14:schemeClr w14:val="tx1"/>
                  </w14:solidFill>
                </w14:textFill>
              </w:rPr>
              <w:t>[45]</w:t>
            </w:r>
            <w:r>
              <w:rPr>
                <w:rFonts w:hint="default" w:ascii="Times New Roman" w:hAnsi="Times New Roman" w:eastAsia="宋体" w:cs="Times New Roman"/>
                <w:b/>
                <w:bCs/>
                <w:color w:val="000000" w:themeColor="text1"/>
                <w:sz w:val="15"/>
                <w:szCs w:val="15"/>
                <w14:textFill>
                  <w14:solidFill>
                    <w14:schemeClr w14:val="tx1"/>
                  </w14:solidFill>
                </w14:textFill>
              </w:rPr>
              <w:fldChar w:fldCharType="end"/>
            </w:r>
          </w:p>
        </w:tc>
        <w:tc>
          <w:tcPr>
            <w:tcW w:w="1171" w:type="dxa"/>
            <w:tcBorders>
              <w:tl2br w:val="nil"/>
              <w:tr2bl w:val="nil"/>
            </w:tcBorders>
          </w:tcPr>
          <w:p w14:paraId="531AC45C">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Not Applicable</w:t>
            </w:r>
          </w:p>
        </w:tc>
        <w:tc>
          <w:tcPr>
            <w:tcW w:w="1919" w:type="dxa"/>
            <w:tcBorders>
              <w:tl2br w:val="nil"/>
              <w:tr2bl w:val="nil"/>
            </w:tcBorders>
          </w:tcPr>
          <w:p w14:paraId="2067B905">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High</w:t>
            </w:r>
          </w:p>
        </w:tc>
        <w:tc>
          <w:tcPr>
            <w:tcW w:w="1498" w:type="dxa"/>
            <w:tcBorders>
              <w:tl2br w:val="nil"/>
              <w:tr2bl w:val="nil"/>
            </w:tcBorders>
          </w:tcPr>
          <w:p w14:paraId="361EC727">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High</w:t>
            </w:r>
          </w:p>
        </w:tc>
        <w:tc>
          <w:tcPr>
            <w:tcW w:w="2085" w:type="dxa"/>
            <w:tcBorders>
              <w:tl2br w:val="nil"/>
              <w:tr2bl w:val="nil"/>
            </w:tcBorders>
          </w:tcPr>
          <w:p w14:paraId="67B72D93">
            <w:pPr>
              <w:spacing w:line="480" w:lineRule="auto"/>
              <w:jc w:val="center"/>
              <w:rPr>
                <w:rFonts w:hint="default" w:ascii="Times New Roman" w:hAnsi="Times New Roman" w:eastAsia="宋体" w:cs="Times New Roman"/>
                <w:color w:val="000000" w:themeColor="text1"/>
                <w:sz w:val="15"/>
                <w:szCs w:val="15"/>
                <w14:textFill>
                  <w14:solidFill>
                    <w14:schemeClr w14:val="tx1"/>
                  </w14:solidFill>
                </w14:textFill>
              </w:rPr>
            </w:pPr>
            <w:r>
              <w:rPr>
                <w:rFonts w:hint="default" w:ascii="Times New Roman" w:hAnsi="Times New Roman" w:eastAsia="宋体" w:cs="Times New Roman"/>
                <w:color w:val="000000" w:themeColor="text1"/>
                <w:sz w:val="15"/>
                <w:szCs w:val="15"/>
                <w14:textFill>
                  <w14:solidFill>
                    <w14:schemeClr w14:val="tx1"/>
                  </w14:solidFill>
                </w14:textFill>
              </w:rPr>
              <w:t>Label propagation using the entire query set</w:t>
            </w:r>
          </w:p>
        </w:tc>
      </w:tr>
    </w:tbl>
    <w:p w14:paraId="4E41BE1E">
      <w:pPr>
        <w:spacing w:line="480" w:lineRule="auto"/>
        <w:rPr>
          <w:rFonts w:hint="default" w:ascii="Times New Roman" w:hAnsi="Times New Roman" w:eastAsia="宋体" w:cs="Times New Roman"/>
          <w:b/>
          <w:bCs/>
        </w:rPr>
      </w:pPr>
      <w:r>
        <w:rPr>
          <w:rFonts w:hint="default" w:ascii="Times New Roman" w:hAnsi="Times New Roman" w:eastAsia="宋体" w:cs="Times New Roman"/>
          <w:b/>
          <w:bCs/>
        </w:rPr>
        <w:t>Table 1. Comparative Analysis of the Proposed Multi-Prototype Method and Conventional Approaches</w:t>
      </w:r>
    </w:p>
    <w:p w14:paraId="1057EDBB">
      <w:pPr>
        <w:numPr>
          <w:ilvl w:val="0"/>
          <w:numId w:val="6"/>
        </w:numPr>
        <w:spacing w:line="480" w:lineRule="auto"/>
        <w:rPr>
          <w:rFonts w:hint="default" w:ascii="Times New Roman" w:hAnsi="Times New Roman" w:eastAsia="宋体" w:cs="Times New Roman"/>
        </w:rPr>
      </w:pPr>
      <w:r>
        <w:rPr>
          <w:rFonts w:hint="default" w:ascii="Times New Roman" w:hAnsi="Times New Roman" w:eastAsia="宋体" w:cs="Times New Roman"/>
        </w:rPr>
        <w:t>Matching Networks employ an attention mechanism to perform pointwise matching between support</w:t>
      </w:r>
      <w:r>
        <w:rPr>
          <w:rFonts w:hint="default" w:ascii="Times New Roman" w:hAnsi="Times New Roman" w:eastAsia="宋体" w:cs="Times New Roman"/>
          <w:lang w:val="en-US" w:eastAsia="zh-CN"/>
        </w:rPr>
        <w:t>-</w:t>
      </w:r>
      <w:r>
        <w:rPr>
          <w:rFonts w:hint="default" w:ascii="Times New Roman" w:hAnsi="Times New Roman" w:eastAsia="宋体" w:cs="Times New Roman"/>
        </w:rPr>
        <w:t>set examples and query samples. Through episodic training, they enable rapid generalization in few-shot scenarios without introducing explicit prototypes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_Ref6159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[26]</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1CF9FB1C">
      <w:pPr>
        <w:numPr>
          <w:ilvl w:val="0"/>
          <w:numId w:val="6"/>
        </w:numPr>
        <w:spacing w:line="480" w:lineRule="auto"/>
        <w:rPr>
          <w:rFonts w:hint="default" w:ascii="Times New Roman" w:hAnsi="Times New Roman" w:eastAsia="宋体" w:cs="Times New Roman"/>
        </w:rPr>
      </w:pPr>
      <w:r>
        <w:rPr>
          <w:rFonts w:hint="default" w:ascii="Times New Roman" w:hAnsi="Times New Roman" w:eastAsia="宋体" w:cs="Times New Roman"/>
        </w:rPr>
        <w:t>Relation Networks learn a transferable deep metric function (Relation Module) via a two-branch network, outperforming fixed-distance metrics in feature representation and eliminating the need for prototype construction</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_Ref1540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[43]</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7C24263C">
      <w:pPr>
        <w:numPr>
          <w:ilvl w:val="0"/>
          <w:numId w:val="6"/>
        </w:numPr>
        <w:spacing w:line="480" w:lineRule="auto"/>
        <w:rPr>
          <w:rFonts w:hint="default" w:ascii="Times New Roman" w:hAnsi="Times New Roman" w:eastAsia="宋体" w:cs="Times New Roman"/>
        </w:rPr>
      </w:pPr>
      <w:r>
        <w:rPr>
          <w:rFonts w:hint="default" w:ascii="Times New Roman" w:hAnsi="Times New Roman" w:eastAsia="宋体" w:cs="Times New Roman"/>
        </w:rPr>
        <w:t>Transductive Propagation Network (TPN) applies a graph-propagation strategy during testing to jointly infer labels across support and query sets, effectively mitigating information scarcity in few-shot settings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_Ref1573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[44]</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27893309">
      <w:pPr>
        <w:spacing w:line="480" w:lineRule="auto"/>
        <w:rPr>
          <w:rFonts w:hint="default" w:ascii="Times New Roman" w:hAnsi="Times New Roman" w:eastAsia="宋体" w:cs="Times New Roman"/>
        </w:rPr>
      </w:pPr>
      <w:r>
        <w:rPr>
          <w:rFonts w:hint="default" w:ascii="Times New Roman" w:hAnsi="Times New Roman" w:eastAsia="宋体" w:cs="Times New Roman"/>
          <w:color w:val="000000" w:themeColor="text1"/>
          <w14:textFill>
            <w14:solidFill>
              <w14:schemeClr w14:val="tx1"/>
            </w14:solidFill>
          </w14:textFill>
        </w:rPr>
        <w:t>In contrast, our method retains the efficiency of prototypical networks while compensating for the limitations of single-center representations through multiple prototypes, achieving a balance between performance and computational cost.</w:t>
      </w:r>
    </w:p>
    <w:p w14:paraId="13EEDDD5">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Loss Function Design</w:t>
      </w:r>
    </w:p>
    <w:p w14:paraId="7C418C3E">
      <w:pPr>
        <w:spacing w:line="480" w:lineRule="auto"/>
        <w:ind w:firstLine="420"/>
        <w:rPr>
          <w:rFonts w:hint="default" w:ascii="Times New Roman" w:hAnsi="Times New Roman" w:eastAsia="宋体" w:cs="Times New Roman"/>
          <w:b/>
          <w:bCs/>
        </w:rPr>
      </w:pPr>
      <w:r>
        <w:rPr>
          <w:rFonts w:hint="default" w:ascii="Times New Roman" w:hAnsi="Times New Roman" w:eastAsia="宋体" w:cs="Times New Roman"/>
        </w:rPr>
        <w:t xml:space="preserve">To address three key challenges in clinical few-shot multimodal classification—insufficient intra-class diversity, semantic drift of pseudo-samples, and uneven embedding-space distribution—we propose a </w:t>
      </w:r>
      <w:r>
        <w:rPr>
          <w:rFonts w:hint="default" w:ascii="Times New Roman" w:hAnsi="Times New Roman" w:eastAsia="宋体" w:cs="Times New Roman"/>
          <w:b/>
          <w:bCs/>
        </w:rPr>
        <w:t>multi-objective loss fusion framework.</w:t>
      </w:r>
    </w:p>
    <w:p w14:paraId="02DAAFEE">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First, a multi-prototype classification loss captures the multimodal and multi-peak distributions within each class, effectively representing intra-class heterogeneity beyond traditional single-center prototype networks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_Ref1396 \r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lang w:val="en-US"/>
        </w:rPr>
        <w:t>[41</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rPr>
        <w:fldChar w:fldCharType="end"/>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_Ref9675 \r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lang w:val="en-US"/>
        </w:rPr>
        <w:t>46]</w:t>
      </w:r>
      <w:r>
        <w:rPr>
          <w:rFonts w:hint="default" w:ascii="Times New Roman" w:hAnsi="Times New Roman" w:eastAsia="宋体" w:cs="Times New Roman"/>
          <w:lang w:val="en-US"/>
        </w:rPr>
        <w:fldChar w:fldCharType="end"/>
      </w:r>
      <w:r>
        <w:rPr>
          <w:rFonts w:hint="default" w:ascii="Times New Roman" w:hAnsi="Times New Roman" w:eastAsia="宋体" w:cs="Times New Roman"/>
        </w:rPr>
        <w:t>.</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Second, an anchor alignment loss ensures semantic consistency between generated pseudo-samples and their true category anchors (e.g., SwAV-derived vectors), thereby mitigating semantic drift and enhancing pseudo-sample reliability</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_Ref3450 \r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lang w:val="en-US"/>
        </w:rPr>
        <w:t>[47</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rPr>
        <w:fldChar w:fldCharType="end"/>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_Ref3470 \r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lang w:val="en-US"/>
        </w:rPr>
        <w:t>48]</w:t>
      </w:r>
      <w:r>
        <w:rPr>
          <w:rFonts w:hint="default" w:ascii="Times New Roman" w:hAnsi="Times New Roman" w:eastAsia="宋体" w:cs="Times New Roman"/>
          <w:lang w:val="en-US"/>
        </w:rPr>
        <w:fldChar w:fldCharType="end"/>
      </w:r>
      <w:r>
        <w:rPr>
          <w:rFonts w:hint="default" w:ascii="Times New Roman" w:hAnsi="Times New Roman" w:eastAsia="宋体" w:cs="Times New Roman"/>
        </w:rPr>
        <w:t>.</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Third, a batch-hard triplet loss focuses on the most discriminative positive–negative sample pairs, tightening category boundaries and accelerating convergence while improving inter-class separability</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_Ref3568 \r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lang w:val="en-US"/>
        </w:rPr>
        <w:t>[49</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rPr>
        <w:fldChar w:fldCharType="end"/>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_Ref3575 \r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lang w:val="en-US"/>
        </w:rPr>
        <w:t>50]</w:t>
      </w:r>
      <w:r>
        <w:rPr>
          <w:rFonts w:hint="default" w:ascii="Times New Roman" w:hAnsi="Times New Roman" w:eastAsia="宋体" w:cs="Times New Roman"/>
          <w:lang w:val="en-US"/>
        </w:rPr>
        <w:fldChar w:fldCharType="end"/>
      </w:r>
      <w:r>
        <w:rPr>
          <w:rFonts w:hint="default" w:ascii="Times New Roman" w:hAnsi="Times New Roman" w:eastAsia="宋体" w:cs="Times New Roman"/>
        </w:rPr>
        <w:t>.</w:t>
      </w:r>
    </w:p>
    <w:p w14:paraId="521B685D">
      <w:pPr>
        <w:spacing w:line="480" w:lineRule="auto"/>
        <w:ind w:firstLine="420"/>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eastAsia="宋体" w:cs="Times New Roman"/>
        </w:rPr>
        <w:t>Finally, these sub-losses are weighted and combined into a unified training objective following multi-objective optimization principles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_Ref3640 \r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lang w:val="en-US"/>
        </w:rPr>
        <w:t>[51]</w:t>
      </w:r>
      <w:r>
        <w:rPr>
          <w:rFonts w:hint="default" w:ascii="Times New Roman" w:hAnsi="Times New Roman" w:eastAsia="宋体" w:cs="Times New Roman"/>
          <w:lang w:val="en-US"/>
        </w:rPr>
        <w:fldChar w:fldCharType="end"/>
      </w:r>
      <w:r>
        <w:rPr>
          <w:rFonts w:hint="default" w:ascii="Times New Roman" w:hAnsi="Times New Roman" w:eastAsia="宋体" w:cs="Times New Roman"/>
        </w:rPr>
        <w:t>, which balances classification accuracy, semantic alignment, and embedding-space discriminability.</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 xml:space="preserve">Detailed mathematical formulations, parameter configurations, and ablation analyses of each loss component are provided in </w:t>
      </w:r>
      <w:r>
        <w:rPr>
          <w:rFonts w:hint="default" w:ascii="Times New Roman" w:hAnsi="Times New Roman" w:eastAsia="宋体" w:cs="Times New Roman"/>
          <w:b/>
          <w:bCs/>
          <w:color w:val="000000" w:themeColor="text1"/>
          <w:lang w:val="en-US" w:eastAsia="zh-CN"/>
          <w14:textFill>
            <w14:solidFill>
              <w14:schemeClr w14:val="tx1"/>
            </w14:solidFill>
          </w14:textFill>
        </w:rPr>
        <w:t xml:space="preserve">Supporting information (S7 Appendix. </w:t>
      </w:r>
      <w:r>
        <w:rPr>
          <w:rFonts w:hint="default" w:ascii="Times New Roman" w:hAnsi="Times New Roman" w:eastAsia="宋体" w:cs="Times New Roman"/>
          <w:b/>
          <w:bCs/>
          <w:color w:val="000000" w:themeColor="text1"/>
          <w14:textFill>
            <w14:solidFill>
              <w14:schemeClr w14:val="tx1"/>
            </w14:solidFill>
          </w14:textFill>
        </w:rPr>
        <w:t>Loss Function Design</w:t>
      </w:r>
      <w:r>
        <w:rPr>
          <w:rFonts w:hint="default" w:ascii="Times New Roman" w:hAnsi="Times New Roman" w:eastAsia="宋体" w:cs="Times New Roman"/>
          <w:b/>
          <w:bCs/>
          <w:color w:val="000000" w:themeColor="text1"/>
          <w:lang w:val="en-US" w:eastAsia="zh-CN"/>
          <w14:textFill>
            <w14:solidFill>
              <w14:schemeClr w14:val="tx1"/>
            </w14:solidFill>
          </w14:textFill>
        </w:rPr>
        <w:t>).</w:t>
      </w:r>
    </w:p>
    <w:p w14:paraId="72B62E0C">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Training Procedure</w:t>
      </w:r>
    </w:p>
    <w:p w14:paraId="68C9AAB2">
      <w:pPr>
        <w:spacing w:line="480" w:lineRule="auto"/>
        <w:ind w:firstLine="420"/>
        <w:rPr>
          <w:rFonts w:hint="default" w:ascii="Times New Roman" w:hAnsi="Times New Roman" w:eastAsia="黑体" w:cs="Times New Roman"/>
          <w:b/>
          <w:bCs/>
          <w:lang w:val="en-US" w:eastAsia="zh-CN"/>
        </w:rPr>
      </w:pPr>
      <w:r>
        <w:rPr>
          <w:rFonts w:hint="default" w:ascii="Times New Roman" w:hAnsi="Times New Roman" w:eastAsia="宋体" w:cs="Times New Roman"/>
        </w:rPr>
        <w:t>The overall training workflow</w:t>
      </w:r>
      <w:r>
        <w:rPr>
          <w:rFonts w:hint="default" w:ascii="Times New Roman" w:hAnsi="Times New Roman" w:eastAsia="宋体" w:cs="Times New Roman"/>
          <w:b/>
          <w:bCs/>
        </w:rPr>
        <w:t xml:space="preserve"> (Fig 5) </w:t>
      </w:r>
      <w:r>
        <w:rPr>
          <w:rFonts w:hint="default" w:ascii="Times New Roman" w:hAnsi="Times New Roman" w:eastAsia="宋体" w:cs="Times New Roman"/>
        </w:rPr>
        <w:t>is as follows: first, raw data are standardized and negative-class samples are augmented; then, support and query sets are generated using few-shot episodic sampling. The multimodal feature</w:t>
      </w:r>
      <w:r>
        <w:rPr>
          <w:rFonts w:hint="default" w:ascii="Times New Roman" w:hAnsi="Times New Roman" w:eastAsia="宋体" w:cs="Times New Roman"/>
          <w:lang w:val="en-US" w:eastAsia="zh-CN"/>
        </w:rPr>
        <w:t>-</w:t>
      </w:r>
      <w:r>
        <w:rPr>
          <w:rFonts w:hint="default" w:ascii="Times New Roman" w:hAnsi="Times New Roman" w:eastAsia="宋体" w:cs="Times New Roman"/>
        </w:rPr>
        <w:t>extraction module separately processes imaging data with ResNet-50 and tabular data with an MLP, and gated fusion produces 128-dimensional embeddings. K-means clustering generates multiple prototypes per class, and three loss terms are computed and jointly optimized. Model parameters are iteratively updated using the Adam optimizer, and the final multimodal fusion model weights—capable of handling both image and clinical inputs—are saved. The workflow incorporates dynamic class weighting and clinical-range validation to ensure reliability and clinical plausibility in data-scarce scenarios.</w:t>
      </w:r>
    </w:p>
    <w:p w14:paraId="6C5D35C0">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Model Evaluation</w:t>
      </w:r>
    </w:p>
    <w:p w14:paraId="3155AF19">
      <w:pPr>
        <w:spacing w:line="480" w:lineRule="auto"/>
        <w:ind w:firstLine="420"/>
        <w:rPr>
          <w:rFonts w:hint="default" w:ascii="Times New Roman" w:hAnsi="Times New Roman" w:eastAsia="黑体" w:cs="Times New Roman"/>
          <w:b/>
          <w:bCs/>
          <w:lang w:val="en-US" w:eastAsia="zh-CN"/>
        </w:rPr>
      </w:pPr>
      <w:r>
        <w:rPr>
          <w:rFonts w:hint="default" w:ascii="Times New Roman" w:hAnsi="Times New Roman" w:eastAsia="宋体" w:cs="Times New Roman"/>
        </w:rPr>
        <w:t xml:space="preserve">To evaluate our proposed multimodal model, we employed a nested cross-validation strategy with five-fold stratified partitioning to ensure balanced class distributions in each fold. </w:t>
      </w:r>
      <w:r>
        <w:rPr>
          <w:rFonts w:hint="default" w:ascii="Times New Roman" w:hAnsi="Times New Roman" w:eastAsia="宋体" w:cs="Times New Roman"/>
          <w:b/>
          <w:bCs/>
        </w:rPr>
        <w:t>Fig 6</w:t>
      </w:r>
      <w:r>
        <w:rPr>
          <w:rFonts w:hint="default" w:ascii="Times New Roman" w:hAnsi="Times New Roman" w:eastAsia="宋体" w:cs="Times New Roman"/>
        </w:rPr>
        <w:t xml:space="preserve"> illustrates the workflow of our evaluation process. This approach was chosen to mitigate bias arising from data imbalance and to ensure robust performance estimates. In each fold, we utilized pretrained submodels—including a multilayer perceptron (MLP) for tabular data, a convolutional neural network (CNN) for imaging data, and our prototype network—to extract features from both modalities. The predictions from these models were then averaged via an ensemble method. Binary classification decisions were made using a global threshold determined by the Youden index to further optimize performance. Model efficacy was quantified using multiple metrics—accuracy, balanced accuracy, precision, recall, F1 score, ROC AUC, and Matthews correlation coefficient (MCC)—computed for each fold and summarized by their mean values.</w:t>
      </w:r>
    </w:p>
    <w:p w14:paraId="1D2235B1">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Results</w:t>
      </w:r>
    </w:p>
    <w:p w14:paraId="66A06337">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Through systematic multimodal data integration, the fusion-based postoperative AKI prediction model proposed in this study demonstrated significantly greater performance improvements compared to single-modality approaches. The imaging-only model (ResNet</w:t>
      </w:r>
      <w:r>
        <w:rPr>
          <w:rFonts w:hint="default" w:ascii="Times New Roman" w:hAnsi="Times New Roman" w:eastAsia="宋体" w:cs="Times New Roman"/>
          <w:lang w:val="en-US" w:eastAsia="zh-CN"/>
        </w:rPr>
        <w:t>-</w:t>
      </w:r>
      <w:r>
        <w:rPr>
          <w:rFonts w:hint="default" w:ascii="Times New Roman" w:hAnsi="Times New Roman" w:eastAsia="宋体" w:cs="Times New Roman"/>
        </w:rPr>
        <w:t>50) achieved an AUC of 0.510 in independent validation, while the clinical data model (incorporating preoperative creatinine, lactate, age, etc.) reached an AUC of 0.578. Although both models exhibited some predictive capability, they showed clear limitations. By innovatively combining these two modalities with prototype learning, the final model achieved substantially enhanced performance (AUC</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0.816).</w:t>
      </w:r>
    </w:p>
    <w:p w14:paraId="2194972F">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Through SHAP-based interpretability analysis, this study effectively reveals the clinical feature contributions underlying the model's decision-making process, enabling clinicians to intuitively understand the biological basis of predictions and increasing their trust in the model. This transparent interpretation mechanism allows physicians to both comprehend general decision patterns and validate prediction rationality for individual cases. Consequently, it significantly enhances the efficiency and reliability of preoperative risk assessment in human-AI collaboration, facilitating clinical implementation of the AI model.</w:t>
      </w:r>
    </w:p>
    <w:p w14:paraId="7F01B7E2">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Although the representativeness of our sample and the generalizability of derived thresholds require further improvement, our multimodal fusion framework has demonstrated significant clinical value. In future work, multicenter, large-scale cohorts encompassing diverse surgical procedures will expand sample coverage and enable more granular subgroup analyses. Additionally, implementing dynamic thresholding strategies tailored to individual patient characteristics and clinical contexts will further enhance personalized adaptability. Concurrent integration of intraoperative real-time physiological monitoring data and richer imaging and histological features is expected to establish a closed-loop system uniting preoperative risk assessment with intraoperative early warning. These advances will accelerate the translation of our model from research validation to routine clinical application, providing intelligent support for precise perioperative decision-making.</w:t>
      </w:r>
    </w:p>
    <w:p w14:paraId="0441126D">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Model Performance</w:t>
      </w:r>
    </w:p>
    <w:p w14:paraId="55693B24">
      <w:pPr>
        <w:spacing w:line="480" w:lineRule="auto"/>
        <w:ind w:firstLine="4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Using five-fold cross-validation, the postoperative acute kidney injury (AKI) prediction model developed in this study demonstrated robust predictive performance. The model exhibited stable prediction across different data splits, with an average AUC of 0.816±0.036. The overall ROC curve</w:t>
      </w:r>
      <w:r>
        <w:rPr>
          <w:rFonts w:hint="default" w:ascii="Times New Roman" w:hAnsi="Times New Roman" w:cs="Times New Roman"/>
          <w:b/>
          <w:bCs/>
          <w:color w:val="000000" w:themeColor="text1"/>
          <w14:textFill>
            <w14:solidFill>
              <w14:schemeClr w14:val="tx1"/>
            </w14:solidFill>
          </w14:textFill>
        </w:rPr>
        <w:t xml:space="preserve"> (Fig 7) </w:t>
      </w:r>
      <w:r>
        <w:rPr>
          <w:rFonts w:hint="default" w:ascii="Times New Roman" w:hAnsi="Times New Roman" w:cs="Times New Roman"/>
          <w:color w:val="000000" w:themeColor="text1"/>
          <w14:textFill>
            <w14:solidFill>
              <w14:schemeClr w14:val="tx1"/>
            </w14:solidFill>
          </w14:textFill>
        </w:rPr>
        <w:t>remained consistently above the random classification baseline, while individual fold AUC values ranged from 0.764 to 0.863, with the fourth fold achieving optimal performance (AUC</w:t>
      </w:r>
      <w:r>
        <w:rPr>
          <w:rFonts w:hint="default" w:ascii="Times New Roman" w:hAnsi="Times New Roman" w:cs="Times New Roman"/>
          <w:color w:val="000000" w:themeColor="text1"/>
          <w:lang w:val="en-US" w:eastAsia="zh-C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lang w:val="en-US" w:eastAsia="zh-C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0.863, accuracy</w:t>
      </w:r>
      <w:r>
        <w:rPr>
          <w:rFonts w:hint="default" w:ascii="Times New Roman" w:hAnsi="Times New Roman" w:cs="Times New Roman"/>
          <w:color w:val="000000" w:themeColor="text1"/>
          <w:lang w:val="en-US" w:eastAsia="zh-C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lang w:val="en-US" w:eastAsia="zh-C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0.811). The model showed excellent sensitivity (recall 0.788</w:t>
      </w:r>
      <w:r>
        <w:rPr>
          <w:rFonts w:hint="default" w:ascii="Times New Roman" w:hAnsi="Times New Roman" w:cs="Times New Roman"/>
          <w:color w:val="000000" w:themeColor="text1"/>
          <w:lang w:val="en-US" w:eastAsia="zh-C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lang w:val="en-US" w:eastAsia="zh-C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0.074), enabling effective identification of AKI-positive cases and reducing underdiagnosis risk in clinical practice. However, precision (0.729</w:t>
      </w:r>
      <w:r>
        <w:rPr>
          <w:rFonts w:hint="default" w:ascii="Times New Roman" w:hAnsi="Times New Roman" w:cs="Times New Roman"/>
          <w:color w:val="000000" w:themeColor="text1"/>
          <w:lang w:val="en-US" w:eastAsia="zh-C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lang w:val="en-US" w:eastAsia="zh-CN"/>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 xml:space="preserve">0.038) exhibited greater variability, particularly in fold 1 where it decreased to 0.679, indicating the need for further optimization to reduce false positives in certain data subsets. Detailed performance metrics are shown in the per-fold confusion matrices </w:t>
      </w:r>
      <w:r>
        <w:rPr>
          <w:rFonts w:hint="default" w:ascii="Times New Roman" w:hAnsi="Times New Roman" w:cs="Times New Roman"/>
          <w:b/>
          <w:bCs/>
          <w:color w:val="000000" w:themeColor="text1"/>
          <w14:textFill>
            <w14:solidFill>
              <w14:schemeClr w14:val="tx1"/>
            </w14:solidFill>
          </w14:textFill>
        </w:rPr>
        <w:t>(Fig 8)</w:t>
      </w:r>
      <w:r>
        <w:rPr>
          <w:rFonts w:hint="default" w:ascii="Times New Roman" w:hAnsi="Times New Roman" w:cs="Times New Roman"/>
          <w:color w:val="000000" w:themeColor="text1"/>
          <w14:textFill>
            <w14:solidFill>
              <w14:schemeClr w14:val="tx1"/>
            </w14:solidFill>
          </w14:textFill>
        </w:rPr>
        <w:t xml:space="preserve"> and ROC curves </w:t>
      </w:r>
      <w:r>
        <w:rPr>
          <w:rFonts w:hint="default" w:ascii="Times New Roman" w:hAnsi="Times New Roman" w:cs="Times New Roman"/>
          <w:b/>
          <w:bCs/>
          <w:color w:val="000000" w:themeColor="text1"/>
          <w14:textFill>
            <w14:solidFill>
              <w14:schemeClr w14:val="tx1"/>
            </w14:solidFill>
          </w14:textFill>
        </w:rPr>
        <w:t>(Fig 9).</w:t>
      </w:r>
    </w:p>
    <w:p w14:paraId="2D6E2F90">
      <w:pPr>
        <w:spacing w:line="480" w:lineRule="auto"/>
        <w:ind w:firstLine="420"/>
        <w:rPr>
          <w:rFonts w:hint="default" w:ascii="Times New Roman" w:hAnsi="Times New Roman" w:eastAsia="黑体" w:cs="Times New Roman"/>
          <w:b/>
          <w:bCs/>
          <w:color w:val="0000FF"/>
        </w:rPr>
      </w:pPr>
      <w:r>
        <w:rPr>
          <w:rFonts w:hint="default" w:ascii="Times New Roman" w:hAnsi="Times New Roman" w:cs="Times New Roman"/>
          <w:color w:val="000000" w:themeColor="text1"/>
          <w14:textFill>
            <w14:solidFill>
              <w14:schemeClr w14:val="tx1"/>
            </w14:solidFill>
          </w14:textFill>
        </w:rPr>
        <w:t>The optimal threshold determined by Youden's index was 0.332, which demonstrated good performance in balancing sensitivity and specificity. However, its applicability requires careful consideration in specific populations or clinical contexts. Future studies should explore threshold adjustments tailored to particular medical scenarios (e.g., high-risk surgical patients or elderly populations) to further optimize predictive performance across different applications. From a clinical decision-making perspective, comprehensive analysis of ROC curves and confusion matrices supports the model's potential value for preoperative risk stratification and postoperative intervention planning. Additional research should focus on external validation and real-world clinical evaluation to enhance the model's generalizability and practical utility.</w:t>
      </w:r>
    </w:p>
    <w:p w14:paraId="4ABE6784">
      <w:pPr>
        <w:numPr>
          <w:ilvl w:val="1"/>
          <w:numId w:val="2"/>
        </w:numPr>
        <w:spacing w:line="480" w:lineRule="auto"/>
        <w:outlineLvl w:val="1"/>
        <w:rPr>
          <w:rFonts w:hint="default" w:ascii="Times New Roman" w:hAnsi="Times New Roman" w:cs="Times New Roman"/>
          <w:b/>
          <w:bCs/>
          <w:sz w:val="32"/>
          <w:szCs w:val="32"/>
        </w:rPr>
      </w:pPr>
      <w:r>
        <w:rPr>
          <w:rFonts w:hint="default" w:ascii="Times New Roman" w:hAnsi="Times New Roman" w:cs="Times New Roman"/>
          <w:b/>
          <w:bCs/>
          <w:sz w:val="32"/>
          <w:szCs w:val="32"/>
        </w:rPr>
        <w:t>SHAP-based Feature Importance</w:t>
      </w:r>
    </w:p>
    <w:p w14:paraId="1BB86449">
      <w:pPr>
        <w:spacing w:line="480" w:lineRule="auto"/>
        <w:ind w:firstLine="420"/>
        <w:rPr>
          <w:rFonts w:hint="default" w:ascii="Times New Roman" w:hAnsi="Times New Roman" w:cs="Times New Roman"/>
        </w:rPr>
      </w:pPr>
      <w:r>
        <w:rPr>
          <w:rFonts w:hint="default" w:ascii="Times New Roman" w:hAnsi="Times New Roman" w:cs="Times New Roman"/>
        </w:rPr>
        <w:t>In this study, the SHAP (SHapley Additive exPlanations) method was applied to evaluate model interpretability and analyze the contribution of each preoperative clinical variable to AKI prediction</w:t>
      </w:r>
      <w:r>
        <w:rPr>
          <w:rFonts w:hint="default" w:ascii="Times New Roman" w:hAnsi="Times New Roman" w:cs="Times New Roman"/>
          <w:b/>
          <w:bCs/>
        </w:rPr>
        <w:t xml:space="preserve"> (Fig 10).</w:t>
      </w:r>
      <w:r>
        <w:rPr>
          <w:rFonts w:hint="default" w:ascii="Times New Roman" w:hAnsi="Times New Roman" w:cs="Times New Roman"/>
        </w:rPr>
        <w:t xml:space="preserve"> SHAP values quantify the average influence of individual features on model outputs, revealing potential biological mechanisms behind the model's decisions.</w:t>
      </w:r>
      <w:r>
        <w:rPr>
          <w:rFonts w:hint="default" w:ascii="Times New Roman" w:hAnsi="Times New Roman" w:cs="Times New Roman"/>
          <w:lang w:val="en-US" w:eastAsia="zh-CN"/>
        </w:rPr>
        <w:t xml:space="preserve"> </w:t>
      </w:r>
      <w:r>
        <w:rPr>
          <w:rFonts w:hint="default" w:ascii="Times New Roman" w:hAnsi="Times New Roman" w:cs="Times New Roman"/>
        </w:rPr>
        <w:t>Ranked by global mean absolute SHAP values:</w:t>
      </w:r>
    </w:p>
    <w:p w14:paraId="03EEC96E">
      <w:pPr>
        <w:numPr>
          <w:ilvl w:val="1"/>
          <w:numId w:val="7"/>
        </w:numPr>
        <w:spacing w:line="480" w:lineRule="auto"/>
        <w:rPr>
          <w:rFonts w:hint="default" w:ascii="Times New Roman" w:hAnsi="Times New Roman" w:cs="Times New Roman"/>
        </w:rPr>
      </w:pPr>
      <w:r>
        <w:rPr>
          <w:rFonts w:hint="default" w:ascii="Times New Roman" w:hAnsi="Times New Roman" w:cs="Times New Roman"/>
          <w:b/>
          <w:bCs/>
        </w:rPr>
        <w:t>Preoperative serum creatinine:</w:t>
      </w:r>
      <w:r>
        <w:rPr>
          <w:rFonts w:hint="default" w:ascii="Times New Roman" w:hAnsi="Times New Roman" w:cs="Times New Roman"/>
        </w:rPr>
        <w:t xml:space="preserve"> the most predictive indicator, reflecting the baseline renal function’s decisive role in postoperative AKI risk and underscoring the key clinical utility of traditional renal markers in early warning.</w:t>
      </w:r>
    </w:p>
    <w:p w14:paraId="2695D250">
      <w:pPr>
        <w:numPr>
          <w:ilvl w:val="1"/>
          <w:numId w:val="7"/>
        </w:numPr>
        <w:spacing w:line="480" w:lineRule="auto"/>
        <w:rPr>
          <w:rFonts w:hint="default" w:ascii="Times New Roman" w:hAnsi="Times New Roman" w:cs="Times New Roman"/>
        </w:rPr>
      </w:pPr>
      <w:r>
        <w:rPr>
          <w:rFonts w:hint="default" w:ascii="Times New Roman" w:hAnsi="Times New Roman" w:cs="Times New Roman"/>
          <w:b/>
          <w:bCs/>
        </w:rPr>
        <w:t xml:space="preserve">Age: </w:t>
      </w:r>
      <w:r>
        <w:rPr>
          <w:rFonts w:hint="default" w:ascii="Times New Roman" w:hAnsi="Times New Roman" w:cs="Times New Roman"/>
        </w:rPr>
        <w:t>increased susceptibility to AKI in elderly patients highlights the need to consider physiological aging in preoperative assessments.</w:t>
      </w:r>
    </w:p>
    <w:p w14:paraId="6F9C0D3F">
      <w:pPr>
        <w:numPr>
          <w:ilvl w:val="1"/>
          <w:numId w:val="7"/>
        </w:numPr>
        <w:spacing w:line="480" w:lineRule="auto"/>
        <w:rPr>
          <w:rFonts w:hint="default" w:ascii="Times New Roman" w:hAnsi="Times New Roman" w:cs="Times New Roman"/>
        </w:rPr>
      </w:pPr>
      <w:r>
        <w:rPr>
          <w:rFonts w:hint="default" w:ascii="Times New Roman" w:hAnsi="Times New Roman" w:cs="Times New Roman"/>
          <w:b/>
          <w:bCs/>
        </w:rPr>
        <w:t xml:space="preserve">Preoperative lactate: </w:t>
      </w:r>
      <w:r>
        <w:rPr>
          <w:rFonts w:hint="default" w:ascii="Times New Roman" w:hAnsi="Times New Roman" w:cs="Times New Roman"/>
        </w:rPr>
        <w:t>signifies the important influence of perioperative tissue hypoperfusion and metabolic disturbances on AKI pathogenesis.</w:t>
      </w:r>
    </w:p>
    <w:p w14:paraId="6D8B805C">
      <w:pPr>
        <w:spacing w:line="480" w:lineRule="auto"/>
        <w:ind w:firstLine="420"/>
        <w:rPr>
          <w:rFonts w:hint="default" w:ascii="Times New Roman" w:hAnsi="Times New Roman" w:cs="Times New Roman"/>
        </w:rPr>
      </w:pPr>
      <w:r>
        <w:rPr>
          <w:rFonts w:hint="default" w:ascii="Times New Roman" w:hAnsi="Times New Roman" w:cs="Times New Roman"/>
        </w:rPr>
        <w:t>Moreover, routine preoperative biochemical markers such as AST and blood urea nitrogen contributed moderately to prediction, whereas chronic comorbidities—hypertension, diabetes mellitus, and solitary kidney status—showed lower SHAP values, likely reflecting the small number of solitary kidney cases in our cohort and the model’s limited learning of this feature’s potential impact.</w:t>
      </w:r>
    </w:p>
    <w:p w14:paraId="1B4734A8">
      <w:pPr>
        <w:spacing w:line="480" w:lineRule="auto"/>
        <w:ind w:firstLine="420"/>
        <w:rPr>
          <w:rFonts w:hint="default" w:ascii="Times New Roman" w:hAnsi="Times New Roman" w:cs="Times New Roman"/>
          <w:b/>
          <w:bCs/>
        </w:rPr>
      </w:pPr>
      <w:r>
        <w:rPr>
          <w:rFonts w:hint="default" w:ascii="Times New Roman" w:hAnsi="Times New Roman" w:cs="Times New Roman"/>
        </w:rPr>
        <w:t>Overall, SHAP analysis not only confirmed the model’s effective capture of key clinical predictors but also provided clear targets for clinical intervention: preoperative monitoring and optimization of creatinine, lactate, and age-related risk factors are recommended to support precise risk stratification and the development of effective preventive strategies to reduce postoperative AKI incidence.</w:t>
      </w:r>
    </w:p>
    <w:p w14:paraId="416A60BC">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Discussion</w:t>
      </w:r>
    </w:p>
    <w:p w14:paraId="7E4DD1B7">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This study's postoperative AKI prediction algorithm offers significant methodological innovation. Traditional deep learning techniques perform poorly on small-sample data because of the short data samples, particularly when dealing with unbalanced data that is prone to overfitting.</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Because of this, despite having little data, Few-Shot Learning (FSL), a crucial area of study in artificial intelligence, may learn efficiently and produce precise predictions. This study successfully avoids the overfitting issue in the conventional methods and effectively enhances the model's generalization capacity by incorporating small-sample learning and data enhancement strategies, which guarantees the model's strong performance under restricted samples.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The model maintains clinical value while achieving excellent predicted accuracy through the integration of imaging data with routine preoperative clinical markers. The model's operability in the clinical setting is further enhanced by the fact that, according to systematic analysis, it only has to include 11 standard preoperative examination indicators to attain good predictive performance. In the meantime, the use of SHAP interpretative analysis guarantees the interpretability of model outcomes and successfully improves the transparency of model decision-making.</w:t>
      </w:r>
    </w:p>
    <w:p w14:paraId="76D35C21">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Our study creatively added the clinical feature of </w:t>
      </w:r>
      <w:r>
        <w:rPr>
          <w:rFonts w:hint="default" w:ascii="Times New Roman" w:hAnsi="Times New Roman" w:eastAsia="宋体" w:cs="Times New Roman"/>
          <w:lang w:val="en-US" w:eastAsia="zh-CN"/>
        </w:rPr>
        <w:t>“</w:t>
      </w:r>
      <w:r>
        <w:rPr>
          <w:rFonts w:hint="default" w:ascii="Times New Roman" w:hAnsi="Times New Roman" w:eastAsia="宋体" w:cs="Times New Roman"/>
        </w:rPr>
        <w:t>solitary kidney status</w:t>
      </w:r>
      <w:r>
        <w:rPr>
          <w:rFonts w:hint="default" w:ascii="Times New Roman" w:hAnsi="Times New Roman" w:eastAsia="宋体" w:cs="Times New Roman"/>
          <w:lang w:val="en-US" w:eastAsia="zh-CN"/>
        </w:rPr>
        <w:t>”</w:t>
      </w:r>
      <w:r>
        <w:rPr>
          <w:rFonts w:hint="default" w:ascii="Times New Roman" w:hAnsi="Times New Roman" w:eastAsia="宋体" w:cs="Times New Roman"/>
        </w:rPr>
        <w:t xml:space="preserve"> as an independent component in the selection of characteristics, in addition to combining the imaging and tabular data.</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We believe that the potential contribution of this feature to the model should not be overlooked, even though the SHAP analysis revealed a small effect of this factor on the model. This may be related to the small sample size of patients with solitary kidneys (only 7 out of 194 cases), and that this feature is based not only on clinical data (such as the patient's history) but also may be associated with imaging findings (such as the kidney's structural features), providing a multidimensional perspective that is especially relevant in certain high-risk patient populations.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The solitary kidney factor can become increasingly significant in the model as the sample size grows. Additionally, imaging data w</w:t>
      </w:r>
      <w:r>
        <w:rPr>
          <w:rFonts w:hint="default" w:ascii="Times New Roman" w:hAnsi="Times New Roman" w:eastAsia="宋体" w:cs="Times New Roman"/>
          <w:lang w:val="en-US" w:eastAsia="zh-CN"/>
        </w:rPr>
        <w:t>ere</w:t>
      </w:r>
      <w:r>
        <w:rPr>
          <w:rFonts w:hint="default" w:ascii="Times New Roman" w:hAnsi="Times New Roman" w:eastAsia="宋体" w:cs="Times New Roman"/>
        </w:rPr>
        <w:t xml:space="preserve"> crucial to our investigation. The current preoperative indicators can already be used for effective prediction, even though detailed imaging indicators like tumor size and location were left out. Future optimization of the imaging feature selection process can also be carried out, and additional structural and functional imaging data can be integrated to enhance the model's accuracy and clinical applicability.</w:t>
      </w:r>
    </w:p>
    <w:p w14:paraId="5D35FF6D">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Furthermore, the tabular data selection process adhered to the current international standards, which include diabetes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_Ref3721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[52]</w:t>
      </w:r>
      <w:r>
        <w:rPr>
          <w:rFonts w:hint="default" w:ascii="Times New Roman" w:hAnsi="Times New Roman" w:eastAsia="宋体" w:cs="Times New Roman"/>
        </w:rPr>
        <w:fldChar w:fldCharType="end"/>
      </w:r>
      <w:r>
        <w:rPr>
          <w:rFonts w:hint="default" w:ascii="Times New Roman" w:hAnsi="Times New Roman" w:eastAsia="宋体" w:cs="Times New Roman"/>
        </w:rPr>
        <w:t xml:space="preserve"> and hypertension</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_Ref3761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[53]</w:t>
      </w:r>
      <w:r>
        <w:rPr>
          <w:rFonts w:hint="default" w:ascii="Times New Roman" w:hAnsi="Times New Roman" w:eastAsia="宋体" w:cs="Times New Roman"/>
        </w:rPr>
        <w:fldChar w:fldCharType="end"/>
      </w:r>
      <w:r>
        <w:rPr>
          <w:rFonts w:hint="default" w:ascii="Times New Roman" w:hAnsi="Times New Roman" w:eastAsia="宋体" w:cs="Times New Roman"/>
        </w:rPr>
        <w:t xml:space="preserve"> as predictors. According to earlier research, the two main chronic conditions influencing renal function are diabetes mellitus and hypertension, both of which have long-term impacts on the kidney through chronic pathways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_Ref3793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[54</w:t>
      </w:r>
      <w:r>
        <w:rPr>
          <w:rFonts w:hint="default" w:ascii="Times New Roman" w:hAnsi="Times New Roman" w:eastAsia="宋体" w:cs="Times New Roman"/>
          <w:lang w:val="en-US" w:eastAsia="zh-CN"/>
        </w:rPr>
        <w:t>,</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REF _Ref3797 \r \h  \* MERGEFORMAT </w:instrText>
      </w:r>
      <w:r>
        <w:rPr>
          <w:rFonts w:hint="default" w:ascii="Times New Roman" w:hAnsi="Times New Roman" w:eastAsia="宋体" w:cs="Times New Roman"/>
        </w:rPr>
        <w:fldChar w:fldCharType="separate"/>
      </w:r>
      <w:r>
        <w:rPr>
          <w:rFonts w:hint="default" w:ascii="Times New Roman" w:hAnsi="Times New Roman" w:eastAsia="宋体" w:cs="Times New Roman"/>
        </w:rPr>
        <w:t>55]</w:t>
      </w:r>
      <w:r>
        <w:rPr>
          <w:rFonts w:hint="default" w:ascii="Times New Roman" w:hAnsi="Times New Roman" w:eastAsia="宋体" w:cs="Times New Roman"/>
        </w:rPr>
        <w:fldChar w:fldCharType="end"/>
      </w:r>
      <w:r>
        <w:rPr>
          <w:rFonts w:hint="default" w:ascii="Times New Roman" w:hAnsi="Times New Roman" w:eastAsia="宋体" w:cs="Times New Roman"/>
        </w:rPr>
        <w:t>. Consequently, a more thorough clinical viewpoint for forecasting postoperative AKI is offered by the model's incorporation of preoperative blood pressure and glucose levels, as well as the presence of diabetes and hypertension.</w:t>
      </w:r>
    </w:p>
    <w:p w14:paraId="20A12456">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From a pathophysiological point of view, the model's primary predictors not only support current clinical knowledge but also offer new insights into the possible mechanisms through which preoperative metabolic status (such as lactate level</w:t>
      </w:r>
      <w:r>
        <w:rPr>
          <w:rFonts w:hint="default" w:ascii="Times New Roman" w:hAnsi="Times New Roman" w:eastAsia="宋体" w:cs="Times New Roman"/>
          <w:lang w:val="en-US" w:eastAsia="zh-CN"/>
        </w:rPr>
        <w:t>s</w:t>
      </w:r>
      <w:r>
        <w:rPr>
          <w:rFonts w:hint="default" w:ascii="Times New Roman" w:hAnsi="Times New Roman" w:eastAsia="宋体" w:cs="Times New Roman"/>
        </w:rPr>
        <w:t>) influences the development of postoperative AKI. With regard to clinical translation, the current model differs from earlier prediction systems that depend on specialized testing methods; it uses standard preoperative screening indicators, which increases its generalizability. Specifically, the model's probabilistic risk score values can be easily incorporated into current clinical decision pathways, significantly aiding physicians in making preoperative decisions.</w:t>
      </w:r>
    </w:p>
    <w:p w14:paraId="3E563460">
      <w:pPr>
        <w:spacing w:line="480" w:lineRule="auto"/>
        <w:ind w:firstLine="420"/>
        <w:rPr>
          <w:rFonts w:hint="default" w:ascii="Times New Roman" w:hAnsi="Times New Roman" w:eastAsia="宋体" w:cs="Times New Roman"/>
          <w:lang w:val="en-US" w:eastAsia="zh-CN"/>
        </w:rPr>
      </w:pPr>
      <w:r>
        <w:rPr>
          <w:rFonts w:hint="default" w:ascii="Times New Roman" w:hAnsi="Times New Roman" w:eastAsia="宋体" w:cs="Times New Roman"/>
        </w:rPr>
        <w:t>Nonetheless, there are still certain restrictions on the current study. In addition, the current model only provides static preoperative prediction and excludes intraoperative and postoperative dynamic monitoring data, which somewhat affects the real-time and accuracy of the prediction. The single-center data source limits the model's generalization ability, particularly the validity in special populations (such as children, patients with a single kidney, or patients with severe renal impairment), which has not yet been confirmed.</w:t>
      </w:r>
      <w:r>
        <w:rPr>
          <w:rFonts w:hint="default" w:ascii="Times New Roman" w:hAnsi="Times New Roman" w:eastAsia="宋体" w:cs="Times New Roman"/>
          <w:lang w:val="en-US" w:eastAsia="zh-CN"/>
        </w:rPr>
        <w:t xml:space="preserve"> Future research should focus on developing dynamic and continuously updated prediction models to enhance robustness and generalizability across diverse surgical populations. In addition, establishing </w:t>
      </w:r>
      <w:r>
        <w:rPr>
          <w:rFonts w:hint="default" w:ascii="Times New Roman" w:hAnsi="Times New Roman" w:eastAsia="宋体" w:cs="Times New Roman"/>
          <w:b/>
          <w:bCs/>
          <w:lang w:val="en-US" w:eastAsia="zh-CN"/>
        </w:rPr>
        <w:t>temporal and multicenter validation frameworks</w:t>
      </w:r>
      <w:r>
        <w:rPr>
          <w:rFonts w:hint="default" w:ascii="Times New Roman" w:hAnsi="Times New Roman" w:eastAsia="宋体" w:cs="Times New Roman"/>
          <w:lang w:val="en-US" w:eastAsia="zh-CN"/>
        </w:rPr>
        <w:t xml:space="preserve"> will be crucial to ensure model reliability over time and across institutions.</w:t>
      </w:r>
    </w:p>
    <w:p w14:paraId="44CCA5C0">
      <w:pPr>
        <w:spacing w:line="480" w:lineRule="auto"/>
        <w:ind w:firstLine="42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Additionally, the </w:t>
      </w:r>
      <w:r>
        <w:rPr>
          <w:rFonts w:hint="default" w:ascii="Times New Roman" w:hAnsi="Times New Roman" w:eastAsia="宋体" w:cs="Times New Roman"/>
          <w:b/>
          <w:bCs/>
          <w:lang w:val="en-US" w:eastAsia="zh-CN"/>
        </w:rPr>
        <w:t>temporal validity</w:t>
      </w:r>
      <w:r>
        <w:rPr>
          <w:rFonts w:hint="default" w:ascii="Times New Roman" w:hAnsi="Times New Roman" w:eastAsia="宋体" w:cs="Times New Roman"/>
          <w:lang w:val="en-US" w:eastAsia="zh-CN"/>
        </w:rPr>
        <w:t xml:space="preserve"> of the model should be acknowledged. As the model was developed from historical single-center data, future changes in perioperative workflows, surgical techniques and instruments, anesthesia and hemodynamic management, and laboratory testing methods may alter the distribution of input features and the incidence of AKI, potentially leading to </w:t>
      </w:r>
      <w:r>
        <w:rPr>
          <w:rFonts w:hint="default" w:ascii="Times New Roman" w:hAnsi="Times New Roman" w:eastAsia="宋体" w:cs="Times New Roman"/>
          <w:b/>
          <w:bCs/>
          <w:lang w:val="en-US" w:eastAsia="zh-CN"/>
        </w:rPr>
        <w:t>temporal performance drift</w:t>
      </w:r>
      <w:r>
        <w:rPr>
          <w:rFonts w:hint="default" w:ascii="Times New Roman" w:hAnsi="Times New Roman" w:eastAsia="宋体" w:cs="Times New Roman"/>
          <w:lang w:val="en-US" w:eastAsia="zh-CN"/>
        </w:rPr>
        <w:t xml:space="preserve">. To mitigate this risk, we plan to perform </w:t>
      </w:r>
      <w:r>
        <w:rPr>
          <w:rFonts w:hint="default" w:ascii="Times New Roman" w:hAnsi="Times New Roman" w:eastAsia="宋体" w:cs="Times New Roman"/>
          <w:b/>
          <w:bCs/>
          <w:lang w:val="en-US" w:eastAsia="zh-CN"/>
        </w:rPr>
        <w:t>temporal external and multicenter validation</w:t>
      </w:r>
      <w:r>
        <w:rPr>
          <w:rFonts w:hint="default" w:ascii="Times New Roman" w:hAnsi="Times New Roman" w:eastAsia="宋体" w:cs="Times New Roman"/>
          <w:lang w:val="en-US" w:eastAsia="zh-CN"/>
        </w:rPr>
        <w:t xml:space="preserve">, and to establish </w:t>
      </w:r>
      <w:r>
        <w:rPr>
          <w:rFonts w:hint="default" w:ascii="Times New Roman" w:hAnsi="Times New Roman" w:eastAsia="宋体" w:cs="Times New Roman"/>
          <w:b/>
          <w:bCs/>
          <w:lang w:val="en-US" w:eastAsia="zh-CN"/>
        </w:rPr>
        <w:t>regular performance monitoring and recalibration procedures</w:t>
      </w:r>
      <w:r>
        <w:rPr>
          <w:rFonts w:hint="default" w:ascii="Times New Roman" w:hAnsi="Times New Roman" w:eastAsia="宋体" w:cs="Times New Roman"/>
          <w:lang w:val="en-US" w:eastAsia="zh-CN"/>
        </w:rPr>
        <w:t>. Furthermore, integration with hospital information systems will be advanced to ensure the model’s temporal stability and clinical applicability in real-world practice.</w:t>
      </w:r>
    </w:p>
    <w:p w14:paraId="03372AD3">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From a clinical perspective, the </w:t>
      </w:r>
      <w:r>
        <w:rPr>
          <w:rFonts w:hint="default" w:ascii="Times New Roman" w:hAnsi="Times New Roman" w:eastAsia="宋体" w:cs="Times New Roman"/>
          <w:b/>
          <w:bCs/>
        </w:rPr>
        <w:t>potential usefulness</w:t>
      </w:r>
      <w:r>
        <w:rPr>
          <w:rFonts w:hint="default" w:ascii="Times New Roman" w:hAnsi="Times New Roman" w:eastAsia="宋体" w:cs="Times New Roman"/>
        </w:rPr>
        <w:t xml:space="preserve"> of our model lies in its contribution to </w:t>
      </w:r>
      <w:r>
        <w:rPr>
          <w:rFonts w:hint="default" w:ascii="Times New Roman" w:hAnsi="Times New Roman" w:eastAsia="宋体" w:cs="Times New Roman"/>
          <w:b/>
          <w:bCs/>
        </w:rPr>
        <w:t>perioperative preventive medicine</w:t>
      </w:r>
      <w:r>
        <w:rPr>
          <w:rFonts w:hint="default" w:ascii="Times New Roman" w:hAnsi="Times New Roman" w:eastAsia="宋体" w:cs="Times New Roman"/>
        </w:rPr>
        <w:t xml:space="preserve">. By accurately identifying high-risk patients before surgery, clinicians may implement </w:t>
      </w:r>
      <w:r>
        <w:rPr>
          <w:rFonts w:hint="default" w:ascii="Times New Roman" w:hAnsi="Times New Roman" w:eastAsia="宋体" w:cs="Times New Roman"/>
          <w:b/>
          <w:bCs/>
        </w:rPr>
        <w:t>targeted preventive strategies</w:t>
      </w:r>
      <w:r>
        <w:rPr>
          <w:rFonts w:hint="default" w:ascii="Times New Roman" w:hAnsi="Times New Roman" w:eastAsia="宋体" w:cs="Times New Roman"/>
          <w:b/>
          <w:bCs/>
          <w:lang w:val="en-US" w:eastAsia="zh-CN"/>
        </w:rPr>
        <w:t xml:space="preserve">, </w:t>
      </w:r>
      <w:r>
        <w:rPr>
          <w:rFonts w:hint="default" w:ascii="Times New Roman" w:hAnsi="Times New Roman" w:eastAsia="宋体" w:cs="Times New Roman"/>
        </w:rPr>
        <w:t xml:space="preserve">such as minimizing nephrotoxic drug exposure, maintaining hemodynamic stability, and optimizing volume management—to </w:t>
      </w:r>
      <w:r>
        <w:rPr>
          <w:rFonts w:hint="default" w:ascii="Times New Roman" w:hAnsi="Times New Roman" w:eastAsia="宋体" w:cs="Times New Roman"/>
          <w:b/>
          <w:bCs/>
        </w:rPr>
        <w:t>potentially reduce postoperative AKI incidence</w:t>
      </w:r>
      <w:r>
        <w:rPr>
          <w:rFonts w:hint="default" w:ascii="Times New Roman" w:hAnsi="Times New Roman" w:eastAsia="宋体" w:cs="Times New Roman"/>
          <w:b/>
          <w:bCs/>
          <w:lang w:val="en-US" w:eastAsia="zh-CN"/>
        </w:rPr>
        <w:t xml:space="preserve"> </w:t>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_Ref16897 \r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lang w:val="en-US"/>
        </w:rPr>
        <w:t>[3]</w:t>
      </w:r>
      <w:r>
        <w:rPr>
          <w:rFonts w:hint="default" w:ascii="Times New Roman" w:hAnsi="Times New Roman" w:eastAsia="宋体" w:cs="Times New Roman"/>
          <w:lang w:val="en-US"/>
        </w:rPr>
        <w:fldChar w:fldCharType="end"/>
      </w:r>
      <w:r>
        <w:rPr>
          <w:rFonts w:hint="default" w:ascii="Times New Roman" w:hAnsi="Times New Roman" w:eastAsia="宋体" w:cs="Times New Roman"/>
        </w:rPr>
        <w:t>.</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Furthermore, building upon advances in early AKI warning systems and EMR-based decision-support tools</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_Ref23559 \r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lang w:val="en-US"/>
        </w:rPr>
        <w:t>[7</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rPr>
        <w:fldChar w:fldCharType="end"/>
      </w:r>
      <w:r>
        <w:rPr>
          <w:rFonts w:hint="default" w:ascii="Times New Roman" w:hAnsi="Times New Roman" w:eastAsia="宋体" w:cs="Times New Roman"/>
          <w:lang w:val="en-US"/>
        </w:rPr>
        <w:fldChar w:fldCharType="begin"/>
      </w:r>
      <w:r>
        <w:rPr>
          <w:rFonts w:hint="default" w:ascii="Times New Roman" w:hAnsi="Times New Roman" w:eastAsia="宋体" w:cs="Times New Roman"/>
          <w:lang w:val="en-US"/>
        </w:rPr>
        <w:instrText xml:space="preserve"> REF _Ref22822 \r \h </w:instrText>
      </w:r>
      <w:r>
        <w:rPr>
          <w:rFonts w:hint="default" w:ascii="Times New Roman" w:hAnsi="Times New Roman" w:eastAsia="宋体" w:cs="Times New Roman"/>
          <w:lang w:val="en-US"/>
        </w:rPr>
        <w:fldChar w:fldCharType="separate"/>
      </w:r>
      <w:r>
        <w:rPr>
          <w:rFonts w:hint="default" w:ascii="Times New Roman" w:hAnsi="Times New Roman" w:eastAsia="宋体" w:cs="Times New Roman"/>
          <w:lang w:val="en-US"/>
        </w:rPr>
        <w:t>56]</w:t>
      </w:r>
      <w:r>
        <w:rPr>
          <w:rFonts w:hint="default" w:ascii="Times New Roman" w:hAnsi="Times New Roman" w:eastAsia="宋体" w:cs="Times New Roman"/>
          <w:lang w:val="en-US"/>
        </w:rPr>
        <w:fldChar w:fldCharType="end"/>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 xml:space="preserve">integration of our </w:t>
      </w:r>
      <w:r>
        <w:rPr>
          <w:rFonts w:hint="default" w:ascii="Times New Roman" w:hAnsi="Times New Roman" w:eastAsia="宋体" w:cs="Times New Roman"/>
          <w:b/>
          <w:bCs/>
        </w:rPr>
        <w:t>surgery-specific model</w:t>
      </w:r>
      <w:r>
        <w:rPr>
          <w:rFonts w:hint="default" w:ascii="Times New Roman" w:hAnsi="Times New Roman" w:eastAsia="宋体" w:cs="Times New Roman"/>
        </w:rPr>
        <w:t xml:space="preserve"> into these platforms could facilitate</w:t>
      </w:r>
      <w:r>
        <w:rPr>
          <w:rFonts w:hint="default" w:ascii="Times New Roman" w:hAnsi="Times New Roman" w:eastAsia="宋体" w:cs="Times New Roman"/>
          <w:b/>
          <w:bCs/>
        </w:rPr>
        <w:t xml:space="preserve"> real-time risk monitoring and proactive intervention</w:t>
      </w:r>
      <w:r>
        <w:rPr>
          <w:rFonts w:hint="default" w:ascii="Times New Roman" w:hAnsi="Times New Roman" w:eastAsia="宋体" w:cs="Times New Roman"/>
        </w:rPr>
        <w:t>, providing a conceptual and practical foundation for intelligent postoperative complication management.</w:t>
      </w:r>
    </w:p>
    <w:p w14:paraId="2F674149">
      <w:pPr>
        <w:numPr>
          <w:ilvl w:val="0"/>
          <w:numId w:val="2"/>
        </w:num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Acknowledgments</w:t>
      </w:r>
    </w:p>
    <w:p w14:paraId="4A92686E">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Special thanks to Associate Professor Jun Li for his invaluable guidance, which made this project possible. I am also grateful to Attending Physician Zhen Yang for his insightful comments on the manuscript. Additionally, I extend my appreciation to all colleagues in the lab for their unwavering support and collaboration—this research would not have been possible without your contributions.</w:t>
      </w:r>
    </w:p>
    <w:p w14:paraId="218AAB88">
      <w:pPr>
        <w:spacing w:line="480" w:lineRule="auto"/>
        <w:outlineLvl w:val="0"/>
        <w:rPr>
          <w:rFonts w:hint="default" w:ascii="Times New Roman" w:hAnsi="Times New Roman" w:cs="Times New Roman"/>
          <w:b/>
          <w:bCs/>
          <w:sz w:val="36"/>
          <w:szCs w:val="36"/>
        </w:rPr>
      </w:pPr>
      <w:r>
        <w:rPr>
          <w:rFonts w:hint="default" w:ascii="Times New Roman" w:hAnsi="Times New Roman" w:cs="Times New Roman"/>
          <w:b/>
          <w:bCs/>
          <w:sz w:val="36"/>
          <w:szCs w:val="36"/>
        </w:rPr>
        <w:t>References</w:t>
      </w:r>
    </w:p>
    <w:p w14:paraId="57799A1F">
      <w:pPr>
        <w:numPr>
          <w:ilvl w:val="0"/>
          <w:numId w:val="8"/>
        </w:numPr>
        <w:spacing w:line="480" w:lineRule="auto"/>
        <w:rPr>
          <w:rFonts w:hint="default" w:ascii="Times New Roman" w:hAnsi="Times New Roman" w:cs="Times New Roman"/>
        </w:rPr>
      </w:pPr>
      <w:bookmarkStart w:id="5" w:name="_Ref6532"/>
      <w:r>
        <w:rPr>
          <w:rFonts w:hint="default" w:ascii="Times New Roman" w:hAnsi="Times New Roman" w:cs="Times New Roman"/>
        </w:rPr>
        <w:t>Kidney Disease: Improving Global Outcomes (KDIGO) Acute Kidney Injury Work Group. KDIGO clinical practice guidelines for acute kidney injury. </w:t>
      </w:r>
      <w:r>
        <w:rPr>
          <w:rFonts w:hint="default" w:ascii="Times New Roman" w:hAnsi="Times New Roman" w:cs="Times New Roman"/>
          <w:i/>
          <w:iCs/>
        </w:rPr>
        <w:t>Kidney Int Suppl.</w:t>
      </w:r>
      <w:r>
        <w:rPr>
          <w:rFonts w:hint="default" w:ascii="Times New Roman" w:hAnsi="Times New Roman" w:cs="Times New Roman"/>
        </w:rPr>
        <w:t> 2021;100(4S):S1</w:t>
      </w:r>
      <w:r>
        <w:rPr>
          <w:rFonts w:hint="eastAsia" w:cs="Times New Roman"/>
          <w:lang w:val="en-US" w:eastAsia="zh-CN"/>
        </w:rPr>
        <w:t>-</w:t>
      </w:r>
      <w:r>
        <w:rPr>
          <w:rFonts w:hint="default" w:ascii="Times New Roman" w:hAnsi="Times New Roman" w:cs="Times New Roman"/>
        </w:rPr>
        <w:t>S126. doi:10.1016/j.kint.2021.05.001</w:t>
      </w:r>
      <w:bookmarkEnd w:id="5"/>
    </w:p>
    <w:p w14:paraId="4A9273BE">
      <w:pPr>
        <w:numPr>
          <w:ilvl w:val="0"/>
          <w:numId w:val="8"/>
        </w:numPr>
        <w:spacing w:line="480" w:lineRule="auto"/>
        <w:rPr>
          <w:rFonts w:hint="default" w:ascii="Times New Roman" w:hAnsi="Times New Roman" w:cs="Times New Roman"/>
        </w:rPr>
      </w:pPr>
      <w:bookmarkStart w:id="6" w:name="_Ref3036"/>
      <w:bookmarkStart w:id="7" w:name="_Ref16891"/>
      <w:r>
        <w:rPr>
          <w:rFonts w:hint="default" w:ascii="Times New Roman" w:hAnsi="Times New Roman" w:cs="Times New Roman"/>
        </w:rPr>
        <w:t>Kellum JA, Lameire N, et al. KDIGO Clinical Practice Guideline for Acute Kidney Injury.</w:t>
      </w:r>
      <w:r>
        <w:rPr>
          <w:rFonts w:hint="default" w:ascii="Times New Roman" w:hAnsi="Times New Roman" w:cs="Times New Roman"/>
          <w:i/>
          <w:iCs/>
        </w:rPr>
        <w:t xml:space="preserve"> </w:t>
      </w:r>
      <w:bookmarkEnd w:id="6"/>
      <w:r>
        <w:rPr>
          <w:rFonts w:hint="default" w:ascii="Times New Roman" w:hAnsi="Times New Roman" w:cs="Times New Roman"/>
          <w:i/>
          <w:iCs/>
        </w:rPr>
        <w:t xml:space="preserve">Kidney Int Suppl. </w:t>
      </w:r>
      <w:r>
        <w:rPr>
          <w:rFonts w:hint="default" w:ascii="Times New Roman" w:hAnsi="Times New Roman" w:cs="Times New Roman"/>
        </w:rPr>
        <w:t>2012;2(1):1–138.</w:t>
      </w:r>
      <w:bookmarkEnd w:id="7"/>
    </w:p>
    <w:p w14:paraId="2EB3B2BB">
      <w:pPr>
        <w:numPr>
          <w:ilvl w:val="0"/>
          <w:numId w:val="8"/>
        </w:numPr>
        <w:spacing w:line="480" w:lineRule="auto"/>
        <w:rPr>
          <w:rFonts w:hint="default" w:ascii="Times New Roman" w:hAnsi="Times New Roman" w:cs="Times New Roman"/>
        </w:rPr>
      </w:pPr>
      <w:bookmarkStart w:id="8" w:name="_Ref16897"/>
      <w:r>
        <w:rPr>
          <w:rFonts w:hint="default" w:ascii="Times New Roman" w:hAnsi="Times New Roman" w:cs="Times New Roman"/>
        </w:rPr>
        <w:t xml:space="preserve">Gumbert SD, Kork F, Jackson ML, et al. Perioperative acute kidney injury. </w:t>
      </w:r>
      <w:r>
        <w:rPr>
          <w:rFonts w:hint="default" w:ascii="Times New Roman" w:hAnsi="Times New Roman" w:cs="Times New Roman"/>
          <w:i/>
          <w:iCs/>
        </w:rPr>
        <w:t xml:space="preserve">Anesthesiology. </w:t>
      </w:r>
      <w:r>
        <w:rPr>
          <w:rFonts w:hint="default" w:ascii="Times New Roman" w:hAnsi="Times New Roman" w:cs="Times New Roman"/>
        </w:rPr>
        <w:t>2020;132(1):180–204.</w:t>
      </w:r>
      <w:bookmarkEnd w:id="8"/>
    </w:p>
    <w:p w14:paraId="451F76F9">
      <w:pPr>
        <w:numPr>
          <w:ilvl w:val="0"/>
          <w:numId w:val="8"/>
        </w:numPr>
        <w:spacing w:line="480" w:lineRule="auto"/>
        <w:rPr>
          <w:rFonts w:hint="default" w:ascii="Times New Roman" w:hAnsi="Times New Roman" w:cs="Times New Roman"/>
        </w:rPr>
      </w:pPr>
      <w:bookmarkStart w:id="9" w:name="_Ref19954"/>
      <w:r>
        <w:rPr>
          <w:rFonts w:hint="default" w:ascii="Times New Roman" w:hAnsi="Times New Roman" w:cs="Times New Roman"/>
        </w:rPr>
        <w:t xml:space="preserve">Mårtensson J, Bellomo R. Acute kidney injury: diagnosis and early management. </w:t>
      </w:r>
      <w:r>
        <w:rPr>
          <w:rFonts w:hint="default" w:ascii="Times New Roman" w:hAnsi="Times New Roman" w:cs="Times New Roman"/>
          <w:i/>
          <w:iCs/>
        </w:rPr>
        <w:t xml:space="preserve">Nephron Clin Pract. </w:t>
      </w:r>
      <w:r>
        <w:rPr>
          <w:rFonts w:hint="default" w:ascii="Times New Roman" w:hAnsi="Times New Roman" w:cs="Times New Roman"/>
        </w:rPr>
        <w:t>2012;120(4):191</w:t>
      </w:r>
      <w:r>
        <w:rPr>
          <w:rFonts w:hint="eastAsia" w:cs="Times New Roman"/>
          <w:lang w:val="en-US" w:eastAsia="zh-CN"/>
        </w:rPr>
        <w:t>-</w:t>
      </w:r>
      <w:r>
        <w:rPr>
          <w:rFonts w:hint="default" w:ascii="Times New Roman" w:hAnsi="Times New Roman" w:cs="Times New Roman"/>
        </w:rPr>
        <w:t>196.</w:t>
      </w:r>
      <w:bookmarkEnd w:id="9"/>
    </w:p>
    <w:p w14:paraId="66348777">
      <w:pPr>
        <w:numPr>
          <w:ilvl w:val="0"/>
          <w:numId w:val="8"/>
        </w:numPr>
        <w:spacing w:line="480" w:lineRule="auto"/>
        <w:rPr>
          <w:rFonts w:hint="default" w:ascii="Times New Roman" w:hAnsi="Times New Roman" w:cs="Times New Roman"/>
        </w:rPr>
      </w:pPr>
      <w:bookmarkStart w:id="10" w:name="_Ref5057"/>
      <w:r>
        <w:rPr>
          <w:rFonts w:hint="default" w:ascii="Times New Roman" w:hAnsi="Times New Roman" w:cs="Times New Roman"/>
        </w:rPr>
        <w:t xml:space="preserve">Mohamadlou H, et al. Prediction of Acute Kidney Injury with a Machine Learning Algorithm Using Electronic Health Record Data. </w:t>
      </w:r>
      <w:r>
        <w:rPr>
          <w:rFonts w:hint="default" w:ascii="Times New Roman" w:hAnsi="Times New Roman" w:cs="Times New Roman"/>
          <w:i/>
          <w:iCs/>
        </w:rPr>
        <w:t>J Am Med Inform Assoc.</w:t>
      </w:r>
      <w:r>
        <w:rPr>
          <w:rFonts w:hint="default" w:ascii="Times New Roman" w:hAnsi="Times New Roman" w:cs="Times New Roman"/>
        </w:rPr>
        <w:t xml:space="preserve"> 2018;25(11):1395-1403. doi:10.1093/jamia/ocy115.</w:t>
      </w:r>
      <w:bookmarkEnd w:id="10"/>
    </w:p>
    <w:p w14:paraId="4BBCD63A">
      <w:pPr>
        <w:numPr>
          <w:ilvl w:val="0"/>
          <w:numId w:val="8"/>
        </w:numPr>
        <w:spacing w:line="480" w:lineRule="auto"/>
        <w:rPr>
          <w:rFonts w:hint="default" w:ascii="Times New Roman" w:hAnsi="Times New Roman" w:cs="Times New Roman"/>
        </w:rPr>
      </w:pPr>
      <w:bookmarkStart w:id="11" w:name="_Ref22488"/>
      <w:r>
        <w:rPr>
          <w:rFonts w:hint="default" w:ascii="Times New Roman" w:hAnsi="Times New Roman" w:cs="Times New Roman"/>
        </w:rPr>
        <w:t>Yang L, et al. Acute Kidney Injury in China: A Nationwide Survey.</w:t>
      </w:r>
      <w:r>
        <w:rPr>
          <w:rFonts w:hint="default" w:ascii="Times New Roman" w:hAnsi="Times New Roman" w:cs="Times New Roman"/>
          <w:i/>
          <w:iCs/>
        </w:rPr>
        <w:t xml:space="preserve"> The Lancet. </w:t>
      </w:r>
      <w:r>
        <w:rPr>
          <w:rFonts w:hint="default" w:ascii="Times New Roman" w:hAnsi="Times New Roman" w:cs="Times New Roman"/>
        </w:rPr>
        <w:t>2015;386(10005):1465-1471. doi:10.1016/S0140-6736(15)00363-0.</w:t>
      </w:r>
      <w:bookmarkEnd w:id="11"/>
    </w:p>
    <w:p w14:paraId="3C5B3F6B">
      <w:pPr>
        <w:numPr>
          <w:ilvl w:val="0"/>
          <w:numId w:val="8"/>
        </w:numPr>
        <w:spacing w:line="480" w:lineRule="auto"/>
        <w:rPr>
          <w:rFonts w:hint="default" w:ascii="Times New Roman" w:hAnsi="Times New Roman" w:cs="Times New Roman"/>
        </w:rPr>
      </w:pPr>
      <w:bookmarkStart w:id="12" w:name="_Ref23559"/>
      <w:r>
        <w:rPr>
          <w:rFonts w:hint="default" w:ascii="Times New Roman" w:hAnsi="Times New Roman" w:cs="Times New Roman"/>
        </w:rPr>
        <w:t xml:space="preserve">Tomašev N, et al. A clinically applicable approach to continuous prediction of acute kidney injury. </w:t>
      </w:r>
      <w:r>
        <w:rPr>
          <w:rFonts w:hint="default" w:ascii="Times New Roman" w:hAnsi="Times New Roman" w:cs="Times New Roman"/>
          <w:i/>
          <w:iCs/>
        </w:rPr>
        <w:t>Nature.</w:t>
      </w:r>
      <w:r>
        <w:rPr>
          <w:rFonts w:hint="default" w:ascii="Times New Roman" w:hAnsi="Times New Roman" w:cs="Times New Roman"/>
        </w:rPr>
        <w:t xml:space="preserve"> 2019;573(7775):99-104. doi:10.1038/s41586-019-1364-2.</w:t>
      </w:r>
      <w:bookmarkEnd w:id="12"/>
    </w:p>
    <w:p w14:paraId="4362A96E">
      <w:pPr>
        <w:numPr>
          <w:ilvl w:val="0"/>
          <w:numId w:val="8"/>
        </w:numPr>
        <w:spacing w:line="480" w:lineRule="auto"/>
        <w:rPr>
          <w:rFonts w:hint="default" w:ascii="Times New Roman" w:hAnsi="Times New Roman" w:cs="Times New Roman"/>
        </w:rPr>
      </w:pPr>
      <w:bookmarkStart w:id="13" w:name="_Ref28026"/>
      <w:r>
        <w:rPr>
          <w:rFonts w:hint="default" w:ascii="Times New Roman" w:hAnsi="Times New Roman" w:cs="Times New Roman"/>
        </w:rPr>
        <w:t>Kawase K, Enomoto T, Kawase M, et al. The Impact of Postoperative Renal Function Recovery after Laparoscopic and Robot-Assisted Partial Nephrectomy in Patients with Renal Cell Carcinoma. Medicina. 2022;58(4):485. doi:10.3390/medicina58040485.</w:t>
      </w:r>
      <w:bookmarkEnd w:id="13"/>
    </w:p>
    <w:p w14:paraId="70B0F476">
      <w:pPr>
        <w:numPr>
          <w:ilvl w:val="0"/>
          <w:numId w:val="8"/>
        </w:numPr>
        <w:spacing w:line="480" w:lineRule="auto"/>
        <w:rPr>
          <w:rFonts w:hint="default" w:ascii="Times New Roman" w:hAnsi="Times New Roman" w:cs="Times New Roman"/>
        </w:rPr>
      </w:pPr>
      <w:bookmarkStart w:id="14" w:name="_Ref28203"/>
      <w:r>
        <w:rPr>
          <w:rFonts w:hint="default" w:ascii="Times New Roman" w:hAnsi="Times New Roman" w:cs="Times New Roman"/>
        </w:rPr>
        <w:t>Nicaise E, Feldman AS, Gusev A, et al. A contemporary comparison of laparoscopic versus open partial nephrectomy for renal cell carcinoma. BMC Urol. 2024;24(1):58. doi:10.1186/s12894-024-01423-w.</w:t>
      </w:r>
      <w:bookmarkEnd w:id="14"/>
    </w:p>
    <w:p w14:paraId="5127AE98">
      <w:pPr>
        <w:numPr>
          <w:ilvl w:val="0"/>
          <w:numId w:val="8"/>
        </w:numPr>
        <w:spacing w:line="480" w:lineRule="auto"/>
        <w:rPr>
          <w:rFonts w:hint="default" w:ascii="Times New Roman" w:hAnsi="Times New Roman" w:cs="Times New Roman"/>
        </w:rPr>
      </w:pPr>
      <w:bookmarkStart w:id="15" w:name="_Ref3117"/>
      <w:r>
        <w:rPr>
          <w:rFonts w:hint="default" w:ascii="Times New Roman" w:hAnsi="Times New Roman" w:cs="Times New Roman"/>
        </w:rPr>
        <w:t>Lazebnik T, Egorov A, Smolyak D, et al. Predicting acute kidney injury following open partial nephrectomy using machine learning. BMC Med Inform Decis Mak. 2022;22:210.</w:t>
      </w:r>
      <w:bookmarkEnd w:id="15"/>
    </w:p>
    <w:p w14:paraId="350339AB">
      <w:pPr>
        <w:numPr>
          <w:ilvl w:val="0"/>
          <w:numId w:val="8"/>
        </w:numPr>
        <w:spacing w:line="480" w:lineRule="auto"/>
        <w:rPr>
          <w:rFonts w:hint="default" w:ascii="Times New Roman" w:hAnsi="Times New Roman" w:cs="Times New Roman"/>
        </w:rPr>
      </w:pPr>
      <w:bookmarkStart w:id="16" w:name="_Ref3323"/>
      <w:r>
        <w:rPr>
          <w:rFonts w:hint="default" w:ascii="Times New Roman" w:hAnsi="Times New Roman" w:cs="Times New Roman"/>
        </w:rPr>
        <w:t>Bravi CA, et al. Toward individualized approaches to partial nephrectomy. Curr Opin Urol. 2021;31(1)</w:t>
      </w:r>
      <w:bookmarkEnd w:id="16"/>
    </w:p>
    <w:p w14:paraId="3E661FF9">
      <w:pPr>
        <w:numPr>
          <w:ilvl w:val="0"/>
          <w:numId w:val="8"/>
        </w:numPr>
        <w:spacing w:line="480" w:lineRule="auto"/>
        <w:rPr>
          <w:rFonts w:hint="default" w:ascii="Times New Roman" w:hAnsi="Times New Roman" w:cs="Times New Roman"/>
        </w:rPr>
      </w:pPr>
      <w:bookmarkStart w:id="17" w:name="_Ref3767"/>
      <w:r>
        <w:rPr>
          <w:rFonts w:hint="default" w:ascii="Times New Roman" w:hAnsi="Times New Roman" w:cs="Times New Roman"/>
        </w:rPr>
        <w:t>Kim WH, Shin KW, Ji S-H, et al. Robust association between acute kidney injury after radical nephrectomy and long-term renal function. J Clin Med. 2020;9:619.</w:t>
      </w:r>
      <w:bookmarkEnd w:id="17"/>
    </w:p>
    <w:p w14:paraId="2A5A9742">
      <w:pPr>
        <w:numPr>
          <w:ilvl w:val="0"/>
          <w:numId w:val="8"/>
        </w:numPr>
        <w:spacing w:line="480" w:lineRule="auto"/>
        <w:rPr>
          <w:rFonts w:hint="default" w:ascii="Times New Roman" w:hAnsi="Times New Roman" w:cs="Times New Roman"/>
        </w:rPr>
      </w:pPr>
      <w:bookmarkStart w:id="18" w:name="_Ref4022"/>
      <w:r>
        <w:rPr>
          <w:rFonts w:hint="default" w:ascii="Times New Roman" w:hAnsi="Times New Roman" w:cs="Times New Roman"/>
        </w:rPr>
        <w:t>Cho A, Lee JE, Kwon G-Y, et al. Post-operative acute kidney injury in RCC patients is a potent risk factor for new-onset CKD after radical nephrectomy. Nephrol Dial Transplant. 2011;26(11):3496–3501.</w:t>
      </w:r>
      <w:bookmarkEnd w:id="18"/>
    </w:p>
    <w:p w14:paraId="10C77329">
      <w:pPr>
        <w:numPr>
          <w:ilvl w:val="0"/>
          <w:numId w:val="8"/>
        </w:numPr>
        <w:spacing w:line="480" w:lineRule="auto"/>
        <w:rPr>
          <w:rFonts w:hint="default" w:ascii="Times New Roman" w:hAnsi="Times New Roman" w:cs="Times New Roman"/>
        </w:rPr>
      </w:pPr>
      <w:bookmarkStart w:id="19" w:name="_Ref4306"/>
      <w:r>
        <w:rPr>
          <w:rFonts w:hint="default" w:ascii="Times New Roman" w:hAnsi="Times New Roman" w:cs="Times New Roman"/>
        </w:rPr>
        <w:t>Wang LL, Samson KK, Boyle SL. Validated models to estimate probability of dialysis after nephrectomy and partial nephrectomy. JAMA Surg. 2021;156(10):976–979.</w:t>
      </w:r>
      <w:bookmarkEnd w:id="19"/>
    </w:p>
    <w:p w14:paraId="3D3C513B">
      <w:pPr>
        <w:numPr>
          <w:ilvl w:val="0"/>
          <w:numId w:val="8"/>
        </w:numPr>
        <w:spacing w:line="480" w:lineRule="auto"/>
        <w:rPr>
          <w:rFonts w:hint="default" w:ascii="Times New Roman" w:hAnsi="Times New Roman" w:cs="Times New Roman"/>
        </w:rPr>
      </w:pPr>
      <w:bookmarkStart w:id="20" w:name="_Ref29904"/>
      <w:r>
        <w:rPr>
          <w:rFonts w:hint="default" w:ascii="Times New Roman" w:hAnsi="Times New Roman" w:cs="Times New Roman"/>
        </w:rPr>
        <w:t>Hoste EAJ, Bagshaw SM, Bellomo R, et al. Epidemiology of acute kidney injury in critically ill patients: the multinational AKI-EPI study. Intensive Care Med. 2015;41(8):1411–1423.</w:t>
      </w:r>
      <w:bookmarkEnd w:id="20"/>
    </w:p>
    <w:p w14:paraId="20208338">
      <w:pPr>
        <w:numPr>
          <w:ilvl w:val="0"/>
          <w:numId w:val="8"/>
        </w:numPr>
        <w:spacing w:line="480" w:lineRule="auto"/>
        <w:rPr>
          <w:rFonts w:hint="default" w:ascii="Times New Roman" w:hAnsi="Times New Roman" w:cs="Times New Roman"/>
        </w:rPr>
      </w:pPr>
      <w:bookmarkStart w:id="21" w:name="_Ref32703"/>
      <w:r>
        <w:rPr>
          <w:rFonts w:hint="default" w:ascii="Times New Roman" w:hAnsi="Times New Roman" w:cs="Times New Roman"/>
        </w:rPr>
        <w:t xml:space="preserve">Liu KD, et al. Predicting acute kidney injury after liver transplantation: Role of preoperative clinical factors and intraoperative hemodynamics. </w:t>
      </w:r>
      <w:r>
        <w:rPr>
          <w:rFonts w:hint="default" w:ascii="Times New Roman" w:hAnsi="Times New Roman" w:cs="Times New Roman"/>
          <w:i/>
          <w:iCs/>
        </w:rPr>
        <w:t xml:space="preserve">Clin Transplant. </w:t>
      </w:r>
      <w:r>
        <w:rPr>
          <w:rFonts w:hint="default" w:ascii="Times New Roman" w:hAnsi="Times New Roman" w:cs="Times New Roman"/>
        </w:rPr>
        <w:t>2019;33(2):e13445. doi:10.1111/ctr.13445</w:t>
      </w:r>
      <w:bookmarkEnd w:id="21"/>
    </w:p>
    <w:p w14:paraId="035BA18E">
      <w:pPr>
        <w:numPr>
          <w:ilvl w:val="0"/>
          <w:numId w:val="8"/>
        </w:numPr>
        <w:spacing w:line="480" w:lineRule="auto"/>
        <w:rPr>
          <w:rFonts w:hint="default" w:ascii="Times New Roman" w:hAnsi="Times New Roman" w:cs="Times New Roman"/>
        </w:rPr>
      </w:pPr>
      <w:bookmarkStart w:id="22" w:name="_Ref32732"/>
      <w:r>
        <w:rPr>
          <w:rFonts w:hint="default" w:ascii="Times New Roman" w:hAnsi="Times New Roman" w:cs="Times New Roman"/>
        </w:rPr>
        <w:t>Rank N, et al. Early prediction of postoperative acute kidney injury in cardiac surgery patients using machine lea</w:t>
      </w:r>
      <w:r>
        <w:rPr>
          <w:rFonts w:hint="default" w:ascii="Times New Roman" w:hAnsi="Times New Roman" w:cs="Times New Roman"/>
          <w:i w:val="0"/>
          <w:iCs w:val="0"/>
        </w:rPr>
        <w:t xml:space="preserve">rning techniques. PLoS One. </w:t>
      </w:r>
      <w:r>
        <w:rPr>
          <w:rFonts w:hint="default" w:ascii="Times New Roman" w:hAnsi="Times New Roman" w:cs="Times New Roman"/>
        </w:rPr>
        <w:t>2020;15(4):e0230877. doi:10.1371/journal.pone.0230877.</w:t>
      </w:r>
      <w:bookmarkEnd w:id="22"/>
    </w:p>
    <w:p w14:paraId="2958349A">
      <w:pPr>
        <w:numPr>
          <w:ilvl w:val="0"/>
          <w:numId w:val="8"/>
        </w:numPr>
        <w:spacing w:line="480" w:lineRule="auto"/>
        <w:rPr>
          <w:rFonts w:hint="default" w:ascii="Times New Roman" w:hAnsi="Times New Roman" w:cs="Times New Roman"/>
        </w:rPr>
      </w:pPr>
      <w:bookmarkStart w:id="23" w:name="_Ref1486"/>
      <w:r>
        <w:rPr>
          <w:rFonts w:hint="default" w:ascii="Times New Roman" w:hAnsi="Times New Roman" w:cs="Times New Roman"/>
        </w:rPr>
        <w:t>Hernandez-Ramos I, et al. Radiomics in Acute Kidney Injury: A Systematic Review and Meta-Analysis. Kidney International Reports. 2021;6(7):1939–1952.</w:t>
      </w:r>
      <w:bookmarkEnd w:id="23"/>
    </w:p>
    <w:p w14:paraId="2D446A8E">
      <w:pPr>
        <w:numPr>
          <w:ilvl w:val="0"/>
          <w:numId w:val="8"/>
        </w:numPr>
        <w:spacing w:line="480" w:lineRule="auto"/>
        <w:rPr>
          <w:rFonts w:hint="default" w:ascii="Times New Roman" w:hAnsi="Times New Roman" w:cs="Times New Roman"/>
        </w:rPr>
      </w:pPr>
      <w:bookmarkStart w:id="24" w:name="_Ref1528"/>
      <w:r>
        <w:rPr>
          <w:rFonts w:hint="default" w:ascii="Times New Roman" w:hAnsi="Times New Roman" w:cs="Times New Roman"/>
        </w:rPr>
        <w:t xml:space="preserve">Zhou L, et al. Radiomics analysis of abdominal CT for predicting acute kidney injury after cardiac surgery. </w:t>
      </w:r>
      <w:r>
        <w:rPr>
          <w:rFonts w:hint="default" w:ascii="Times New Roman" w:hAnsi="Times New Roman" w:cs="Times New Roman"/>
          <w:i/>
          <w:iCs/>
        </w:rPr>
        <w:t>Eur Radiol</w:t>
      </w:r>
      <w:r>
        <w:rPr>
          <w:rFonts w:hint="default" w:ascii="Times New Roman" w:hAnsi="Times New Roman" w:cs="Times New Roman"/>
        </w:rPr>
        <w:t>. 2021;31(10):7409–7419. doi:10.1007/s00330-021-07984-1.</w:t>
      </w:r>
      <w:bookmarkEnd w:id="24"/>
    </w:p>
    <w:p w14:paraId="12601282">
      <w:pPr>
        <w:numPr>
          <w:ilvl w:val="0"/>
          <w:numId w:val="8"/>
        </w:numPr>
        <w:spacing w:line="480" w:lineRule="auto"/>
        <w:rPr>
          <w:rFonts w:hint="default" w:ascii="Times New Roman" w:hAnsi="Times New Roman" w:cs="Times New Roman"/>
        </w:rPr>
      </w:pPr>
      <w:bookmarkStart w:id="25" w:name="_Ref2381"/>
      <w:r>
        <w:rPr>
          <w:rFonts w:hint="default" w:ascii="Times New Roman" w:hAnsi="Times New Roman" w:cs="Times New Roman"/>
        </w:rPr>
        <w:t xml:space="preserve">Gillies RJ, Kinahan PE, Hricak H. Radiomics: Images are more than pictures, they are data. Radiology. 2016;278(2):563–577. </w:t>
      </w:r>
      <w:r>
        <w:rPr>
          <w:rFonts w:hint="eastAsia" w:cs="Times New Roman"/>
          <w:lang w:val="en-US" w:eastAsia="zh-CN"/>
        </w:rPr>
        <w:t>doi</w:t>
      </w:r>
      <w:r>
        <w:rPr>
          <w:rFonts w:hint="default" w:ascii="Times New Roman" w:hAnsi="Times New Roman" w:cs="Times New Roman"/>
        </w:rPr>
        <w:t>:10.1148/radiol.2015151169.</w:t>
      </w:r>
      <w:bookmarkEnd w:id="25"/>
    </w:p>
    <w:p w14:paraId="323D59BD">
      <w:pPr>
        <w:numPr>
          <w:ilvl w:val="0"/>
          <w:numId w:val="8"/>
        </w:numPr>
        <w:spacing w:line="480" w:lineRule="auto"/>
        <w:rPr>
          <w:rFonts w:hint="default" w:ascii="Times New Roman" w:hAnsi="Times New Roman" w:cs="Times New Roman"/>
        </w:rPr>
      </w:pPr>
      <w:bookmarkStart w:id="26" w:name="_Ref2988"/>
      <w:r>
        <w:rPr>
          <w:rFonts w:hint="default" w:ascii="Times New Roman" w:hAnsi="Times New Roman" w:cs="Times New Roman"/>
        </w:rPr>
        <w:t xml:space="preserve">Chen Y, Zhang S, Kong D, et al. Multimodal data fusion in healthcare: A systematic review. Information Fusion. 2022;76:355–371. </w:t>
      </w:r>
      <w:r>
        <w:rPr>
          <w:rFonts w:hint="eastAsia" w:cs="Times New Roman"/>
          <w:lang w:val="en-US" w:eastAsia="zh-CN"/>
        </w:rPr>
        <w:t>doi</w:t>
      </w:r>
      <w:r>
        <w:rPr>
          <w:rFonts w:hint="default" w:ascii="Times New Roman" w:hAnsi="Times New Roman" w:cs="Times New Roman"/>
        </w:rPr>
        <w:t>:10.1016/j.inffus.2021.07.013.</w:t>
      </w:r>
      <w:bookmarkEnd w:id="26"/>
    </w:p>
    <w:p w14:paraId="163DFFA8">
      <w:pPr>
        <w:numPr>
          <w:ilvl w:val="0"/>
          <w:numId w:val="8"/>
        </w:numPr>
        <w:spacing w:line="480" w:lineRule="auto"/>
        <w:rPr>
          <w:rFonts w:hint="default" w:ascii="Times New Roman" w:hAnsi="Times New Roman" w:cs="Times New Roman"/>
        </w:rPr>
      </w:pPr>
      <w:bookmarkStart w:id="27" w:name="_Ref3762"/>
      <w:r>
        <w:rPr>
          <w:rFonts w:hint="default" w:ascii="Times New Roman" w:hAnsi="Times New Roman" w:cs="Times New Roman"/>
        </w:rPr>
        <w:t xml:space="preserve">Wang Y, Yao Q, Kwok JT, et al. Generalizing from a few examples: A survey on few-shot learning. </w:t>
      </w:r>
      <w:r>
        <w:rPr>
          <w:rFonts w:hint="default" w:ascii="Times New Roman" w:hAnsi="Times New Roman" w:cs="Times New Roman"/>
          <w:i/>
          <w:iCs/>
        </w:rPr>
        <w:t>ACM Comput Surv.</w:t>
      </w:r>
      <w:r>
        <w:rPr>
          <w:rFonts w:hint="default" w:ascii="Times New Roman" w:hAnsi="Times New Roman" w:cs="Times New Roman"/>
        </w:rPr>
        <w:t xml:space="preserve"> 2020;53(3):1–34. </w:t>
      </w:r>
      <w:r>
        <w:rPr>
          <w:rFonts w:hint="eastAsia" w:cs="Times New Roman"/>
          <w:lang w:val="en-US" w:eastAsia="zh-CN"/>
        </w:rPr>
        <w:t>doi</w:t>
      </w:r>
      <w:r>
        <w:rPr>
          <w:rFonts w:hint="default" w:ascii="Times New Roman" w:hAnsi="Times New Roman" w:cs="Times New Roman"/>
        </w:rPr>
        <w:t>:10.1145/3386252.</w:t>
      </w:r>
      <w:bookmarkEnd w:id="27"/>
    </w:p>
    <w:p w14:paraId="531D6DE1">
      <w:pPr>
        <w:numPr>
          <w:ilvl w:val="0"/>
          <w:numId w:val="8"/>
        </w:numPr>
        <w:spacing w:line="480" w:lineRule="auto"/>
        <w:rPr>
          <w:rFonts w:hint="default" w:ascii="Times New Roman" w:hAnsi="Times New Roman" w:cs="Times New Roman"/>
        </w:rPr>
      </w:pPr>
      <w:bookmarkStart w:id="28" w:name="_Ref4944"/>
      <w:r>
        <w:rPr>
          <w:rFonts w:hint="default" w:ascii="Times New Roman" w:hAnsi="Times New Roman" w:cs="Times New Roman"/>
        </w:rPr>
        <w:t>Zhang X, et al. Few-shot breast cancer classification using deep metric learning with prototype enhancement.</w:t>
      </w:r>
      <w:r>
        <w:rPr>
          <w:rFonts w:hint="default" w:ascii="Times New Roman" w:hAnsi="Times New Roman" w:cs="Times New Roman"/>
          <w:i/>
          <w:iCs/>
        </w:rPr>
        <w:t xml:space="preserve"> Med Image Anal</w:t>
      </w:r>
      <w:r>
        <w:rPr>
          <w:rFonts w:hint="default" w:ascii="Times New Roman" w:hAnsi="Times New Roman" w:cs="Times New Roman"/>
        </w:rPr>
        <w:t>. 2021;68:101944. doi:10.1016/j.media.2020.101944.</w:t>
      </w:r>
      <w:bookmarkEnd w:id="28"/>
    </w:p>
    <w:p w14:paraId="7E0897B7">
      <w:pPr>
        <w:numPr>
          <w:ilvl w:val="0"/>
          <w:numId w:val="8"/>
        </w:numPr>
        <w:spacing w:line="480" w:lineRule="auto"/>
        <w:rPr>
          <w:rFonts w:hint="default" w:ascii="Times New Roman" w:hAnsi="Times New Roman" w:cs="Times New Roman"/>
        </w:rPr>
      </w:pPr>
      <w:bookmarkStart w:id="29" w:name="_Ref4974"/>
      <w:r>
        <w:rPr>
          <w:rFonts w:hint="default" w:ascii="Times New Roman" w:hAnsi="Times New Roman" w:cs="Times New Roman"/>
        </w:rPr>
        <w:t xml:space="preserve">Zhao J, et al. Prototypical networks for few-shot brain tumor classification using MRI. </w:t>
      </w:r>
      <w:r>
        <w:rPr>
          <w:rFonts w:hint="default" w:ascii="Times New Roman" w:hAnsi="Times New Roman" w:cs="Times New Roman"/>
          <w:i/>
          <w:iCs/>
        </w:rPr>
        <w:t>IEEE Access</w:t>
      </w:r>
      <w:r>
        <w:rPr>
          <w:rFonts w:hint="default" w:ascii="Times New Roman" w:hAnsi="Times New Roman" w:cs="Times New Roman"/>
        </w:rPr>
        <w:t>.</w:t>
      </w:r>
      <w:r>
        <w:rPr>
          <w:rFonts w:hint="eastAsia" w:cs="Times New Roman"/>
          <w:lang w:val="en-US" w:eastAsia="zh-CN"/>
        </w:rPr>
        <w:t xml:space="preserve"> </w:t>
      </w:r>
      <w:r>
        <w:rPr>
          <w:rFonts w:hint="default" w:ascii="Times New Roman" w:hAnsi="Times New Roman" w:cs="Times New Roman"/>
        </w:rPr>
        <w:t>2020;8:136302–136311. doi:10.1109/ACCESS.2020.3015733.</w:t>
      </w:r>
      <w:bookmarkEnd w:id="29"/>
    </w:p>
    <w:p w14:paraId="7D1317D5">
      <w:pPr>
        <w:numPr>
          <w:ilvl w:val="0"/>
          <w:numId w:val="8"/>
        </w:numPr>
        <w:spacing w:line="480" w:lineRule="auto"/>
        <w:rPr>
          <w:rFonts w:hint="default" w:ascii="Times New Roman" w:hAnsi="Times New Roman" w:cs="Times New Roman"/>
        </w:rPr>
      </w:pPr>
      <w:bookmarkStart w:id="30" w:name="_Ref4996"/>
      <w:r>
        <w:rPr>
          <w:rFonts w:hint="default" w:ascii="Times New Roman" w:hAnsi="Times New Roman" w:cs="Times New Roman"/>
        </w:rPr>
        <w:t xml:space="preserve">Li T, et al. Few-shot learning for retinal disease classification using relation networks. </w:t>
      </w:r>
      <w:r>
        <w:rPr>
          <w:rFonts w:hint="default" w:ascii="Times New Roman" w:hAnsi="Times New Roman" w:cs="Times New Roman"/>
          <w:i/>
          <w:iCs/>
        </w:rPr>
        <w:t>IEEE J Biomed Health Inform.</w:t>
      </w:r>
      <w:r>
        <w:rPr>
          <w:rFonts w:hint="default" w:ascii="Times New Roman" w:hAnsi="Times New Roman" w:cs="Times New Roman"/>
        </w:rPr>
        <w:t xml:space="preserve"> 2021;25(6):1943–1953. doi:10.1109/JBHI.2021.3058477.</w:t>
      </w:r>
      <w:bookmarkEnd w:id="30"/>
    </w:p>
    <w:p w14:paraId="06B8A270">
      <w:pPr>
        <w:numPr>
          <w:ilvl w:val="0"/>
          <w:numId w:val="8"/>
        </w:numPr>
        <w:spacing w:line="480" w:lineRule="auto"/>
        <w:rPr>
          <w:rFonts w:hint="default" w:ascii="Times New Roman" w:hAnsi="Times New Roman" w:cs="Times New Roman"/>
        </w:rPr>
      </w:pPr>
      <w:bookmarkStart w:id="31" w:name="_Ref6159"/>
      <w:r>
        <w:rPr>
          <w:rFonts w:hint="default" w:ascii="Times New Roman" w:hAnsi="Times New Roman" w:cs="Times New Roman"/>
        </w:rPr>
        <w:t>Vinyals O, Blundell C, Lillicrap T, Kavukcuoglu K, Wierstra D. Matching Networks for One</w:t>
      </w:r>
      <w:r>
        <w:rPr>
          <w:rFonts w:hint="eastAsia" w:cs="Times New Roman"/>
          <w:lang w:val="en-US" w:eastAsia="zh-CN"/>
        </w:rPr>
        <w:t>-</w:t>
      </w:r>
      <w:r>
        <w:rPr>
          <w:rFonts w:hint="default" w:ascii="Times New Roman" w:hAnsi="Times New Roman" w:cs="Times New Roman"/>
        </w:rPr>
        <w:t xml:space="preserve">Shot Learning. </w:t>
      </w:r>
      <w:r>
        <w:rPr>
          <w:rFonts w:hint="default" w:ascii="Times New Roman" w:hAnsi="Times New Roman" w:cs="Times New Roman"/>
          <w:i w:val="0"/>
          <w:iCs w:val="0"/>
        </w:rPr>
        <w:t>NeurIPS. 2016.</w:t>
      </w:r>
      <w:bookmarkEnd w:id="31"/>
    </w:p>
    <w:p w14:paraId="783D98DD">
      <w:pPr>
        <w:numPr>
          <w:ilvl w:val="0"/>
          <w:numId w:val="8"/>
        </w:numPr>
        <w:spacing w:line="480" w:lineRule="auto"/>
        <w:rPr>
          <w:rFonts w:hint="default" w:ascii="Times New Roman" w:hAnsi="Times New Roman" w:cs="Times New Roman"/>
        </w:rPr>
      </w:pPr>
      <w:bookmarkStart w:id="32" w:name="_Ref6195"/>
      <w:bookmarkStart w:id="33" w:name="_Ref30354"/>
      <w:bookmarkStart w:id="34" w:name="_Ref30572"/>
      <w:r>
        <w:rPr>
          <w:rFonts w:hint="default" w:ascii="Times New Roman" w:hAnsi="Times New Roman" w:cs="Times New Roman"/>
        </w:rPr>
        <w:t>Sung F, Yang Y, Zhang L, Xiang T, Torr PHS, Hospedales TM. Learning to Compare: Relation Network for Few-Shot Learning.</w:t>
      </w:r>
      <w:r>
        <w:rPr>
          <w:rFonts w:hint="default" w:ascii="Times New Roman" w:hAnsi="Times New Roman" w:cs="Times New Roman"/>
          <w:i/>
          <w:iCs/>
        </w:rPr>
        <w:t xml:space="preserve"> CVPR. </w:t>
      </w:r>
      <w:r>
        <w:rPr>
          <w:rFonts w:hint="default" w:ascii="Times New Roman" w:hAnsi="Times New Roman" w:cs="Times New Roman"/>
        </w:rPr>
        <w:t>2018.</w:t>
      </w:r>
      <w:bookmarkEnd w:id="32"/>
    </w:p>
    <w:p w14:paraId="7058D5C5">
      <w:pPr>
        <w:numPr>
          <w:ilvl w:val="0"/>
          <w:numId w:val="8"/>
        </w:numPr>
        <w:spacing w:line="480" w:lineRule="auto"/>
        <w:rPr>
          <w:rFonts w:hint="default" w:ascii="Times New Roman" w:hAnsi="Times New Roman" w:cs="Times New Roman"/>
        </w:rPr>
      </w:pPr>
      <w:bookmarkStart w:id="35" w:name="_Ref6234"/>
      <w:r>
        <w:rPr>
          <w:rFonts w:hint="default" w:ascii="Times New Roman" w:hAnsi="Times New Roman" w:cs="Times New Roman"/>
        </w:rPr>
        <w:t xml:space="preserve">Banerjee I, Saha S, Ghosal A, et al. Reading chest X-rays with deep learning models: A review. </w:t>
      </w:r>
      <w:r>
        <w:rPr>
          <w:rFonts w:hint="default" w:ascii="Times New Roman" w:hAnsi="Times New Roman" w:cs="Times New Roman"/>
          <w:i/>
          <w:iCs/>
        </w:rPr>
        <w:t xml:space="preserve">NPJ Digit Med. </w:t>
      </w:r>
      <w:r>
        <w:rPr>
          <w:rFonts w:hint="default" w:ascii="Times New Roman" w:hAnsi="Times New Roman" w:cs="Times New Roman"/>
        </w:rPr>
        <w:t>2021;4(1):1–13.</w:t>
      </w:r>
      <w:bookmarkEnd w:id="35"/>
    </w:p>
    <w:p w14:paraId="5979D059">
      <w:pPr>
        <w:numPr>
          <w:ilvl w:val="0"/>
          <w:numId w:val="8"/>
        </w:numPr>
        <w:spacing w:line="480" w:lineRule="auto"/>
        <w:rPr>
          <w:rFonts w:hint="default" w:ascii="Times New Roman" w:hAnsi="Times New Roman" w:cs="Times New Roman"/>
        </w:rPr>
      </w:pPr>
      <w:r>
        <w:rPr>
          <w:rFonts w:hint="default" w:ascii="Times New Roman" w:hAnsi="Times New Roman" w:cs="Times New Roman"/>
        </w:rPr>
        <w:t>Min JW, Min J-H, Chang S-H, Chung BH, Koh ES, Kim YS, Kim HW, Ban TH, Shin SJ, Choi IY, Yoon HE. A Risk Prediction Model (CMC-AKIX) for Postoperative Acute Kidney Injury Using Machine Learning: Algorithm Development and Validation. J Med Internet Res. 2025;27:e62853. doi:10.2196/62853.</w:t>
      </w:r>
    </w:p>
    <w:p w14:paraId="17436069">
      <w:pPr>
        <w:numPr>
          <w:ilvl w:val="0"/>
          <w:numId w:val="8"/>
        </w:numPr>
        <w:spacing w:line="480" w:lineRule="auto"/>
        <w:rPr>
          <w:rFonts w:hint="default" w:ascii="Times New Roman" w:hAnsi="Times New Roman" w:cs="Times New Roman"/>
        </w:rPr>
      </w:pPr>
      <w:bookmarkStart w:id="36" w:name="_Ref30376"/>
      <w:r>
        <w:rPr>
          <w:rFonts w:hint="default" w:ascii="Times New Roman" w:hAnsi="Times New Roman" w:cs="Times New Roman"/>
        </w:rPr>
        <w:t xml:space="preserve">Feng Y, et al. Characterization of risk prediction models for acute kidney injury: A systematic review and meta-analysis. </w:t>
      </w:r>
      <w:r>
        <w:rPr>
          <w:rFonts w:hint="default" w:ascii="Times New Roman" w:hAnsi="Times New Roman" w:cs="Times New Roman"/>
          <w:i/>
          <w:iCs/>
        </w:rPr>
        <w:t>JAMA Netw Open</w:t>
      </w:r>
      <w:r>
        <w:rPr>
          <w:rFonts w:hint="default" w:ascii="Times New Roman" w:hAnsi="Times New Roman" w:cs="Times New Roman"/>
        </w:rPr>
        <w:t>. 2023;6(5):e2313359. doi:10.1001/jamanetworkopen.2023.13359.</w:t>
      </w:r>
      <w:bookmarkEnd w:id="36"/>
    </w:p>
    <w:p w14:paraId="793E63C2">
      <w:pPr>
        <w:numPr>
          <w:ilvl w:val="0"/>
          <w:numId w:val="8"/>
        </w:numPr>
        <w:spacing w:line="480" w:lineRule="auto"/>
        <w:rPr>
          <w:rFonts w:hint="default" w:ascii="Times New Roman" w:hAnsi="Times New Roman" w:cs="Times New Roman"/>
        </w:rPr>
      </w:pPr>
      <w:bookmarkStart w:id="37" w:name="_Ref30422"/>
      <w:r>
        <w:rPr>
          <w:rFonts w:hint="default" w:ascii="Times New Roman" w:hAnsi="Times New Roman" w:cs="Times New Roman"/>
        </w:rPr>
        <w:t xml:space="preserve">Baltrušaitis T, Ahuja C, Morency LP. Multimodal machine learning: A survey and taxonomy. </w:t>
      </w:r>
      <w:r>
        <w:rPr>
          <w:rFonts w:hint="default" w:ascii="Times New Roman" w:hAnsi="Times New Roman" w:cs="Times New Roman"/>
          <w:i/>
          <w:iCs/>
        </w:rPr>
        <w:t xml:space="preserve">IEEE Trans Pattern Anal Mach Intell. </w:t>
      </w:r>
      <w:r>
        <w:rPr>
          <w:rFonts w:hint="default" w:ascii="Times New Roman" w:hAnsi="Times New Roman" w:cs="Times New Roman"/>
        </w:rPr>
        <w:t>2018;41(2):423–443. doi:10.1109/TPAMI.2018.2794606.</w:t>
      </w:r>
      <w:bookmarkEnd w:id="37"/>
    </w:p>
    <w:bookmarkEnd w:id="33"/>
    <w:p w14:paraId="7E1C721A">
      <w:pPr>
        <w:numPr>
          <w:ilvl w:val="0"/>
          <w:numId w:val="8"/>
        </w:numPr>
        <w:spacing w:line="480" w:lineRule="auto"/>
        <w:rPr>
          <w:rFonts w:hint="default" w:ascii="Times New Roman" w:hAnsi="Times New Roman" w:cs="Times New Roman"/>
        </w:rPr>
      </w:pPr>
      <w:bookmarkStart w:id="38" w:name="_Ref30494"/>
      <w:bookmarkStart w:id="39" w:name="_Ref31434"/>
      <w:r>
        <w:rPr>
          <w:rFonts w:hint="default" w:ascii="Times New Roman" w:hAnsi="Times New Roman" w:cs="Times New Roman"/>
        </w:rPr>
        <w:t xml:space="preserve">Mayo JS, Kallmes DF, Williamson EE, Katzberg RW, McDonald RJ. Is the presence of a solitary kidney an independent risk factor for contrast material–induced acute kidney injury? </w:t>
      </w:r>
      <w:r>
        <w:rPr>
          <w:rFonts w:hint="default" w:ascii="Times New Roman" w:hAnsi="Times New Roman" w:cs="Times New Roman"/>
          <w:i/>
          <w:iCs/>
        </w:rPr>
        <w:t xml:space="preserve">Radiology. </w:t>
      </w:r>
      <w:r>
        <w:rPr>
          <w:rFonts w:hint="default" w:ascii="Times New Roman" w:hAnsi="Times New Roman" w:cs="Times New Roman"/>
        </w:rPr>
        <w:t>2015;277(3):715–722. doi:10.1148/radiol.2015142676.</w:t>
      </w:r>
      <w:bookmarkEnd w:id="38"/>
    </w:p>
    <w:p w14:paraId="03A42A61">
      <w:pPr>
        <w:numPr>
          <w:ilvl w:val="0"/>
          <w:numId w:val="8"/>
        </w:numPr>
        <w:spacing w:line="480" w:lineRule="auto"/>
        <w:rPr>
          <w:rFonts w:hint="default" w:ascii="Times New Roman" w:hAnsi="Times New Roman" w:cs="Times New Roman"/>
        </w:rPr>
      </w:pPr>
      <w:bookmarkStart w:id="40" w:name="_Ref30549"/>
      <w:r>
        <w:rPr>
          <w:rFonts w:hint="default" w:ascii="Times New Roman" w:hAnsi="Times New Roman" w:cs="Times New Roman"/>
        </w:rPr>
        <w:t>Wang H, Li N, Ding X, et al. Risk factors for acute kidney injury after nephrectomy in patients with renal tumors: a retrospective cohort study.</w:t>
      </w:r>
      <w:r>
        <w:rPr>
          <w:rFonts w:hint="default" w:ascii="Times New Roman" w:hAnsi="Times New Roman" w:cs="Times New Roman"/>
          <w:i/>
          <w:iCs/>
        </w:rPr>
        <w:t xml:space="preserve"> BMC Nephrol</w:t>
      </w:r>
      <w:r>
        <w:rPr>
          <w:rFonts w:hint="default" w:ascii="Times New Roman" w:hAnsi="Times New Roman" w:cs="Times New Roman"/>
        </w:rPr>
        <w:t>. 2021;22:377. doi:10.1186/s12882-021-02557-x.</w:t>
      </w:r>
      <w:bookmarkEnd w:id="40"/>
    </w:p>
    <w:p w14:paraId="1CFCBEC4">
      <w:pPr>
        <w:numPr>
          <w:ilvl w:val="0"/>
          <w:numId w:val="8"/>
        </w:numPr>
        <w:spacing w:line="480" w:lineRule="auto"/>
        <w:rPr>
          <w:rFonts w:hint="default" w:ascii="Times New Roman" w:hAnsi="Times New Roman" w:cs="Times New Roman"/>
        </w:rPr>
      </w:pPr>
      <w:bookmarkStart w:id="41" w:name="_Ref30608"/>
      <w:r>
        <w:rPr>
          <w:rFonts w:hint="default" w:ascii="Times New Roman" w:hAnsi="Times New Roman" w:cs="Times New Roman"/>
        </w:rPr>
        <w:t xml:space="preserve">Pang Q, et al. Preoperative fasting glucose value can predict acute kidney injury in non-cardiac surgical patients without diabetes but not in patients with diabetes. </w:t>
      </w:r>
      <w:r>
        <w:rPr>
          <w:rFonts w:hint="default" w:ascii="Times New Roman" w:hAnsi="Times New Roman" w:cs="Times New Roman"/>
          <w:i/>
          <w:iCs/>
        </w:rPr>
        <w:t xml:space="preserve">Perioper Med (Lond). </w:t>
      </w:r>
      <w:r>
        <w:rPr>
          <w:rFonts w:hint="default" w:ascii="Times New Roman" w:hAnsi="Times New Roman" w:cs="Times New Roman"/>
        </w:rPr>
        <w:t>2024;13(1):39. doi:10.1186/s13741-024-00309-3.</w:t>
      </w:r>
      <w:bookmarkEnd w:id="41"/>
    </w:p>
    <w:bookmarkEnd w:id="39"/>
    <w:p w14:paraId="77F3BB5D">
      <w:pPr>
        <w:numPr>
          <w:ilvl w:val="0"/>
          <w:numId w:val="8"/>
        </w:numPr>
        <w:spacing w:line="480" w:lineRule="auto"/>
        <w:rPr>
          <w:rFonts w:hint="default" w:ascii="Times New Roman" w:hAnsi="Times New Roman" w:cs="Times New Roman"/>
        </w:rPr>
      </w:pPr>
      <w:bookmarkStart w:id="42" w:name="_Ref30758"/>
      <w:bookmarkStart w:id="43" w:name="_Ref31624"/>
      <w:r>
        <w:rPr>
          <w:rFonts w:hint="default" w:ascii="Times New Roman" w:hAnsi="Times New Roman" w:cs="Times New Roman"/>
        </w:rPr>
        <w:t>Privratsky JR, et al. Postoperative acute kidney injury by age and sex: A retrospective cohort association study.</w:t>
      </w:r>
      <w:r>
        <w:rPr>
          <w:rFonts w:hint="default" w:ascii="Times New Roman" w:hAnsi="Times New Roman" w:cs="Times New Roman"/>
          <w:i/>
          <w:iCs/>
        </w:rPr>
        <w:t xml:space="preserve"> Anesthesiology.</w:t>
      </w:r>
      <w:r>
        <w:rPr>
          <w:rFonts w:hint="default" w:ascii="Times New Roman" w:hAnsi="Times New Roman" w:cs="Times New Roman"/>
        </w:rPr>
        <w:t xml:space="preserve"> 2023;138(2):184-194. doi:10.1097/ALN.0000000000004247.</w:t>
      </w:r>
      <w:bookmarkEnd w:id="42"/>
    </w:p>
    <w:bookmarkEnd w:id="43"/>
    <w:p w14:paraId="47B40A55">
      <w:pPr>
        <w:numPr>
          <w:ilvl w:val="0"/>
          <w:numId w:val="8"/>
        </w:numPr>
        <w:spacing w:line="480" w:lineRule="auto"/>
        <w:rPr>
          <w:rFonts w:hint="default" w:ascii="Times New Roman" w:hAnsi="Times New Roman" w:cs="Times New Roman"/>
        </w:rPr>
      </w:pPr>
      <w:bookmarkStart w:id="44" w:name="_Ref30798"/>
      <w:bookmarkStart w:id="45" w:name="_Ref31940"/>
      <w:r>
        <w:rPr>
          <w:rFonts w:hint="default" w:ascii="Times New Roman" w:hAnsi="Times New Roman" w:cs="Times New Roman"/>
        </w:rPr>
        <w:t>Demirjian S, Bashour CA, Shaw A, et al. Predictive accuracy of a perioperative laboratory test–based prediction model for moderate to severe acute kidney injury after cardiac surgery.</w:t>
      </w:r>
      <w:r>
        <w:rPr>
          <w:rFonts w:hint="default" w:ascii="Times New Roman" w:hAnsi="Times New Roman" w:cs="Times New Roman"/>
          <w:i/>
          <w:iCs/>
        </w:rPr>
        <w:t xml:space="preserve"> JAMA. 2022</w:t>
      </w:r>
      <w:r>
        <w:rPr>
          <w:rFonts w:hint="default" w:ascii="Times New Roman" w:hAnsi="Times New Roman" w:cs="Times New Roman"/>
        </w:rPr>
        <w:t>;327(10):956–964. doi:10.1001/jama.2022.1126.</w:t>
      </w:r>
      <w:bookmarkEnd w:id="44"/>
    </w:p>
    <w:p w14:paraId="5B6B3AB0">
      <w:pPr>
        <w:numPr>
          <w:ilvl w:val="0"/>
          <w:numId w:val="8"/>
        </w:numPr>
        <w:spacing w:line="480" w:lineRule="auto"/>
        <w:rPr>
          <w:rFonts w:hint="default" w:ascii="Times New Roman" w:hAnsi="Times New Roman" w:cs="Times New Roman"/>
        </w:rPr>
      </w:pPr>
      <w:bookmarkStart w:id="46" w:name="_Ref32212"/>
      <w:r>
        <w:rPr>
          <w:rFonts w:hint="default" w:ascii="Times New Roman" w:hAnsi="Times New Roman" w:cs="Times New Roman"/>
        </w:rPr>
        <w:t>Jadhav A, Pramod D, Ramanathan K. Comparison of performance of data imputation methods for numeric dataset.</w:t>
      </w:r>
      <w:r>
        <w:rPr>
          <w:rFonts w:hint="default" w:ascii="Times New Roman" w:hAnsi="Times New Roman" w:cs="Times New Roman"/>
          <w:i/>
          <w:iCs/>
        </w:rPr>
        <w:t xml:space="preserve"> Appl Artif Intell. </w:t>
      </w:r>
      <w:r>
        <w:rPr>
          <w:rFonts w:hint="default" w:ascii="Times New Roman" w:hAnsi="Times New Roman" w:cs="Times New Roman"/>
        </w:rPr>
        <w:t>2019;33(10):913–933. doi:10.1080/08839514.2019.1645574.</w:t>
      </w:r>
      <w:bookmarkEnd w:id="46"/>
    </w:p>
    <w:p w14:paraId="76A5731C">
      <w:pPr>
        <w:numPr>
          <w:ilvl w:val="0"/>
          <w:numId w:val="8"/>
        </w:numPr>
        <w:spacing w:line="480" w:lineRule="auto"/>
        <w:rPr>
          <w:rFonts w:hint="default" w:ascii="Times New Roman" w:hAnsi="Times New Roman" w:cs="Times New Roman"/>
        </w:rPr>
      </w:pPr>
      <w:bookmarkStart w:id="47" w:name="_Ref32251"/>
      <w:r>
        <w:rPr>
          <w:rFonts w:hint="default" w:ascii="Times New Roman" w:hAnsi="Times New Roman" w:cs="Times New Roman"/>
        </w:rPr>
        <w:t>Lucas BV de Amorim, George DC Cavalcanti, Rafael MO Cruz. The choice of scaling technique matters for classification performance.</w:t>
      </w:r>
      <w:r>
        <w:rPr>
          <w:rFonts w:hint="default" w:ascii="Times New Roman" w:hAnsi="Times New Roman" w:cs="Times New Roman"/>
          <w:i/>
          <w:iCs/>
        </w:rPr>
        <w:t xml:space="preserve"> Appl Soft Comput. </w:t>
      </w:r>
      <w:r>
        <w:rPr>
          <w:rFonts w:hint="default" w:ascii="Times New Roman" w:hAnsi="Times New Roman" w:cs="Times New Roman"/>
        </w:rPr>
        <w:t>2023;133:109924. doi:10.1016/j.asoc.2023.109924.</w:t>
      </w:r>
      <w:bookmarkEnd w:id="47"/>
    </w:p>
    <w:p w14:paraId="1D5BAC8F">
      <w:pPr>
        <w:numPr>
          <w:ilvl w:val="0"/>
          <w:numId w:val="8"/>
        </w:numPr>
        <w:spacing w:line="480" w:lineRule="auto"/>
        <w:rPr>
          <w:rFonts w:hint="default" w:ascii="Times New Roman" w:hAnsi="Times New Roman" w:cs="Times New Roman"/>
        </w:rPr>
      </w:pPr>
      <w:bookmarkStart w:id="48" w:name="_Ref1311"/>
      <w:r>
        <w:rPr>
          <w:rFonts w:hint="default" w:ascii="Times New Roman" w:hAnsi="Times New Roman" w:cs="Times New Roman"/>
        </w:rPr>
        <w:t xml:space="preserve">Snell J, Swersky K, Zemel R. Prototypical networks for few-shot learning. In: Advances in neural information processing systems (NeurIPS). 2017;30:4067-4077. Available from: </w:t>
      </w:r>
      <w:r>
        <w:rPr>
          <w:rFonts w:hint="default" w:ascii="Times New Roman" w:hAnsi="Times New Roman" w:cs="Times New Roman"/>
        </w:rPr>
        <w:fldChar w:fldCharType="begin"/>
      </w:r>
      <w:r>
        <w:rPr>
          <w:rFonts w:hint="default" w:ascii="Times New Roman" w:hAnsi="Times New Roman" w:cs="Times New Roman"/>
        </w:rPr>
        <w:instrText xml:space="preserve"> HYPERLINK "https://arxiv.org/abs/1703.05175" \t "_new" </w:instrText>
      </w:r>
      <w:r>
        <w:rPr>
          <w:rFonts w:hint="default" w:ascii="Times New Roman" w:hAnsi="Times New Roman" w:cs="Times New Roman"/>
        </w:rPr>
        <w:fldChar w:fldCharType="separate"/>
      </w:r>
      <w:r>
        <w:rPr>
          <w:rFonts w:hint="default" w:ascii="Times New Roman" w:hAnsi="Times New Roman" w:cs="Times New Roman"/>
        </w:rPr>
        <w:t>https://arxiv.org/abs/1703.05175</w:t>
      </w:r>
      <w:r>
        <w:rPr>
          <w:rFonts w:hint="default" w:ascii="Times New Roman" w:hAnsi="Times New Roman" w:cs="Times New Roman"/>
        </w:rPr>
        <w:fldChar w:fldCharType="end"/>
      </w:r>
      <w:r>
        <w:rPr>
          <w:rFonts w:hint="default" w:ascii="Times New Roman" w:hAnsi="Times New Roman" w:cs="Times New Roman"/>
        </w:rPr>
        <w:t>.</w:t>
      </w:r>
      <w:bookmarkEnd w:id="48"/>
    </w:p>
    <w:p w14:paraId="5FCDD18C">
      <w:pPr>
        <w:numPr>
          <w:ilvl w:val="0"/>
          <w:numId w:val="8"/>
        </w:numPr>
        <w:spacing w:line="480" w:lineRule="auto"/>
        <w:rPr>
          <w:rFonts w:hint="default" w:ascii="Times New Roman" w:hAnsi="Times New Roman" w:cs="Times New Roman"/>
        </w:rPr>
      </w:pPr>
      <w:bookmarkStart w:id="49" w:name="_Ref1347"/>
      <w:r>
        <w:rPr>
          <w:rFonts w:hint="default" w:ascii="Times New Roman" w:hAnsi="Times New Roman" w:cs="Times New Roman"/>
        </w:rPr>
        <w:t>Doersch C, Gupta A, Zisserman A. Cross</w:t>
      </w:r>
      <w:r>
        <w:rPr>
          <w:rFonts w:hint="eastAsia" w:cs="Times New Roman"/>
          <w:lang w:val="en-US" w:eastAsia="zh-CN"/>
        </w:rPr>
        <w:t>T</w:t>
      </w:r>
      <w:r>
        <w:rPr>
          <w:rFonts w:hint="default" w:ascii="Times New Roman" w:hAnsi="Times New Roman" w:cs="Times New Roman"/>
        </w:rPr>
        <w:t>ransformers: spatially-aware few-shot transfer. In: Advances in Neural Information Processing Systems (NeurIPS). 2020;33:21981-21993.</w:t>
      </w:r>
      <w:bookmarkEnd w:id="49"/>
    </w:p>
    <w:p w14:paraId="34D2066C">
      <w:pPr>
        <w:numPr>
          <w:ilvl w:val="0"/>
          <w:numId w:val="8"/>
        </w:numPr>
        <w:spacing w:line="480" w:lineRule="auto"/>
        <w:rPr>
          <w:rFonts w:hint="default" w:ascii="Times New Roman" w:hAnsi="Times New Roman" w:cs="Times New Roman"/>
        </w:rPr>
      </w:pPr>
      <w:bookmarkStart w:id="50" w:name="_Ref1396"/>
      <w:r>
        <w:rPr>
          <w:rFonts w:hint="default" w:ascii="Times New Roman" w:hAnsi="Times New Roman" w:cs="Times New Roman"/>
        </w:rPr>
        <w:t xml:space="preserve">Zhu Z, Li Y, Liu L. Multi-Prototype Networks for Few-shot Learning. </w:t>
      </w:r>
      <w:r>
        <w:rPr>
          <w:rFonts w:hint="default" w:ascii="Times New Roman" w:hAnsi="Times New Roman" w:cs="Times New Roman"/>
          <w:i/>
          <w:iCs/>
        </w:rPr>
        <w:t>IEEE Trans Multimedia.</w:t>
      </w:r>
      <w:r>
        <w:rPr>
          <w:rFonts w:hint="default" w:ascii="Times New Roman" w:hAnsi="Times New Roman" w:cs="Times New Roman"/>
        </w:rPr>
        <w:t xml:space="preserve"> 2020;22(8):2024-2033. doi:10.1109/TMM.2020.2976159.</w:t>
      </w:r>
      <w:bookmarkEnd w:id="50"/>
    </w:p>
    <w:p w14:paraId="5410E197">
      <w:pPr>
        <w:numPr>
          <w:ilvl w:val="0"/>
          <w:numId w:val="8"/>
        </w:numPr>
        <w:spacing w:line="480" w:lineRule="auto"/>
        <w:rPr>
          <w:rFonts w:hint="default" w:ascii="Times New Roman" w:hAnsi="Times New Roman" w:cs="Times New Roman"/>
        </w:rPr>
      </w:pPr>
      <w:bookmarkStart w:id="51" w:name="_Ref1436"/>
      <w:r>
        <w:rPr>
          <w:rFonts w:hint="default" w:ascii="Times New Roman" w:hAnsi="Times New Roman" w:cs="Times New Roman"/>
        </w:rPr>
        <w:t>Tang X, Zhou H, Han L. Adaptive Prototype Learning for Few-Shot Remote Sensing Image Scene Classification.</w:t>
      </w:r>
      <w:r>
        <w:rPr>
          <w:rFonts w:hint="default" w:ascii="Times New Roman" w:hAnsi="Times New Roman" w:cs="Times New Roman"/>
          <w:i/>
          <w:iCs/>
        </w:rPr>
        <w:t xml:space="preserve"> IEEE Trans Geosci Remote Sens. </w:t>
      </w:r>
      <w:r>
        <w:rPr>
          <w:rFonts w:hint="default" w:ascii="Times New Roman" w:hAnsi="Times New Roman" w:cs="Times New Roman"/>
        </w:rPr>
        <w:t>2022;60:1-13. doi:10.1109/TGRS.2022.3153278.</w:t>
      </w:r>
      <w:bookmarkEnd w:id="51"/>
    </w:p>
    <w:p w14:paraId="6F07F436">
      <w:pPr>
        <w:numPr>
          <w:ilvl w:val="0"/>
          <w:numId w:val="8"/>
        </w:numPr>
        <w:spacing w:line="480" w:lineRule="auto"/>
        <w:rPr>
          <w:rFonts w:hint="default" w:ascii="Times New Roman" w:hAnsi="Times New Roman" w:cs="Times New Roman"/>
        </w:rPr>
      </w:pPr>
      <w:bookmarkStart w:id="52" w:name="_Ref1540"/>
      <w:r>
        <w:rPr>
          <w:rFonts w:hint="default" w:ascii="Times New Roman" w:hAnsi="Times New Roman" w:cs="Times New Roman"/>
        </w:rPr>
        <w:t>Sung F, Yang Y, Zhang L, Xiang Y, Hospedales TM. Learning to compare: Relation network for few-shot learning. In:</w:t>
      </w:r>
      <w:r>
        <w:rPr>
          <w:rFonts w:hint="default" w:ascii="Times New Roman" w:hAnsi="Times New Roman" w:cs="Times New Roman"/>
          <w:i/>
          <w:iCs/>
        </w:rPr>
        <w:t xml:space="preserve"> Proc IEEE/CVF Conf Comput Vis Pattern Recognit (CVPR);</w:t>
      </w:r>
      <w:r>
        <w:rPr>
          <w:rFonts w:hint="default" w:ascii="Times New Roman" w:hAnsi="Times New Roman" w:cs="Times New Roman"/>
        </w:rPr>
        <w:t xml:space="preserve"> 2018. 1199-1208.</w:t>
      </w:r>
      <w:bookmarkEnd w:id="52"/>
    </w:p>
    <w:p w14:paraId="3087CA19">
      <w:pPr>
        <w:numPr>
          <w:ilvl w:val="0"/>
          <w:numId w:val="8"/>
        </w:numPr>
        <w:spacing w:line="480" w:lineRule="auto"/>
        <w:rPr>
          <w:rFonts w:hint="default" w:ascii="Times New Roman" w:hAnsi="Times New Roman" w:cs="Times New Roman"/>
        </w:rPr>
      </w:pPr>
      <w:bookmarkStart w:id="53" w:name="_Ref1573"/>
      <w:r>
        <w:rPr>
          <w:rFonts w:hint="default" w:ascii="Times New Roman" w:hAnsi="Times New Roman" w:cs="Times New Roman"/>
        </w:rPr>
        <w:t>Liu Z, Lin Y, Sun X. Transductive propagation network for semi-supervised learning. In:</w:t>
      </w:r>
      <w:r>
        <w:rPr>
          <w:rFonts w:hint="default" w:ascii="Times New Roman" w:hAnsi="Times New Roman" w:cs="Times New Roman"/>
          <w:i/>
          <w:iCs/>
        </w:rPr>
        <w:t xml:space="preserve"> Proc IEEE/CVF Conf Comput Vis Pattern Recognit (CVPR); </w:t>
      </w:r>
      <w:r>
        <w:rPr>
          <w:rFonts w:hint="default" w:ascii="Times New Roman" w:hAnsi="Times New Roman" w:cs="Times New Roman"/>
        </w:rPr>
        <w:t>2018. 1603-1611.</w:t>
      </w:r>
      <w:bookmarkEnd w:id="53"/>
    </w:p>
    <w:p w14:paraId="2A53DA65">
      <w:pPr>
        <w:numPr>
          <w:ilvl w:val="0"/>
          <w:numId w:val="8"/>
        </w:numPr>
        <w:spacing w:line="480" w:lineRule="auto"/>
        <w:rPr>
          <w:rFonts w:hint="default" w:ascii="Times New Roman" w:hAnsi="Times New Roman" w:cs="Times New Roman"/>
        </w:rPr>
      </w:pPr>
      <w:bookmarkStart w:id="54" w:name="_Ref1609"/>
      <w:r>
        <w:rPr>
          <w:rFonts w:hint="default" w:ascii="Times New Roman" w:hAnsi="Times New Roman" w:cs="Times New Roman"/>
        </w:rPr>
        <w:t xml:space="preserve">Zhang H, Cissé M, Dauphin YN, Lopez-Paz D. mixup: Beyond Empirical Risk Minimization. </w:t>
      </w:r>
      <w:r>
        <w:rPr>
          <w:rFonts w:hint="default" w:ascii="Times New Roman" w:hAnsi="Times New Roman" w:cs="Times New Roman"/>
          <w:i/>
          <w:iCs/>
        </w:rPr>
        <w:t>ICLR.</w:t>
      </w:r>
      <w:r>
        <w:rPr>
          <w:rFonts w:hint="default" w:ascii="Times New Roman" w:hAnsi="Times New Roman" w:cs="Times New Roman"/>
        </w:rPr>
        <w:t xml:space="preserve"> 2018. Available from: </w:t>
      </w:r>
      <w:r>
        <w:rPr>
          <w:rFonts w:hint="default" w:ascii="Times New Roman" w:hAnsi="Times New Roman" w:cs="Times New Roman"/>
        </w:rPr>
        <w:fldChar w:fldCharType="begin"/>
      </w:r>
      <w:r>
        <w:rPr>
          <w:rFonts w:hint="default" w:ascii="Times New Roman" w:hAnsi="Times New Roman" w:cs="Times New Roman"/>
        </w:rPr>
        <w:instrText xml:space="preserve"> HYPERLINK "https://openreview.net/forum?id=H1xYm80bFQ." </w:instrText>
      </w:r>
      <w:r>
        <w:rPr>
          <w:rFonts w:hint="default" w:ascii="Times New Roman" w:hAnsi="Times New Roman" w:cs="Times New Roman"/>
        </w:rPr>
        <w:fldChar w:fldCharType="separate"/>
      </w:r>
      <w:r>
        <w:rPr>
          <w:rStyle w:val="20"/>
          <w:rFonts w:hint="default" w:ascii="Times New Roman" w:hAnsi="Times New Roman" w:cs="Times New Roman"/>
        </w:rPr>
        <w:t>https://openreview.net/forum?id=H1xYm80bFQ.</w:t>
      </w:r>
      <w:r>
        <w:rPr>
          <w:rStyle w:val="20"/>
          <w:rFonts w:hint="default" w:ascii="Times New Roman" w:hAnsi="Times New Roman" w:cs="Times New Roman"/>
        </w:rPr>
        <w:fldChar w:fldCharType="end"/>
      </w:r>
      <w:bookmarkEnd w:id="54"/>
    </w:p>
    <w:p w14:paraId="64EE1857">
      <w:pPr>
        <w:numPr>
          <w:ilvl w:val="0"/>
          <w:numId w:val="8"/>
        </w:numPr>
        <w:spacing w:line="480" w:lineRule="auto"/>
        <w:rPr>
          <w:rFonts w:hint="default" w:ascii="Times New Roman" w:hAnsi="Times New Roman" w:cs="Times New Roman"/>
        </w:rPr>
      </w:pPr>
      <w:bookmarkStart w:id="55" w:name="_Ref9675"/>
      <w:r>
        <w:rPr>
          <w:rFonts w:hint="default" w:ascii="Times New Roman" w:hAnsi="Times New Roman" w:cs="Times New Roman"/>
        </w:rPr>
        <w:t xml:space="preserve">Wang Y, Yao Q, Kwok JT, Ni LM. Dynamic Negative Sampling for Few-Shot Learning. </w:t>
      </w:r>
      <w:r>
        <w:rPr>
          <w:rFonts w:hint="default" w:ascii="Times New Roman" w:hAnsi="Times New Roman" w:cs="Times New Roman"/>
          <w:i/>
          <w:iCs/>
        </w:rPr>
        <w:t>Proc AAAI Conf Artif Intell.</w:t>
      </w:r>
      <w:r>
        <w:rPr>
          <w:rFonts w:hint="default" w:ascii="Times New Roman" w:hAnsi="Times New Roman" w:cs="Times New Roman"/>
        </w:rPr>
        <w:t xml:space="preserve"> 2024;38:512-520.</w:t>
      </w:r>
      <w:bookmarkEnd w:id="55"/>
    </w:p>
    <w:p w14:paraId="0431D563">
      <w:pPr>
        <w:numPr>
          <w:ilvl w:val="0"/>
          <w:numId w:val="8"/>
        </w:numPr>
        <w:spacing w:line="480" w:lineRule="auto"/>
        <w:rPr>
          <w:rFonts w:hint="default" w:ascii="Times New Roman" w:hAnsi="Times New Roman" w:cs="Times New Roman"/>
        </w:rPr>
      </w:pPr>
      <w:bookmarkStart w:id="56" w:name="_Ref3450"/>
      <w:r>
        <w:rPr>
          <w:rFonts w:hint="default" w:ascii="Times New Roman" w:hAnsi="Times New Roman" w:cs="Times New Roman"/>
        </w:rPr>
        <w:t xml:space="preserve">Caron M, Misra I, Mairal J, Goyal P, Bojanowski P, Joulin A. Unsupervised learning of visual features by contrasting cluster assignments. </w:t>
      </w:r>
      <w:r>
        <w:rPr>
          <w:rFonts w:hint="default" w:ascii="Times New Roman" w:hAnsi="Times New Roman" w:cs="Times New Roman"/>
          <w:i/>
          <w:iCs/>
        </w:rPr>
        <w:t xml:space="preserve">Adv Neural Inf Process Syst. </w:t>
      </w:r>
      <w:r>
        <w:rPr>
          <w:rFonts w:hint="default" w:ascii="Times New Roman" w:hAnsi="Times New Roman" w:cs="Times New Roman"/>
        </w:rPr>
        <w:t>2020;33:9912–9924</w:t>
      </w:r>
      <w:bookmarkEnd w:id="56"/>
      <w:r>
        <w:rPr>
          <w:rFonts w:hint="eastAsia" w:cs="Times New Roman"/>
          <w:lang w:val="en-US" w:eastAsia="zh-CN"/>
        </w:rPr>
        <w:t>.</w:t>
      </w:r>
    </w:p>
    <w:p w14:paraId="5BF08185">
      <w:pPr>
        <w:numPr>
          <w:ilvl w:val="0"/>
          <w:numId w:val="8"/>
        </w:numPr>
        <w:spacing w:line="480" w:lineRule="auto"/>
        <w:rPr>
          <w:rFonts w:hint="default" w:ascii="Times New Roman" w:hAnsi="Times New Roman" w:cs="Times New Roman"/>
        </w:rPr>
      </w:pPr>
      <w:bookmarkStart w:id="57" w:name="_Ref3470"/>
      <w:r>
        <w:rPr>
          <w:rFonts w:hint="default" w:ascii="Times New Roman" w:hAnsi="Times New Roman" w:cs="Times New Roman"/>
        </w:rPr>
        <w:t>Zhang Y, Luo P, Wang X. Anchor Consistency Learning for Pseudo-Supervised Feature Alignment in Few-Shot Learning.</w:t>
      </w:r>
      <w:r>
        <w:rPr>
          <w:rFonts w:hint="default" w:ascii="Times New Roman" w:hAnsi="Times New Roman" w:cs="Times New Roman"/>
          <w:i/>
          <w:iCs/>
        </w:rPr>
        <w:t xml:space="preserve"> IEEE Trans Pattern Anal Mach Intell. </w:t>
      </w:r>
      <w:r>
        <w:rPr>
          <w:rFonts w:hint="default" w:ascii="Times New Roman" w:hAnsi="Times New Roman" w:cs="Times New Roman"/>
        </w:rPr>
        <w:t>2022;44(9):6854–6866. doi:10.1109/TPAMI.2021.3101187.</w:t>
      </w:r>
      <w:bookmarkEnd w:id="57"/>
    </w:p>
    <w:bookmarkEnd w:id="45"/>
    <w:p w14:paraId="0A2EE6BB">
      <w:pPr>
        <w:numPr>
          <w:ilvl w:val="0"/>
          <w:numId w:val="8"/>
        </w:numPr>
        <w:spacing w:line="480" w:lineRule="auto"/>
        <w:rPr>
          <w:rFonts w:hint="default" w:ascii="Times New Roman" w:hAnsi="Times New Roman" w:cs="Times New Roman"/>
        </w:rPr>
      </w:pPr>
      <w:bookmarkStart w:id="58" w:name="_Ref3568"/>
      <w:bookmarkStart w:id="59" w:name="_Ref1824"/>
      <w:r>
        <w:rPr>
          <w:rFonts w:hint="default" w:ascii="Times New Roman" w:hAnsi="Times New Roman" w:cs="Times New Roman"/>
        </w:rPr>
        <w:t xml:space="preserve">Zhao L, Karypis G. Effective Hard Negative Sampling for Metric Learning in Few-Shot Scenarios. In: </w:t>
      </w:r>
      <w:r>
        <w:rPr>
          <w:rFonts w:hint="default" w:ascii="Times New Roman" w:hAnsi="Times New Roman" w:cs="Times New Roman"/>
          <w:i/>
          <w:iCs/>
        </w:rPr>
        <w:t>Proc AAAI Conf Artif Intell.</w:t>
      </w:r>
      <w:r>
        <w:rPr>
          <w:rFonts w:hint="default" w:ascii="Times New Roman" w:hAnsi="Times New Roman" w:cs="Times New Roman"/>
        </w:rPr>
        <w:t xml:space="preserve"> 2021;35:11523–11531.</w:t>
      </w:r>
      <w:bookmarkEnd w:id="58"/>
    </w:p>
    <w:bookmarkEnd w:id="59"/>
    <w:p w14:paraId="504AE5AD">
      <w:pPr>
        <w:numPr>
          <w:ilvl w:val="0"/>
          <w:numId w:val="8"/>
        </w:numPr>
        <w:spacing w:line="480" w:lineRule="auto"/>
        <w:rPr>
          <w:rFonts w:hint="default" w:ascii="Times New Roman" w:hAnsi="Times New Roman" w:cs="Times New Roman"/>
        </w:rPr>
      </w:pPr>
      <w:bookmarkStart w:id="60" w:name="_Ref3575"/>
      <w:bookmarkStart w:id="61" w:name="_Ref1902"/>
      <w:r>
        <w:rPr>
          <w:rFonts w:hint="default" w:ascii="Times New Roman" w:hAnsi="Times New Roman" w:cs="Times New Roman"/>
        </w:rPr>
        <w:t xml:space="preserve">Li X, Wu X, Chu X. AutoAugment for Tabular Data. </w:t>
      </w:r>
      <w:r>
        <w:rPr>
          <w:rFonts w:hint="default" w:ascii="Times New Roman" w:hAnsi="Times New Roman" w:cs="Times New Roman"/>
          <w:i/>
          <w:iCs/>
        </w:rPr>
        <w:t>Knowl-Based Syst.</w:t>
      </w:r>
      <w:r>
        <w:rPr>
          <w:rFonts w:hint="default" w:ascii="Times New Roman" w:hAnsi="Times New Roman" w:cs="Times New Roman"/>
        </w:rPr>
        <w:t xml:space="preserve"> 2022;239:107944. doi:10.1016/j.knosys.2021.107944.</w:t>
      </w:r>
      <w:bookmarkEnd w:id="60"/>
    </w:p>
    <w:p w14:paraId="48A848C1">
      <w:pPr>
        <w:numPr>
          <w:ilvl w:val="0"/>
          <w:numId w:val="8"/>
        </w:numPr>
        <w:spacing w:line="480" w:lineRule="auto"/>
        <w:rPr>
          <w:rFonts w:hint="default" w:ascii="Times New Roman" w:hAnsi="Times New Roman" w:cs="Times New Roman"/>
        </w:rPr>
      </w:pPr>
      <w:bookmarkStart w:id="62" w:name="_Ref3640"/>
      <w:r>
        <w:rPr>
          <w:rFonts w:hint="default" w:ascii="Times New Roman" w:hAnsi="Times New Roman" w:cs="Times New Roman"/>
        </w:rPr>
        <w:t>Kim D, Park J, Choi Y. Sample Integration for Class Imbalance in Few-Shot Tasks.</w:t>
      </w:r>
      <w:r>
        <w:rPr>
          <w:rFonts w:hint="default" w:ascii="Times New Roman" w:hAnsi="Times New Roman" w:cs="Times New Roman"/>
          <w:i/>
          <w:iCs/>
        </w:rPr>
        <w:t xml:space="preserve"> Adv Neural Inf Process Syst. </w:t>
      </w:r>
      <w:r>
        <w:rPr>
          <w:rFonts w:hint="default" w:ascii="Times New Roman" w:hAnsi="Times New Roman" w:cs="Times New Roman"/>
        </w:rPr>
        <w:t>2023;36:14523–14534.</w:t>
      </w:r>
      <w:bookmarkEnd w:id="62"/>
    </w:p>
    <w:p w14:paraId="4907C092">
      <w:pPr>
        <w:numPr>
          <w:ilvl w:val="0"/>
          <w:numId w:val="8"/>
        </w:numPr>
        <w:spacing w:line="480" w:lineRule="auto"/>
        <w:rPr>
          <w:rFonts w:hint="default" w:ascii="Times New Roman" w:hAnsi="Times New Roman" w:cs="Times New Roman"/>
        </w:rPr>
      </w:pPr>
      <w:bookmarkStart w:id="63" w:name="_Ref3721"/>
      <w:r>
        <w:rPr>
          <w:rFonts w:hint="default" w:ascii="Times New Roman" w:hAnsi="Times New Roman" w:cs="Times New Roman"/>
        </w:rPr>
        <w:t xml:space="preserve">American Diabetes Association (ADA). Classification and Diagnosis of Diabetes: Standards of Medical Care in Diabetes—2020. </w:t>
      </w:r>
      <w:r>
        <w:rPr>
          <w:rFonts w:hint="default" w:ascii="Times New Roman" w:hAnsi="Times New Roman" w:cs="Times New Roman"/>
          <w:i/>
          <w:iCs/>
        </w:rPr>
        <w:t>Diabetes Care</w:t>
      </w:r>
      <w:r>
        <w:rPr>
          <w:rFonts w:hint="default" w:ascii="Times New Roman" w:hAnsi="Times New Roman" w:cs="Times New Roman"/>
        </w:rPr>
        <w:t>. 2020;43(Suppl 1):S14-S31.</w:t>
      </w:r>
      <w:bookmarkEnd w:id="63"/>
    </w:p>
    <w:p w14:paraId="0652FB30">
      <w:pPr>
        <w:numPr>
          <w:ilvl w:val="0"/>
          <w:numId w:val="8"/>
        </w:numPr>
        <w:spacing w:line="480" w:lineRule="auto"/>
        <w:rPr>
          <w:rFonts w:hint="default" w:ascii="Times New Roman" w:hAnsi="Times New Roman" w:cs="Times New Roman"/>
        </w:rPr>
      </w:pPr>
      <w:bookmarkStart w:id="64" w:name="_Ref3761"/>
      <w:r>
        <w:rPr>
          <w:rFonts w:hint="default" w:ascii="Times New Roman" w:hAnsi="Times New Roman" w:cs="Times New Roman"/>
        </w:rPr>
        <w:t xml:space="preserve">Whelton PK, Carey RM, Aronow WS, et al. 2017 ACC/AHA Hypertension Guidelines: A Report of the American College of Cardiology/American Heart Association Task Force on Clinical Practice Guidelines. </w:t>
      </w:r>
      <w:r>
        <w:rPr>
          <w:rFonts w:hint="default" w:ascii="Times New Roman" w:hAnsi="Times New Roman" w:cs="Times New Roman"/>
          <w:i/>
          <w:iCs/>
        </w:rPr>
        <w:t>Hypertension</w:t>
      </w:r>
      <w:r>
        <w:rPr>
          <w:rFonts w:hint="default" w:ascii="Times New Roman" w:hAnsi="Times New Roman" w:cs="Times New Roman"/>
        </w:rPr>
        <w:t>. 2018;71(6):e13-e115.</w:t>
      </w:r>
      <w:bookmarkEnd w:id="64"/>
    </w:p>
    <w:bookmarkEnd w:id="61"/>
    <w:p w14:paraId="6618C193">
      <w:pPr>
        <w:numPr>
          <w:ilvl w:val="0"/>
          <w:numId w:val="8"/>
        </w:numPr>
        <w:spacing w:line="480" w:lineRule="auto"/>
        <w:rPr>
          <w:rFonts w:hint="default" w:ascii="Times New Roman" w:hAnsi="Times New Roman" w:cs="Times New Roman"/>
        </w:rPr>
      </w:pPr>
      <w:bookmarkStart w:id="65" w:name="_Ref3793"/>
      <w:r>
        <w:rPr>
          <w:rFonts w:hint="default" w:ascii="Times New Roman" w:hAnsi="Times New Roman" w:cs="Times New Roman"/>
        </w:rPr>
        <w:t xml:space="preserve">Muntner P, He J, Vupputuri S, et al. The Contribution of High Blood Pressure to the Population Burden of Chronic Kidney Disease: A Systematic Review and Meta-Analysis. </w:t>
      </w:r>
      <w:r>
        <w:rPr>
          <w:rFonts w:hint="default" w:ascii="Times New Roman" w:hAnsi="Times New Roman" w:cs="Times New Roman"/>
          <w:i/>
          <w:iCs/>
        </w:rPr>
        <w:t>J Am Soc Nephrol. 2</w:t>
      </w:r>
      <w:r>
        <w:rPr>
          <w:rFonts w:hint="default" w:ascii="Times New Roman" w:hAnsi="Times New Roman" w:cs="Times New Roman"/>
        </w:rPr>
        <w:t>002;13(5):1225–1232.</w:t>
      </w:r>
      <w:bookmarkEnd w:id="65"/>
    </w:p>
    <w:p w14:paraId="5740CA8C">
      <w:pPr>
        <w:numPr>
          <w:ilvl w:val="0"/>
          <w:numId w:val="8"/>
        </w:numPr>
        <w:spacing w:line="480" w:lineRule="auto"/>
        <w:rPr>
          <w:rFonts w:hint="default" w:ascii="Times New Roman" w:hAnsi="Times New Roman" w:cs="Times New Roman"/>
          <w:b/>
          <w:bCs/>
          <w:sz w:val="36"/>
          <w:szCs w:val="36"/>
        </w:rPr>
      </w:pPr>
      <w:bookmarkStart w:id="66" w:name="_Ref20654"/>
      <w:bookmarkStart w:id="67" w:name="_Ref3797"/>
      <w:r>
        <w:rPr>
          <w:rFonts w:hint="default" w:ascii="Times New Roman" w:hAnsi="Times New Roman" w:cs="Times New Roman"/>
        </w:rPr>
        <w:t>Li</w:t>
      </w:r>
      <w:bookmarkEnd w:id="66"/>
      <w:r>
        <w:rPr>
          <w:rFonts w:hint="default" w:ascii="Times New Roman" w:hAnsi="Times New Roman" w:cs="Times New Roman"/>
        </w:rPr>
        <w:t xml:space="preserve">Liu Y, Yang J, Zhang L, et al. Diabetes and Kidney Disease: From Mechanisms to Management. </w:t>
      </w:r>
      <w:r>
        <w:rPr>
          <w:rFonts w:hint="default" w:ascii="Times New Roman" w:hAnsi="Times New Roman" w:cs="Times New Roman"/>
          <w:i/>
          <w:iCs/>
        </w:rPr>
        <w:t xml:space="preserve">Clin Exp Nephrol. </w:t>
      </w:r>
      <w:r>
        <w:rPr>
          <w:rFonts w:hint="default" w:ascii="Times New Roman" w:hAnsi="Times New Roman" w:cs="Times New Roman"/>
        </w:rPr>
        <w:t>2019;23(4):461–469.</w:t>
      </w:r>
      <w:bookmarkEnd w:id="34"/>
      <w:bookmarkEnd w:id="67"/>
    </w:p>
    <w:p w14:paraId="1C48ED52">
      <w:pPr>
        <w:numPr>
          <w:ilvl w:val="0"/>
          <w:numId w:val="8"/>
        </w:numPr>
        <w:spacing w:line="480" w:lineRule="auto"/>
        <w:rPr>
          <w:rFonts w:hint="default" w:ascii="Times New Roman" w:hAnsi="Times New Roman" w:cs="Times New Roman"/>
          <w:b/>
          <w:bCs/>
          <w:sz w:val="36"/>
          <w:szCs w:val="36"/>
        </w:rPr>
      </w:pPr>
      <w:bookmarkStart w:id="68" w:name="_Ref22822"/>
      <w:r>
        <w:rPr>
          <w:rFonts w:hint="default" w:ascii="Times New Roman" w:hAnsi="Times New Roman" w:cs="Times New Roman"/>
        </w:rPr>
        <w:t>Bihorac A, Ozrazgat-Baslanti T, Ebadi A, et al. MySurgeryRisk: development and validation of a machine-learning risk algorithm for major complications and death after surgery. Ann Surg. 2019;269(4):652–662.</w:t>
      </w:r>
      <w:bookmarkEnd w:id="68"/>
    </w:p>
    <w:p w14:paraId="2F5231C4">
      <w:pPr>
        <w:keepNext w:val="0"/>
        <w:keepLines w:val="0"/>
        <w:pageBreakBefore w:val="0"/>
        <w:widowControl w:val="0"/>
        <w:tabs>
          <w:tab w:val="left" w:pos="420"/>
        </w:tabs>
        <w:kinsoku/>
        <w:wordWrap/>
        <w:overflowPunct/>
        <w:topLinePunct w:val="0"/>
        <w:autoSpaceDE/>
        <w:autoSpaceDN/>
        <w:bidi w:val="0"/>
        <w:adjustRightInd/>
        <w:snapToGrid/>
        <w:spacing w:line="480" w:lineRule="auto"/>
        <w:textAlignment w:val="auto"/>
        <w:outlineLvl w:val="0"/>
        <w:rPr>
          <w:rFonts w:hint="default" w:ascii="Times New Roman" w:hAnsi="Times New Roman" w:cs="Times New Roman"/>
          <w:b/>
          <w:bCs/>
          <w:sz w:val="36"/>
          <w:szCs w:val="36"/>
        </w:rPr>
      </w:pPr>
      <w:r>
        <w:rPr>
          <w:rFonts w:hint="default" w:ascii="Times New Roman" w:hAnsi="Times New Roman" w:cs="Times New Roman"/>
          <w:b/>
          <w:bCs/>
          <w:sz w:val="36"/>
          <w:szCs w:val="36"/>
          <w:lang w:val="en-US" w:eastAsia="zh-CN"/>
        </w:rPr>
        <w:t>Figure information</w:t>
      </w:r>
    </w:p>
    <w:p w14:paraId="6617E957">
      <w:pPr>
        <w:tabs>
          <w:tab w:val="left" w:pos="420"/>
        </w:tabs>
        <w:spacing w:line="480" w:lineRule="auto"/>
        <w:rPr>
          <w:rFonts w:hint="default" w:ascii="Times New Roman" w:hAnsi="Times New Roman" w:cs="Times New Roman"/>
        </w:rPr>
      </w:pPr>
      <w:r>
        <w:rPr>
          <w:rFonts w:hint="default" w:ascii="Times New Roman" w:hAnsi="Times New Roman" w:cs="Times New Roman"/>
          <w:b/>
          <w:bCs/>
        </w:rPr>
        <w:t>Fig 1.</w:t>
      </w:r>
      <w:r>
        <w:rPr>
          <w:rFonts w:hint="default" w:ascii="Times New Roman" w:hAnsi="Times New Roman" w:cs="Times New Roman"/>
        </w:rPr>
        <w:t xml:space="preserve"> </w:t>
      </w:r>
      <w:r>
        <w:rPr>
          <w:rFonts w:hint="default" w:ascii="Times New Roman" w:hAnsi="Times New Roman" w:cs="Times New Roman"/>
          <w:b/>
          <w:bCs/>
        </w:rPr>
        <w:t>Participant Eligibility Criteria.</w:t>
      </w:r>
      <w:r>
        <w:rPr>
          <w:rFonts w:hint="default" w:ascii="Times New Roman" w:hAnsi="Times New Roman" w:cs="Times New Roman"/>
        </w:rPr>
        <w:t xml:space="preserve"> Participant screening and grouping process. Researchers screened individuals according to predefined inclusion criteria, yielding a final study cohort of 194 subjects.</w:t>
      </w:r>
    </w:p>
    <w:p w14:paraId="33415DFF">
      <w:pPr>
        <w:tabs>
          <w:tab w:val="left" w:pos="420"/>
        </w:tabs>
        <w:spacing w:line="480" w:lineRule="auto"/>
        <w:rPr>
          <w:rFonts w:hint="default" w:ascii="Times New Roman" w:hAnsi="Times New Roman" w:cs="Times New Roman"/>
        </w:rPr>
      </w:pPr>
      <w:r>
        <w:rPr>
          <w:rFonts w:hint="default" w:ascii="Times New Roman" w:hAnsi="Times New Roman" w:cs="Times New Roman"/>
          <w:b/>
          <w:bCs/>
        </w:rPr>
        <w:t>Fig 2. Three-step data augmentation strategy for negative-class samples.</w:t>
      </w:r>
      <w:r>
        <w:rPr>
          <w:rFonts w:hint="default" w:ascii="Times New Roman" w:hAnsi="Times New Roman" w:cs="Times New Roman"/>
        </w:rPr>
        <w:t xml:space="preserve"> first, diverse negative pseudo-samples are generated using Anchor vectors; second, Euclidean distances among negative samples are computed to identify nearest neighbors for interpolation, enhancing local diversity; finally, the pseudo-samples are combined with real negative samples.</w:t>
      </w:r>
    </w:p>
    <w:p w14:paraId="788A7934">
      <w:pPr>
        <w:tabs>
          <w:tab w:val="left" w:pos="420"/>
        </w:tabs>
        <w:spacing w:line="480" w:lineRule="auto"/>
        <w:rPr>
          <w:rFonts w:hint="default" w:ascii="Times New Roman" w:hAnsi="Times New Roman" w:cs="Times New Roman"/>
          <w:b/>
          <w:bCs/>
        </w:rPr>
      </w:pPr>
      <w:r>
        <w:rPr>
          <w:rFonts w:hint="default" w:ascii="Times New Roman" w:hAnsi="Times New Roman" w:cs="Times New Roman"/>
          <w:b/>
          <w:bCs/>
        </w:rPr>
        <w:t>Fig 3. Multimodal Feature Fusion Network.</w:t>
      </w:r>
    </w:p>
    <w:p w14:paraId="1A862273">
      <w:pPr>
        <w:tabs>
          <w:tab w:val="left" w:pos="420"/>
        </w:tabs>
        <w:spacing w:line="480" w:lineRule="auto"/>
        <w:rPr>
          <w:rFonts w:hint="default" w:ascii="Times New Roman" w:hAnsi="Times New Roman" w:cs="Times New Roman"/>
        </w:rPr>
      </w:pPr>
      <w:r>
        <w:rPr>
          <w:rFonts w:hint="default" w:ascii="Times New Roman" w:hAnsi="Times New Roman" w:cs="Times New Roman"/>
          <w:b/>
          <w:bCs/>
        </w:rPr>
        <w:t>Fig 4. Process for Generating Multiple Prototypes.</w:t>
      </w:r>
      <w:r>
        <w:rPr>
          <w:rFonts w:hint="default" w:ascii="Times New Roman" w:hAnsi="Times New Roman" w:cs="Times New Roman"/>
        </w:rPr>
        <w:t xml:space="preserve"> Samples are first grouped by class, then K-means clustering is used to compute centroids for each class; if a class has insufficient samples, mean imputation is applied; finally, the centroids are L2-normalized to produce the set of multiple prototypes.</w:t>
      </w:r>
    </w:p>
    <w:p w14:paraId="1B3C6D9B">
      <w:pPr>
        <w:spacing w:line="480" w:lineRule="auto"/>
        <w:rPr>
          <w:rFonts w:hint="default" w:ascii="Times New Roman" w:hAnsi="Times New Roman" w:eastAsia="黑体" w:cs="Times New Roman"/>
          <w:b/>
          <w:bCs/>
        </w:rPr>
      </w:pPr>
      <w:r>
        <w:rPr>
          <w:rFonts w:hint="default" w:ascii="Times New Roman" w:hAnsi="Times New Roman" w:eastAsia="黑体" w:cs="Times New Roman"/>
          <w:b/>
          <w:bCs/>
        </w:rPr>
        <w:t>Fig 5. Training Workflow.</w:t>
      </w:r>
    </w:p>
    <w:p w14:paraId="1E75EDD2">
      <w:pPr>
        <w:spacing w:line="480" w:lineRule="auto"/>
        <w:rPr>
          <w:rFonts w:hint="default" w:ascii="Times New Roman" w:hAnsi="Times New Roman" w:eastAsia="黑体" w:cs="Times New Roman"/>
          <w:b/>
          <w:bCs/>
        </w:rPr>
      </w:pPr>
      <w:r>
        <w:rPr>
          <w:rFonts w:hint="default" w:ascii="Times New Roman" w:hAnsi="Times New Roman" w:eastAsia="黑体" w:cs="Times New Roman"/>
          <w:b/>
          <w:bCs/>
        </w:rPr>
        <w:t>Fig 6. Model Evaluation Workflow.</w:t>
      </w:r>
    </w:p>
    <w:p w14:paraId="571CF8BC">
      <w:pPr>
        <w:spacing w:line="480" w:lineRule="auto"/>
        <w:rPr>
          <w:rFonts w:hint="default" w:ascii="Times New Roman" w:hAnsi="Times New Roman" w:eastAsia="黑体" w:cs="Times New Roman"/>
          <w:b/>
          <w:bCs/>
        </w:rPr>
      </w:pPr>
      <w:r>
        <w:rPr>
          <w:rFonts w:hint="default" w:ascii="Times New Roman" w:hAnsi="Times New Roman" w:eastAsia="黑体" w:cs="Times New Roman"/>
          <w:b/>
          <w:bCs/>
        </w:rPr>
        <w:t>Fig 7. Overall ROC Curve</w:t>
      </w:r>
    </w:p>
    <w:p w14:paraId="7EB7AA15">
      <w:pPr>
        <w:spacing w:line="480" w:lineRule="auto"/>
        <w:rPr>
          <w:rFonts w:hint="default" w:ascii="Times New Roman" w:hAnsi="Times New Roman" w:eastAsia="黑体" w:cs="Times New Roman"/>
          <w:b/>
          <w:bCs/>
        </w:rPr>
      </w:pPr>
      <w:r>
        <w:rPr>
          <w:rFonts w:hint="default" w:ascii="Times New Roman" w:hAnsi="Times New Roman" w:eastAsia="黑体" w:cs="Times New Roman"/>
          <w:b/>
          <w:bCs/>
        </w:rPr>
        <w:t>Fig 8. Five-fold Cross-validation – Confusion Matrix</w:t>
      </w:r>
    </w:p>
    <w:p w14:paraId="362E5A11">
      <w:pPr>
        <w:spacing w:line="480" w:lineRule="auto"/>
        <w:rPr>
          <w:rFonts w:hint="default" w:ascii="Times New Roman" w:hAnsi="Times New Roman" w:eastAsia="黑体" w:cs="Times New Roman"/>
          <w:b/>
          <w:bCs/>
        </w:rPr>
      </w:pPr>
      <w:r>
        <w:rPr>
          <w:rFonts w:hint="default" w:ascii="Times New Roman" w:hAnsi="Times New Roman" w:eastAsia="黑体" w:cs="Times New Roman"/>
          <w:b/>
          <w:bCs/>
        </w:rPr>
        <w:t>Fig 9. Five-fold Cross-validation – ROC Curves</w:t>
      </w:r>
    </w:p>
    <w:p w14:paraId="3DACEF78">
      <w:pPr>
        <w:spacing w:line="480" w:lineRule="auto"/>
        <w:rPr>
          <w:rFonts w:hint="default" w:ascii="Times New Roman" w:hAnsi="Times New Roman" w:eastAsia="黑体" w:cs="Times New Roman"/>
          <w:b/>
          <w:bCs/>
        </w:rPr>
      </w:pPr>
      <w:r>
        <w:rPr>
          <w:rFonts w:hint="default" w:ascii="Times New Roman" w:hAnsi="Times New Roman" w:eastAsia="黑体" w:cs="Times New Roman"/>
          <w:b/>
          <w:bCs/>
        </w:rPr>
        <w:t>Fig 10. Feature Importance for Postoperative AKI Prediction</w:t>
      </w:r>
    </w:p>
    <w:p w14:paraId="4684AD26">
      <w:pPr>
        <w:spacing w:line="480" w:lineRule="auto"/>
        <w:rPr>
          <w:rFonts w:hint="default" w:ascii="Times New Roman" w:hAnsi="Times New Roman" w:eastAsia="宋体" w:cs="Times New Roman"/>
          <w:b/>
          <w:bCs/>
        </w:rPr>
      </w:pPr>
      <w:r>
        <w:rPr>
          <w:rFonts w:hint="default" w:ascii="Times New Roman" w:hAnsi="Times New Roman" w:eastAsia="宋体" w:cs="Times New Roman"/>
          <w:b/>
          <w:bCs/>
        </w:rPr>
        <w:t>Table 1. Comparative Analysis of the Proposed Multi-Prototype Method and Conventional Approaches</w:t>
      </w:r>
    </w:p>
    <w:p w14:paraId="5F40F00B">
      <w:pPr>
        <w:keepNext w:val="0"/>
        <w:keepLines w:val="0"/>
        <w:pageBreakBefore w:val="0"/>
        <w:widowControl w:val="0"/>
        <w:tabs>
          <w:tab w:val="left" w:pos="420"/>
        </w:tabs>
        <w:kinsoku/>
        <w:wordWrap/>
        <w:overflowPunct/>
        <w:topLinePunct w:val="0"/>
        <w:autoSpaceDE/>
        <w:autoSpaceDN/>
        <w:bidi w:val="0"/>
        <w:adjustRightInd/>
        <w:snapToGrid/>
        <w:spacing w:line="480" w:lineRule="auto"/>
        <w:textAlignment w:val="auto"/>
        <w:outlineLvl w:val="0"/>
        <w:rPr>
          <w:rFonts w:hint="default" w:ascii="Times New Roman" w:hAnsi="Times New Roman" w:cs="Times New Roman"/>
          <w:b/>
          <w:bCs/>
          <w:sz w:val="36"/>
          <w:szCs w:val="36"/>
        </w:rPr>
      </w:pPr>
      <w:r>
        <w:rPr>
          <w:rFonts w:hint="default" w:ascii="Times New Roman" w:hAnsi="Times New Roman" w:cs="Times New Roman"/>
          <w:b/>
          <w:bCs/>
          <w:sz w:val="36"/>
          <w:szCs w:val="36"/>
          <w:lang w:val="en-US" w:eastAsia="zh-CN"/>
        </w:rPr>
        <w:t>Supporting</w:t>
      </w:r>
      <w:r>
        <w:rPr>
          <w:rFonts w:hint="eastAsia" w:cs="Times New Roman"/>
          <w:b/>
          <w:bCs/>
          <w:sz w:val="36"/>
          <w:szCs w:val="36"/>
          <w:lang w:val="en-US" w:eastAsia="zh-CN"/>
        </w:rPr>
        <w:t xml:space="preserve"> </w:t>
      </w:r>
      <w:r>
        <w:rPr>
          <w:rFonts w:hint="default" w:ascii="Times New Roman" w:hAnsi="Times New Roman" w:cs="Times New Roman"/>
          <w:b/>
          <w:bCs/>
          <w:sz w:val="36"/>
          <w:szCs w:val="36"/>
          <w:lang w:val="en-US" w:eastAsia="zh-CN"/>
        </w:rPr>
        <w:t>information</w:t>
      </w:r>
    </w:p>
    <w:p w14:paraId="2F0447D8">
      <w:pPr>
        <w:spacing w:line="480" w:lineRule="auto"/>
        <w:rPr>
          <w:b/>
          <w:bCs/>
          <w:sz w:val="24"/>
          <w:szCs w:val="24"/>
        </w:rPr>
      </w:pPr>
      <w:r>
        <w:rPr>
          <w:b/>
          <w:bCs/>
          <w:sz w:val="24"/>
          <w:szCs w:val="24"/>
        </w:rPr>
        <w:t>S1 Appendix. Data imputation and standardization</w:t>
      </w:r>
    </w:p>
    <w:p w14:paraId="6A7078CF">
      <w:pPr>
        <w:spacing w:line="480"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Missing preoperative clinical values were replaced with column-wise medians to preserve sample size and reduce the influence of outliers. Comparative studies have shown that median imputation performs comparably to more complex multiple imputation methods. To further mitigate potential overfitting from fixed imputed values, the prototype network adopted episodic training, dynamically reorganizing support sets to expose the model to varied sample combinations.</w:t>
      </w:r>
    </w:p>
    <w:p w14:paraId="792D4642">
      <w:pPr>
        <w:spacing w:line="480"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After imputation, predefined clinical variables were standardized using scikit-learn’s StandardScaler, which computed the mean and standard deviation on the training set and transformed all variables to a standard normal distribution (zero mean and unit variance). This normalization eliminated scale disparities, stabilized training, and improved model convergence and generalization.</w:t>
      </w:r>
    </w:p>
    <w:p w14:paraId="2D06BE8D">
      <w:pPr>
        <w:spacing w:line="480"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To ensure reproducibility, the normalization parameters were serialized and reused during inference, completing the preprocessing pipeline from raw clinical data to model-ready inputs.</w:t>
      </w:r>
    </w:p>
    <w:p w14:paraId="2CDD3142">
      <w:pPr>
        <w:spacing w:line="480" w:lineRule="auto"/>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b/>
          <w:bCs/>
          <w:sz w:val="24"/>
          <w:szCs w:val="24"/>
          <w:lang w:val="en-US" w:eastAsia="zh-CN"/>
        </w:rPr>
        <w:t>S2 Appendix. Data Augmentation, Class Balancing, and Feature Extraction</w:t>
      </w:r>
    </w:p>
    <w:p w14:paraId="7714B389">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To address the pronounced imbalance between AKI-positive (n</w:t>
      </w:r>
      <w:r>
        <w:rPr>
          <w:rFonts w:hint="eastAsia" w:eastAsia="宋体" w:cs="Times New Roman"/>
          <w:lang w:val="en-US" w:eastAsia="zh-CN"/>
        </w:rPr>
        <w:t xml:space="preserve"> </w:t>
      </w:r>
      <w:r>
        <w:rPr>
          <w:rFonts w:hint="default" w:ascii="Times New Roman" w:hAnsi="Times New Roman" w:eastAsia="宋体" w:cs="Times New Roman"/>
        </w:rPr>
        <w:t>=</w:t>
      </w:r>
      <w:r>
        <w:rPr>
          <w:rFonts w:hint="eastAsia" w:eastAsia="宋体" w:cs="Times New Roman"/>
          <w:lang w:val="en-US" w:eastAsia="zh-CN"/>
        </w:rPr>
        <w:t xml:space="preserve"> </w:t>
      </w:r>
      <w:r>
        <w:rPr>
          <w:rFonts w:hint="default" w:ascii="Times New Roman" w:hAnsi="Times New Roman" w:eastAsia="宋体" w:cs="Times New Roman"/>
        </w:rPr>
        <w:t>132) and negative (n</w:t>
      </w:r>
      <w:r>
        <w:rPr>
          <w:rFonts w:hint="eastAsia" w:eastAsia="宋体" w:cs="Times New Roman"/>
          <w:lang w:val="en-US" w:eastAsia="zh-CN"/>
        </w:rPr>
        <w:t xml:space="preserve"> </w:t>
      </w:r>
      <w:r>
        <w:rPr>
          <w:rFonts w:hint="default" w:ascii="Times New Roman" w:hAnsi="Times New Roman" w:eastAsia="宋体" w:cs="Times New Roman"/>
        </w:rPr>
        <w:t>=</w:t>
      </w:r>
      <w:r>
        <w:rPr>
          <w:rFonts w:hint="eastAsia" w:eastAsia="宋体" w:cs="Times New Roman"/>
          <w:lang w:val="en-US" w:eastAsia="zh-CN"/>
        </w:rPr>
        <w:t xml:space="preserve"> </w:t>
      </w:r>
      <w:r>
        <w:rPr>
          <w:rFonts w:hint="default" w:ascii="Times New Roman" w:hAnsi="Times New Roman" w:eastAsia="宋体" w:cs="Times New Roman"/>
        </w:rPr>
        <w:t>62) cases, two complementary augmentation strategies were designed for image and tabular modalities within the multimodal framework.</w:t>
      </w:r>
    </w:p>
    <w:p w14:paraId="2406098C">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In the image branch, regions of interest (ROIs) were cropped from YOLO-based annotations and rescaled to original pixel dimensions. Lightweight geometric and luminance transformations—including small random rotations (±5°), horizontal flips, and brightness/contrast adjustments—were applied online before resizing all images to 224×224 pixels. A pre</w:t>
      </w:r>
      <w:r>
        <w:rPr>
          <w:rFonts w:hint="eastAsia" w:eastAsia="宋体" w:cs="Times New Roman"/>
          <w:lang w:val="en-US" w:eastAsia="zh-CN"/>
        </w:rPr>
        <w:t>-</w:t>
      </w:r>
      <w:r>
        <w:rPr>
          <w:rFonts w:hint="default" w:ascii="Times New Roman" w:hAnsi="Times New Roman" w:eastAsia="宋体" w:cs="Times New Roman"/>
        </w:rPr>
        <w:t>trained ResNet-50 (with its classification head removed) was then used to extract 2048-dimensional deep features for downstream fusion. These procedures expanded data diversity and enhanced model generalization under limited-sample conditions.</w:t>
      </w:r>
    </w:p>
    <w:p w14:paraId="7858D5D9">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In the tabular branch, a SMOTE-inspired interpolation strategy was adopted to enrich the minority class. Positive samples were randomly paired and linearly interpolated within a normalized feature space to synthesize realistic minority examples, while negative samples were interpolated along the prototype network’s decision boundary to generate harder negatives. During training, a WeightedRandomSampler and class-weighted loss function were jointly employed to balance class distributions and improve sensitivity to AKI cases.</w:t>
      </w:r>
    </w:p>
    <w:p w14:paraId="2E676C80">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Furthermore, to improve semantic consistency across modalities and overcome the instability of traditional feature-space generation methods (e.g., GAN or Mixup), we introduced an anchor-based pseudo-sample generation strategy (Fig 2). This three-step approach involved:</w:t>
      </w:r>
    </w:p>
    <w:p w14:paraId="55067D07">
      <w:pPr>
        <w:numPr>
          <w:ilvl w:val="0"/>
          <w:numId w:val="9"/>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Generating diversified pseudo-samples using AnchorFeatureGenerator initialized from SwAV-pretrained anchor vectors and random noise;</w:t>
      </w:r>
    </w:p>
    <w:p w14:paraId="635959C7">
      <w:pPr>
        <w:numPr>
          <w:ilvl w:val="0"/>
          <w:numId w:val="9"/>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Calculating Euclidean distances among standardized negative-class features to derive an adaptive interpolation threshold (25th percentile);</w:t>
      </w:r>
    </w:p>
    <w:p w14:paraId="0645A7E0">
      <w:pPr>
        <w:numPr>
          <w:ilvl w:val="0"/>
          <w:numId w:val="9"/>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Mixing pseudo-samples with real negative samples for multi-prototype construction and loss computation.</w:t>
      </w:r>
    </w:p>
    <w:p w14:paraId="727298FD">
      <w:pPr>
        <w:spacing w:line="48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This strategy effectively expanded the coverage of the negative-class feature space, enhanced sample diversity, and improved model interpretability.</w:t>
      </w:r>
    </w:p>
    <w:p w14:paraId="1A9CFCDE">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S3 Appendix. Detailed Design of the Feature Extraction Module</w:t>
      </w:r>
    </w:p>
    <w:p w14:paraId="58B03755">
      <w:pPr>
        <w:numPr>
          <w:ilvl w:val="0"/>
          <w:numId w:val="9"/>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b/>
          <w:bCs/>
        </w:rPr>
        <w:t>S3.1 Image Feature Encoder</w:t>
      </w:r>
      <w:r>
        <w:rPr>
          <w:rFonts w:hint="eastAsia" w:eastAsia="宋体" w:cs="Times New Roman"/>
          <w:b/>
          <w:bCs/>
          <w:lang w:val="en-US" w:eastAsia="zh-CN"/>
        </w:rPr>
        <w:t xml:space="preserve">: </w:t>
      </w:r>
      <w:r>
        <w:rPr>
          <w:rFonts w:hint="default" w:ascii="Times New Roman" w:hAnsi="Times New Roman" w:eastAsia="宋体" w:cs="Times New Roman"/>
        </w:rPr>
        <w:t>A pretrained ResNet-50 model is used as the visual backbone. The final classification layer is removed and global average pooling (GAP) is retained to produce 2048-dimensional feature vectors.</w:t>
      </w:r>
      <w:r>
        <w:rPr>
          <w:rFonts w:hint="default" w:ascii="Times New Roman" w:hAnsi="Times New Roman" w:eastAsia="宋体" w:cs="Times New Roman"/>
        </w:rPr>
        <w:br w:type="textWrapping"/>
      </w:r>
      <w:r>
        <w:rPr>
          <w:rFonts w:hint="default" w:ascii="Times New Roman" w:hAnsi="Times New Roman" w:eastAsia="宋体" w:cs="Times New Roman"/>
        </w:rPr>
        <w:t>For ROI cropping based on YOLO annotations, normalized bounding-box coordinates are converted to pixel coordinates; the cropped regions are then uniformly resized to 224×224.</w:t>
      </w:r>
    </w:p>
    <w:p w14:paraId="03FB6C4F">
      <w:pPr>
        <w:numPr>
          <w:ilvl w:val="0"/>
          <w:numId w:val="9"/>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b/>
          <w:bCs/>
        </w:rPr>
        <w:t>S3.2 Tabular Feature Encoder</w:t>
      </w:r>
      <w:r>
        <w:rPr>
          <w:rFonts w:hint="eastAsia" w:eastAsia="宋体" w:cs="Times New Roman"/>
          <w:b/>
          <w:bCs/>
          <w:lang w:val="en-US" w:eastAsia="zh-CN"/>
        </w:rPr>
        <w:t xml:space="preserve">: </w:t>
      </w:r>
      <w:r>
        <w:rPr>
          <w:rFonts w:hint="default" w:ascii="Times New Roman" w:hAnsi="Times New Roman" w:eastAsia="宋体" w:cs="Times New Roman"/>
        </w:rPr>
        <w:t>The encoder adopts a two-layer multilayer perceptron (MLP), with each layer consisting of a linear transformation, ReLU activation, and Dropout (drop</w:t>
      </w:r>
      <w:r>
        <w:rPr>
          <w:rFonts w:hint="eastAsia" w:eastAsia="宋体" w:cs="Times New Roman"/>
          <w:lang w:val="en-US" w:eastAsia="zh-CN"/>
        </w:rPr>
        <w:t>out</w:t>
      </w:r>
      <w:r>
        <w:rPr>
          <w:rFonts w:hint="default" w:ascii="Times New Roman" w:hAnsi="Times New Roman" w:eastAsia="宋体" w:cs="Times New Roman"/>
        </w:rPr>
        <w:t xml:space="preserve"> rate = 0.2).</w:t>
      </w:r>
      <w:r>
        <w:rPr>
          <w:rFonts w:hint="default" w:ascii="Times New Roman" w:hAnsi="Times New Roman" w:eastAsia="宋体" w:cs="Times New Roman"/>
        </w:rPr>
        <w:br w:type="textWrapping"/>
      </w:r>
      <w:r>
        <w:rPr>
          <w:rFonts w:hint="default" w:ascii="Times New Roman" w:hAnsi="Times New Roman" w:eastAsia="宋体" w:cs="Times New Roman"/>
        </w:rPr>
        <w:t>The inputs are Z-score–standardized clinical features. The first layer maps the original dimensionality to 128 dimensions, and the second layer performs a nonlinear transformation within the same dimensional space.</w:t>
      </w:r>
      <w:r>
        <w:rPr>
          <w:rFonts w:hint="default" w:ascii="Times New Roman" w:hAnsi="Times New Roman" w:eastAsia="宋体" w:cs="Times New Roman"/>
        </w:rPr>
        <w:br w:type="textWrapping"/>
      </w:r>
      <w:r>
        <w:rPr>
          <w:rFonts w:hint="default" w:ascii="Times New Roman" w:hAnsi="Times New Roman" w:eastAsia="宋体" w:cs="Times New Roman"/>
        </w:rPr>
        <w:t>This design aims to enhance feature expressiveness while mitigating overfitting in small-sample scenarios.</w:t>
      </w:r>
    </w:p>
    <w:p w14:paraId="17BAC502">
      <w:pPr>
        <w:numPr>
          <w:ilvl w:val="0"/>
          <w:numId w:val="9"/>
        </w:numPr>
        <w:spacing w:line="480" w:lineRule="auto"/>
        <w:ind w:left="420" w:leftChars="0" w:hanging="420" w:firstLineChars="0"/>
        <w:rPr>
          <w:rFonts w:hint="default" w:ascii="Times New Roman" w:hAnsi="Times New Roman" w:eastAsia="宋体" w:cs="Times New Roman"/>
          <w:b/>
          <w:bCs/>
        </w:rPr>
      </w:pPr>
      <w:r>
        <w:rPr>
          <w:rFonts w:hint="default" w:ascii="Times New Roman" w:hAnsi="Times New Roman" w:eastAsia="宋体" w:cs="Times New Roman"/>
          <w:b/>
          <w:bCs/>
        </w:rPr>
        <w:t>S3.3 Module Parameters and Compatibility</w:t>
      </w:r>
    </w:p>
    <w:p w14:paraId="0E401396">
      <w:pPr>
        <w:spacing w:line="48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Output dimensionality of the image encoder: 2048</w:t>
      </w:r>
    </w:p>
    <w:p w14:paraId="594974E0">
      <w:pPr>
        <w:spacing w:line="48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Output dimensionality of the tabular encoder: 128</w:t>
      </w:r>
      <w:r>
        <w:rPr>
          <w:rFonts w:hint="default" w:ascii="Times New Roman" w:hAnsi="Times New Roman" w:eastAsia="宋体" w:cs="Times New Roman"/>
        </w:rPr>
        <w:br w:type="textWrapping"/>
      </w:r>
      <w:r>
        <w:rPr>
          <w:rFonts w:hint="default" w:ascii="Times New Roman" w:hAnsi="Times New Roman" w:eastAsia="宋体" w:cs="Times New Roman"/>
          <w:lang w:val="en-US" w:eastAsia="zh-CN"/>
        </w:rPr>
        <w:tab/>
      </w:r>
      <w:r>
        <w:rPr>
          <w:rFonts w:hint="default" w:ascii="Times New Roman" w:hAnsi="Times New Roman" w:eastAsia="宋体" w:cs="Times New Roman"/>
        </w:rPr>
        <w:t>The two modalities exhibit good compatibility in terms of dimensionality and distribution, providing a unified input for the subsequent fusion module.</w:t>
      </w:r>
    </w:p>
    <w:p w14:paraId="4D2469CA">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S4 Appendix. Dynamic Gated Fusion Mechanism</w:t>
      </w:r>
    </w:p>
    <w:p w14:paraId="62081F10">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To achieve effective integration of visual and structured data under limited-sample constraints, we developed a dynamic gated fusion mechanism that adaptively assigns modality-specific contribution weights according to each sample's feature distribution. This approach maintains robust cross-modal interactions while mitigating information imbalance and overfitting risks through sample-adaptive weight allocation. The complete module architecture operates as follows:</w:t>
      </w:r>
    </w:p>
    <w:p w14:paraId="60B63089">
      <w:pPr>
        <w:spacing w:line="480" w:lineRule="auto"/>
        <w:rPr>
          <w:rFonts w:hint="default" w:ascii="Times New Roman" w:hAnsi="Times New Roman" w:cs="Times New Roman"/>
        </w:rPr>
      </w:pPr>
      <w:r>
        <w:rPr>
          <w:rFonts w:hint="default" w:ascii="Times New Roman" w:hAnsi="Times New Roman" w:eastAsia="宋体" w:cs="Times New Roman"/>
          <w:b/>
          <w:bCs/>
          <w:color w:val="000000" w:themeColor="text1"/>
          <w14:textFill>
            <w14:solidFill>
              <w14:schemeClr w14:val="tx1"/>
            </w14:solidFill>
          </w14:textFill>
        </w:rPr>
        <w:t xml:space="preserve">Feature splicing: </w:t>
      </w:r>
      <w:r>
        <w:rPr>
          <w:rFonts w:hint="default" w:ascii="Times New Roman" w:hAnsi="Times New Roman" w:eastAsia="宋体" w:cs="Times New Roman"/>
          <w:color w:val="000000" w:themeColor="text1"/>
          <w14:textFill>
            <w14:solidFill>
              <w14:schemeClr w14:val="tx1"/>
            </w14:solidFill>
          </w14:textFill>
        </w:rPr>
        <w:t>the 2048-dimensional visual features(</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output from the image encoder are spliced with the 128-dimensional structured features output from the table encoder(</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in the feature dimension to obtain a (2048+128)-dimensional joint vector:</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sty m:val="p"/>
                    </m:rPr>
                    <w:rPr>
                      <w:rFonts w:hint="default" w:ascii="Times New Roman" w:hAnsi="Times New Roman" w:cs="Times New Roman"/>
                      <w:b w:val="0"/>
                      <w:i w:val="0"/>
                    </w:rPr>
                    <m:t>f</m:t>
                  </m:r>
                  <m:ctrlPr>
                    <w:rPr>
                      <w:rFonts w:hint="default" w:ascii="Cambria Math" w:hAnsi="Cambria Math" w:cs="Times New Roman"/>
                    </w:rPr>
                  </m:ctrlPr>
                </m:e>
                <m:sub>
                  <m:r>
                    <m:rPr>
                      <m:nor/>
                      <m:sty m:val="p"/>
                    </m:rPr>
                    <w:rPr>
                      <w:rFonts w:hint="default" w:ascii="Times New Roman" w:hAnsi="Times New Roman" w:cs="Times New Roman"/>
                      <w:b w:val="0"/>
                      <w:i w:val="0"/>
                    </w:rPr>
                    <m:t>concat</m:t>
                  </m:r>
                  <m:ctrlPr>
                    <w:rPr>
                      <w:rFonts w:hint="default" w:ascii="Cambria Math" w:hAnsi="Cambria Math" w:cs="Times New Roman"/>
                    </w:rPr>
                  </m:ctrlPr>
                </m:sub>
              </m:sSub>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eastAsia="zh-CN"/>
                </w:rPr>
                <m:t xml:space="preserve"> </m:t>
              </m:r>
              <m:d>
                <m:dPr>
                  <m:begChr m:val="["/>
                  <m:endChr m:val="]"/>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f</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Cambria Math" w:hAnsi="Cambria Math" w:cs="Times New Roman"/>
                      <w:b w:val="0"/>
                      <w:i w:val="0"/>
                      <w:lang w:val="en-US" w:eastAsia="zh-CN"/>
                    </w:rPr>
                    <m:t xml:space="preserve"> </m:t>
                  </m:r>
                  <m:r>
                    <m:rPr>
                      <m:nor/>
                      <m:sty m:val="p"/>
                    </m:rPr>
                    <w:rPr>
                      <w:rFonts w:hint="default" w:ascii="Times New Roman" w:hAnsi="Times New Roman" w:cs="Times New Roman"/>
                      <w:b w:val="0"/>
                      <w:i w:val="0"/>
                    </w:rPr>
                    <m:t>;</m:t>
                  </m:r>
                  <m:r>
                    <m:rPr>
                      <m:nor/>
                      <m:sty m:val="p"/>
                    </m:rPr>
                    <w:rPr>
                      <w:rFonts w:hint="default" w:cs="Times New Roman"/>
                      <w:b w:val="0"/>
                      <w:i w:val="0"/>
                      <w:lang w:val="en-US" w:eastAsia="zh-CN"/>
                    </w:rPr>
                    <m:t xml:space="preserve"> </m:t>
                  </m:r>
                  <m:sSub>
                    <m:sSubPr>
                      <m:ctrlPr>
                        <w:rPr>
                          <w:rFonts w:hint="default" w:ascii="Cambria Math" w:hAnsi="Cambria Math" w:cs="Times New Roman"/>
                        </w:rPr>
                      </m:ctrlPr>
                    </m:sSubPr>
                    <m:e>
                      <m:r>
                        <m:rPr>
                          <m:nor/>
                          <m:sty m:val="p"/>
                        </m:rPr>
                        <w:rPr>
                          <w:rFonts w:hint="default" w:ascii="Times New Roman" w:hAnsi="Times New Roman" w:cs="Times New Roman"/>
                          <w:b w:val="0"/>
                          <w:i w:val="0"/>
                        </w:rPr>
                        <m:t>f</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 xml:space="preserve"> ∈</m:t>
              </m:r>
              <m:r>
                <m:rPr>
                  <m:nor/>
                  <m:sty m:val="p"/>
                </m:rPr>
                <w:rPr>
                  <w:rFonts w:hint="default" w:ascii="Times New Roman" w:hAnsi="Times New Roman" w:cs="Times New Roman"/>
                  <w:b w:val="0"/>
                  <w:i w:val="0"/>
                  <w:lang w:val="en-US" w:eastAsia="zh-CN"/>
                </w:rPr>
                <m:t xml:space="preserve"> </m:t>
              </m:r>
              <m:sSup>
                <m:sSupPr>
                  <m:ctrlPr>
                    <w:rPr>
                      <w:rFonts w:hint="default" w:ascii="Cambria Math" w:hAnsi="Cambria Math" w:cs="Times New Roman"/>
                    </w:rPr>
                  </m:ctrlPr>
                </m:sSupPr>
                <m:e>
                  <m:r>
                    <m:rPr>
                      <m:nor/>
                      <m:sty m:val="p"/>
                    </m:rPr>
                    <w:rPr>
                      <w:rFonts w:hint="default" w:ascii="Times New Roman" w:hAnsi="Times New Roman" w:cs="Times New Roman"/>
                      <w:b w:val="0"/>
                      <w:i w:val="0"/>
                    </w:rPr>
                    <m:t>R</m:t>
                  </m:r>
                  <m:ctrlPr>
                    <w:rPr>
                      <w:rFonts w:hint="default" w:ascii="Cambria Math" w:hAnsi="Cambria Math" w:cs="Times New Roman"/>
                    </w:rPr>
                  </m:ctrlPr>
                </m:e>
                <m:sup>
                  <m:r>
                    <m:rPr>
                      <m:nor/>
                      <m:sty m:val="p"/>
                    </m:rPr>
                    <w:rPr>
                      <w:rFonts w:hint="default" w:ascii="Times New Roman" w:hAnsi="Times New Roman" w:cs="Times New Roman"/>
                      <w:b w:val="0"/>
                      <w:i w:val="0"/>
                    </w:rPr>
                    <m:t>2176</m:t>
                  </m:r>
                  <m:ctrlPr>
                    <w:rPr>
                      <w:rFonts w:hint="default" w:ascii="Cambria Math" w:hAnsi="Cambria Math" w:cs="Times New Roman"/>
                    </w:rPr>
                  </m:ctrlPr>
                </m:sup>
              </m:sSup>
              <m:r>
                <m:rPr>
                  <m:sty m:val="p"/>
                </m:rPr>
                <w:rPr>
                  <w:rFonts w:hint="default" w:ascii="Cambria Math" w:hAnsi="Cambria Math" w:cs="Times New Roman"/>
                </w:rPr>
                <m:t>#</m:t>
              </m:r>
              <m:r>
                <m:rPr>
                  <m:nor/>
                  <m:sty m:val="p"/>
                </m:rPr>
                <w:rPr>
                  <w:rFonts w:hint="default" w:ascii="Times New Roman" w:hAnsi="Times New Roman" w:cs="Times New Roman"/>
                  <w:b w:val="0"/>
                  <w:i w:val="0"/>
                </w:rPr>
                <m:t>(1)</m:t>
              </m:r>
              <m:ctrlPr>
                <w:rPr>
                  <w:rFonts w:hint="default" w:ascii="Cambria Math" w:hAnsi="Cambria Math" w:cs="Times New Roman"/>
                </w:rPr>
              </m:ctrlPr>
            </m:e>
          </m:eqArr>
        </m:oMath>
      </m:oMathPara>
    </w:p>
    <w:p w14:paraId="67B36B3F">
      <w:pPr>
        <w:numPr>
          <w:ilvl w:val="0"/>
          <w:numId w:val="1"/>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Two-layer fully-connected: </w:t>
      </w:r>
      <w:r>
        <w:rPr>
          <w:rFonts w:hint="default" w:ascii="Times New Roman" w:hAnsi="Times New Roman" w:eastAsia="宋体" w:cs="Times New Roman"/>
          <w:color w:val="000000" w:themeColor="text1"/>
          <w14:textFill>
            <w14:solidFill>
              <w14:schemeClr w14:val="tx1"/>
            </w14:solidFill>
          </w14:textFill>
        </w:rPr>
        <w:t>the spliced vectors are sequentially passed through a two-layer fully-connected network, each layer coupled with ReLU activation, to capture higher-order interactions across modalities: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sty m:val="p"/>
                    </m:rPr>
                    <w:rPr>
                      <w:rFonts w:hint="default" w:ascii="Times New Roman" w:hAnsi="Times New Roman" w:cs="Times New Roman"/>
                      <w:b w:val="0"/>
                      <w:i w:val="0"/>
                    </w:rPr>
                    <m:t>h</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=ReLU</m:t>
              </m:r>
              <m:d>
                <m:dPr>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W</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f</m:t>
                      </m:r>
                      <m:ctrlPr>
                        <w:rPr>
                          <w:rFonts w:hint="default" w:ascii="Cambria Math" w:hAnsi="Cambria Math" w:cs="Times New Roman"/>
                        </w:rPr>
                      </m:ctrlPr>
                    </m:e>
                    <m:sub>
                      <m:r>
                        <m:rPr>
                          <m:nor/>
                          <m:sty m:val="p"/>
                        </m:rPr>
                        <w:rPr>
                          <w:rFonts w:hint="default" w:ascii="Times New Roman" w:hAnsi="Times New Roman" w:cs="Times New Roman"/>
                          <w:b w:val="0"/>
                          <w:i w:val="0"/>
                        </w:rPr>
                        <m:t>concat</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b</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 xml:space="preserve"> , </m:t>
              </m:r>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h</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=ReLU</m:t>
              </m:r>
              <m:d>
                <m:dPr>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W</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h</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b</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ctrlPr>
                    <w:rPr>
                      <w:rFonts w:hint="default" w:ascii="Cambria Math" w:hAnsi="Cambria Math" w:cs="Times New Roman"/>
                    </w:rPr>
                  </m:ctrlPr>
                </m:e>
              </m:d>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cs="Times New Roman"/>
                </w:rPr>
              </m:ctrlPr>
            </m:e>
          </m:eqArr>
        </m:oMath>
      </m:oMathPara>
    </w:p>
    <w:p w14:paraId="46B89F2F">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In the formula:</w:t>
      </w:r>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W</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R</m:t>
            </m:r>
            <m:ctrlPr>
              <w:rPr>
                <w:rFonts w:hint="default" w:ascii="Cambria Math" w:hAnsi="Cambria Math" w:cs="Times New Roman"/>
              </w:rPr>
            </m:ctrlPr>
          </m:e>
          <m:sup>
            <m:r>
              <m:rPr>
                <m:nor/>
                <m:sty m:val="p"/>
              </m:rPr>
              <w:rPr>
                <w:rFonts w:hint="default" w:ascii="Times New Roman" w:hAnsi="Times New Roman" w:cs="Times New Roman"/>
                <w:b w:val="0"/>
                <w:i w:val="0"/>
              </w:rPr>
              <m:t>128×2176</m:t>
            </m:r>
            <m:ctrlPr>
              <w:rPr>
                <w:rFonts w:hint="default" w:ascii="Cambria Math" w:hAnsi="Cambria Math" w:cs="Times New Roman"/>
              </w:rPr>
            </m:ctrlPr>
          </m:sup>
        </m:s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W</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R</m:t>
            </m:r>
            <m:ctrlPr>
              <w:rPr>
                <w:rFonts w:hint="default" w:ascii="Cambria Math" w:hAnsi="Cambria Math" w:cs="Times New Roman"/>
              </w:rPr>
            </m:ctrlPr>
          </m:e>
          <m:sup>
            <m:r>
              <m:rPr>
                <m:nor/>
                <m:sty m:val="p"/>
              </m:rPr>
              <w:rPr>
                <w:rFonts w:hint="default" w:ascii="Times New Roman" w:hAnsi="Times New Roman" w:cs="Times New Roman"/>
                <w:b w:val="0"/>
                <w:i w:val="0"/>
              </w:rPr>
              <m:t>2×128</m:t>
            </m:r>
            <m:ctrlPr>
              <w:rPr>
                <w:rFonts w:hint="default" w:ascii="Cambria Math" w:hAnsi="Cambria Math" w:cs="Times New Roman"/>
              </w:rPr>
            </m:ctrlPr>
          </m:sup>
        </m:sSup>
      </m:oMath>
    </w:p>
    <w:p w14:paraId="2A8F94D2">
      <w:pPr>
        <w:numPr>
          <w:ilvl w:val="0"/>
          <w:numId w:val="1"/>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Sigmoid output dual-channel weighting: </w:t>
      </w:r>
      <w:r>
        <w:rPr>
          <w:rFonts w:hint="default" w:ascii="Times New Roman" w:hAnsi="Times New Roman" w:eastAsia="宋体" w:cs="Times New Roman"/>
          <w:color w:val="000000" w:themeColor="text1"/>
          <w14:textFill>
            <w14:solidFill>
              <w14:schemeClr w14:val="tx1"/>
            </w14:solidFill>
          </w14:textFill>
        </w:rPr>
        <w:t>replacing the traditional softmax attention mechanism with independent sigmoid gating, independently weighted multimodal feature fusion, applying sigmoid directly to the two output channels: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d>
                <m:dPr>
                  <m:begChr m:val="["/>
                  <m:endChr m:val="]"/>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 xml:space="preserve"> ,</m:t>
                  </m:r>
                  <m:r>
                    <m:rPr>
                      <m:nor/>
                      <m:sty m:val="p"/>
                    </m:rPr>
                    <w:rPr>
                      <w:rFonts w:hint="default" w:cs="Times New Roman"/>
                      <w:b w:val="0"/>
                      <w:i w:val="0"/>
                      <w:lang w:val="en-US" w:eastAsia="zh-CN"/>
                    </w:rPr>
                    <m:t xml:space="preserve"> </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nor/>
                      <m:sty m:val="p"/>
                    </m:rPr>
                    <w:rPr>
                      <w:rFonts w:hint="default" w:ascii="Times New Roman" w:hAnsi="Times New Roman" w:cs="Times New Roman"/>
                      <w:b w:val="0"/>
                      <w:i w:val="0"/>
                    </w:rPr>
                    <m:t xml:space="preserve"> </m:t>
                  </m:r>
                  <m:ctrlPr>
                    <w:rPr>
                      <w:rFonts w:hint="default" w:ascii="Cambria Math" w:hAnsi="Cambria Math" w:cs="Times New Roman"/>
                    </w:rPr>
                  </m:ctrlPr>
                </m:e>
              </m:d>
              <m:r>
                <m:rPr>
                  <m:nor/>
                  <m:sty m:val="p"/>
                </m:rPr>
                <w:rPr>
                  <w:rFonts w:hint="default" w:ascii="Times New Roman" w:hAnsi="Times New Roman" w:cs="Times New Roman"/>
                  <w:b w:val="0"/>
                  <w:i w:val="0"/>
                </w:rPr>
                <m:t>=σ</m:t>
              </m:r>
              <m:d>
                <m:dPr>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W</m:t>
                      </m:r>
                      <m:ctrlPr>
                        <w:rPr>
                          <w:rFonts w:hint="default" w:ascii="Cambria Math" w:hAnsi="Cambria Math" w:cs="Times New Roman"/>
                        </w:rPr>
                      </m:ctrlPr>
                    </m:e>
                    <m:sub>
                      <m:r>
                        <m:rPr>
                          <m:nor/>
                          <m:sty m:val="p"/>
                        </m:rPr>
                        <w:rPr>
                          <w:rFonts w:hint="default" w:ascii="Times New Roman" w:hAnsi="Times New Roman" w:cs="Times New Roman"/>
                          <w:b w:val="0"/>
                          <w:i w:val="0"/>
                        </w:rPr>
                        <m:t>3</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h</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b</m:t>
                      </m:r>
                      <m:ctrlPr>
                        <w:rPr>
                          <w:rFonts w:hint="default" w:ascii="Cambria Math" w:hAnsi="Cambria Math" w:cs="Times New Roman"/>
                        </w:rPr>
                      </m:ctrlPr>
                    </m:e>
                    <m:sub>
                      <m:r>
                        <m:rPr>
                          <m:nor/>
                          <m:sty m:val="p"/>
                        </m:rPr>
                        <w:rPr>
                          <w:rFonts w:hint="default" w:ascii="Times New Roman" w:hAnsi="Times New Roman" w:cs="Times New Roman"/>
                          <w:b w:val="0"/>
                          <w:i w:val="0"/>
                        </w:rPr>
                        <m:t>3</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 xml:space="preserve">,  </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 xml:space="preserve"> ,</m:t>
              </m:r>
              <m:r>
                <m:rPr>
                  <m:nor/>
                  <m:sty m:val="p"/>
                </m:rPr>
                <w:rPr>
                  <w:rFonts w:hint="default" w:cs="Times New Roman"/>
                  <w:b w:val="0"/>
                  <w:i w:val="0"/>
                  <w:lang w:val="en-US" w:eastAsia="zh-CN"/>
                </w:rPr>
                <m:t xml:space="preserve"> </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nor/>
                  <m:sty m:val="p"/>
                </m:rPr>
                <w:rPr>
                  <w:rFonts w:hint="default" w:ascii="Times New Roman" w:hAnsi="Times New Roman" w:cs="Times New Roman"/>
                  <w:b w:val="0"/>
                  <w:i w:val="0"/>
                </w:rPr>
                <m:t>ϵ(0,1)</m:t>
              </m:r>
              <m:r>
                <m:rPr>
                  <m:sty m:val="p"/>
                </m:rPr>
                <w:rPr>
                  <w:rFonts w:hint="default" w:ascii="Cambria Math" w:hAnsi="Cambria Math" w:cs="Times New Roman"/>
                </w:rPr>
                <m:t>#</m:t>
              </m:r>
              <m:r>
                <m:rPr>
                  <m:nor/>
                  <m:sty m:val="p"/>
                </m:rPr>
                <w:rPr>
                  <w:rFonts w:hint="default" w:ascii="Times New Roman" w:hAnsi="Times New Roman" w:cs="Times New Roman"/>
                  <w:b w:val="0"/>
                  <w:i w:val="0"/>
                </w:rPr>
                <m:t>(3)</m:t>
              </m:r>
              <m:ctrlPr>
                <w:rPr>
                  <w:rFonts w:hint="default" w:ascii="Cambria Math" w:hAnsi="Cambria Math" w:eastAsia="宋体" w:cs="Times New Roman"/>
                  <w:color w:val="000000" w:themeColor="text1"/>
                  <w14:textFill>
                    <w14:solidFill>
                      <w14:schemeClr w14:val="tx1"/>
                    </w14:solidFill>
                  </w14:textFill>
                </w:rPr>
              </m:ctrlPr>
            </m:e>
          </m:eqArr>
        </m:oMath>
      </m:oMathPara>
    </w:p>
    <w:p w14:paraId="2AB920CC">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used to weight visual features and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used to weight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structured features.</w:t>
      </w:r>
    </w:p>
    <w:p w14:paraId="5A5B933B">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S5 Appendix. </w:t>
      </w:r>
      <w:r>
        <w:rPr>
          <w:rFonts w:hint="default" w:ascii="Times New Roman" w:hAnsi="Times New Roman" w:cs="Times New Roman"/>
          <w:b/>
          <w:bCs/>
          <w:sz w:val="24"/>
          <w:szCs w:val="24"/>
        </w:rPr>
        <w:t>Multimodal Feature Fusion and Dimensionality Reduction</w:t>
      </w:r>
    </w:p>
    <w:p w14:paraId="59359C27">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After obtaining the adaptive gating weights for the image and tabular branches, the next step is to reconstruct and fuse the two feature sets to generate a low-dimensional embedding rich in cross-modal information.</w:t>
      </w:r>
    </w:p>
    <w:p w14:paraId="6EC770D4">
      <w:pPr>
        <w:numPr>
          <w:ilvl w:val="0"/>
          <w:numId w:val="10"/>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Weighted feature reconstruction: </w:t>
      </w:r>
      <w:r>
        <w:rPr>
          <w:rFonts w:hint="default" w:ascii="Times New Roman" w:hAnsi="Times New Roman" w:eastAsia="宋体" w:cs="Times New Roman"/>
          <w:color w:val="000000" w:themeColor="text1"/>
          <w14:textFill>
            <w14:solidFill>
              <w14:schemeClr w14:val="tx1"/>
            </w14:solidFill>
          </w14:textFill>
        </w:rPr>
        <w:t xml:space="preserve">features are dynamically adjusted so that important features are more prominent and unimportant features are suppressed. Here for a single sample, let its visual feature vector be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2048</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xml:space="preserve"> and structured feature vector be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128</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xml:space="preserve">, the corresponding gating outputs are scalar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and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which are first applied separately:</w:t>
      </w:r>
    </w:p>
    <w:p w14:paraId="35FA49CA">
      <w:pPr>
        <w:spacing w:line="480" w:lineRule="auto"/>
        <w:ind w:left="420"/>
        <w:rPr>
          <w:rFonts w:hint="default" w:ascii="Times New Roman" w:hAnsi="Times New Roman" w:eastAsia="宋体" w:cs="Times New Roman"/>
          <w:color w:val="000000" w:themeColor="text1"/>
          <w14:textFill>
            <w14:solidFill>
              <w14:schemeClr w14:val="tx1"/>
            </w14:solidFill>
          </w14:textFill>
        </w:rPr>
      </w:pP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sty m:val="p"/>
                        </m:rPr>
                        <w:rPr>
                          <w:rFonts w:hint="default" w:ascii="Times New Roman" w:hAnsi="Times New Roman" w:cs="Times New Roman"/>
                          <w:b w:val="0"/>
                          <w:i w:val="0"/>
                        </w:rPr>
                        <m:t>f</m:t>
                      </m:r>
                      <m:ctrlPr>
                        <w:rPr>
                          <w:rFonts w:hint="default" w:ascii="Cambria Math" w:hAnsi="Cambria Math" w:cs="Times New Roman"/>
                        </w:rPr>
                      </m:ctrlPr>
                    </m:e>
                  </m:acc>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f</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 xml:space="preserve"> ，</m:t>
              </m:r>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sty m:val="p"/>
                        </m:rPr>
                        <w:rPr>
                          <w:rFonts w:hint="default" w:ascii="Times New Roman" w:hAnsi="Times New Roman" w:cs="Times New Roman"/>
                          <w:b w:val="0"/>
                          <w:i w:val="0"/>
                        </w:rPr>
                        <m:t>f</m:t>
                      </m:r>
                      <m:ctrlPr>
                        <w:rPr>
                          <w:rFonts w:hint="default" w:ascii="Cambria Math" w:hAnsi="Cambria Math" w:cs="Times New Roman"/>
                        </w:rPr>
                      </m:ctrlPr>
                    </m:e>
                  </m:acc>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f</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sty m:val="p"/>
                </m:rPr>
                <w:rPr>
                  <w:rFonts w:hint="default" w:ascii="Cambria Math" w:hAnsi="Cambria Math" w:cs="Times New Roman"/>
                </w:rPr>
                <m:t>#</m:t>
              </m:r>
              <m:r>
                <m:rPr>
                  <m:nor/>
                  <m:sty m:val="p"/>
                </m:rPr>
                <w:rPr>
                  <w:rFonts w:hint="default" w:ascii="Times New Roman" w:hAnsi="Times New Roman" w:cs="Times New Roman"/>
                  <w:b w:val="0"/>
                  <w:i w:val="0"/>
                </w:rPr>
                <m:t>(4)</m:t>
              </m:r>
              <m:ctrlPr>
                <w:rPr>
                  <w:rFonts w:hint="default" w:ascii="Cambria Math" w:hAnsi="Cambria Math" w:eastAsia="宋体" w:cs="Times New Roman"/>
                  <w:color w:val="000000" w:themeColor="text1"/>
                  <w14:textFill>
                    <w14:solidFill>
                      <w14:schemeClr w14:val="tx1"/>
                    </w14:solidFill>
                  </w14:textFill>
                </w:rPr>
              </m:ctrlPr>
            </m:e>
          </m:eqArr>
          <m:r>
            <m:rPr>
              <m:nor/>
              <m:sty m:val="p"/>
            </m:rPr>
            <w:rPr>
              <w:rFonts w:hint="default" w:ascii="Times New Roman" w:hAnsi="Times New Roman" w:eastAsia="宋体" w:cs="Times New Roman"/>
              <w:b w:val="0"/>
              <w:i w:val="0"/>
              <w:color w:val="000000" w:themeColor="text1"/>
              <w14:textFill>
                <w14:solidFill>
                  <w14:schemeClr w14:val="tx1"/>
                </w14:solidFill>
              </w14:textFill>
            </w:rPr>
            <w:br w:type="textWrapping"/>
          </m:r>
        </m:oMath>
      </m:oMathPara>
      <w:r>
        <w:rPr>
          <w:rFonts w:hint="default" w:ascii="Times New Roman" w:hAnsi="Times New Roman" w:eastAsia="宋体" w:cs="Times New Roman"/>
          <w:color w:val="000000" w:themeColor="text1"/>
          <w14:textFill>
            <w14:solidFill>
              <w14:schemeClr w14:val="tx1"/>
            </w14:solidFill>
          </w14:textFill>
        </w:rPr>
        <w:t>This allows for adaptive amplification or suppression of a certain way of information according to the sample, preventing noise modes from affecting the final representation.</w:t>
      </w:r>
    </w:p>
    <w:p w14:paraId="7F5E92EC">
      <w:pPr>
        <w:numPr>
          <w:ilvl w:val="0"/>
          <w:numId w:val="10"/>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Fused Feature Normalization: </w:t>
      </w:r>
      <w:r>
        <w:rPr>
          <w:rFonts w:hint="default" w:ascii="Times New Roman" w:hAnsi="Times New Roman" w:eastAsia="宋体" w:cs="Times New Roman"/>
          <w:color w:val="000000" w:themeColor="text1"/>
          <w14:textFill>
            <w14:solidFill>
              <w14:schemeClr w14:val="tx1"/>
            </w14:solidFill>
          </w14:textFill>
        </w:rPr>
        <w:t xml:space="preserve">To avoid dominating the model learning when the value range of a feature is large after fusion, we splice the weighted two vectors by dimension to get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used</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2176</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and then apply BatchNorm to normalize the spliced vectors: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f</m:t>
                  </m:r>
                  <m:ctrlPr>
                    <w:rPr>
                      <w:rFonts w:hint="default" w:ascii="Cambria Math" w:hAnsi="Cambria Math" w:cs="Times New Roman"/>
                    </w:rPr>
                  </m:ctrlPr>
                </m:e>
                <m:sub>
                  <m:r>
                    <m:rPr>
                      <m:nor/>
                      <m:sty m:val="p"/>
                    </m:rPr>
                    <w:rPr>
                      <w:rFonts w:hint="default" w:ascii="Times New Roman" w:hAnsi="Times New Roman" w:cs="Times New Roman"/>
                      <w:b w:val="0"/>
                      <w:i w:val="0"/>
                    </w:rPr>
                    <m:t>norm</m:t>
                  </m:r>
                  <m:ctrlPr>
                    <w:rPr>
                      <w:rFonts w:hint="default" w:ascii="Cambria Math" w:hAnsi="Cambria Math" w:cs="Times New Roman"/>
                    </w:rPr>
                  </m:ctrlPr>
                </m:sub>
              </m:sSub>
              <m:r>
                <m:rPr>
                  <m:nor/>
                  <m:sty m:val="p"/>
                </m:rPr>
                <w:rPr>
                  <w:rFonts w:hint="default" w:ascii="Times New Roman" w:hAnsi="Times New Roman" w:cs="Times New Roman"/>
                  <w:b w:val="0"/>
                  <w:i w:val="0"/>
                </w:rPr>
                <m:t>=Batch Norm(</m:t>
              </m:r>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f</m:t>
                  </m:r>
                  <m:ctrlPr>
                    <w:rPr>
                      <w:rFonts w:hint="default" w:ascii="Cambria Math" w:hAnsi="Cambria Math" w:cs="Times New Roman"/>
                    </w:rPr>
                  </m:ctrlPr>
                </m:e>
                <m:sub>
                  <m:r>
                    <m:rPr>
                      <m:nor/>
                      <m:sty m:val="p"/>
                    </m:rPr>
                    <w:rPr>
                      <w:rFonts w:hint="default" w:ascii="Times New Roman" w:hAnsi="Times New Roman" w:cs="Times New Roman"/>
                      <w:b w:val="0"/>
                      <w:i w:val="0"/>
                    </w:rPr>
                    <m:t>used</m:t>
                  </m:r>
                  <m:ctrlPr>
                    <w:rPr>
                      <w:rFonts w:hint="default" w:ascii="Cambria Math" w:hAnsi="Cambria Math" w:cs="Times New Roman"/>
                    </w:rPr>
                  </m:ctrlPr>
                </m:sub>
              </m:sSub>
              <m:r>
                <m:rPr>
                  <m:nor/>
                  <m:sty m:val="p"/>
                </m:rPr>
                <w:rPr>
                  <w:rFonts w:hint="default" w:ascii="Times New Roman" w:hAnsi="Times New Roman" w:cs="Times New Roman"/>
                  <w:b w:val="0"/>
                  <w:i w:val="0"/>
                </w:rPr>
                <m:t>)</m:t>
              </m:r>
              <m:r>
                <m:rPr>
                  <m:sty m:val="p"/>
                </m:rPr>
                <w:rPr>
                  <w:rFonts w:hint="default" w:ascii="Cambria Math" w:hAnsi="Cambria Math" w:cs="Times New Roman"/>
                </w:rPr>
                <m:t>#</m:t>
              </m:r>
              <m:r>
                <m:rPr>
                  <m:nor/>
                  <m:sty m:val="p"/>
                </m:rPr>
                <w:rPr>
                  <w:rFonts w:hint="default" w:ascii="Times New Roman" w:hAnsi="Times New Roman" w:cs="Times New Roman"/>
                  <w:b w:val="0"/>
                  <w:i w:val="0"/>
                </w:rPr>
                <m:t>(5)</m:t>
              </m:r>
              <m:ctrlPr>
                <w:rPr>
                  <w:rFonts w:hint="default" w:ascii="Cambria Math" w:hAnsi="Cambria Math" w:eastAsia="宋体" w:cs="Times New Roman"/>
                  <w:color w:val="000000" w:themeColor="text1"/>
                  <w14:textFill>
                    <w14:solidFill>
                      <w14:schemeClr w14:val="tx1"/>
                    </w14:solidFill>
                  </w14:textFill>
                </w:rPr>
              </m:ctrlPr>
            </m:e>
          </m:eqArr>
        </m:oMath>
      </m:oMathPara>
    </w:p>
    <w:p w14:paraId="1A39E4C4">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to eliminate differences in the numerical scales of the two-way features and to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mitigate cross-modal internal covariate bias.</w:t>
      </w:r>
    </w:p>
    <w:p w14:paraId="12B79960">
      <w:pPr>
        <w:numPr>
          <w:ilvl w:val="0"/>
          <w:numId w:val="10"/>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Dimensionality Reduction Projection (DRP): </w:t>
      </w:r>
      <w:r>
        <w:rPr>
          <w:rFonts w:hint="default" w:ascii="Times New Roman" w:hAnsi="Times New Roman" w:eastAsia="宋体" w:cs="Times New Roman"/>
          <w:color w:val="000000" w:themeColor="text1"/>
          <w14:textFill>
            <w14:solidFill>
              <w14:schemeClr w14:val="tx1"/>
            </w14:solidFill>
          </w14:textFill>
        </w:rPr>
        <w:t>normalized features are first activated by LeakyReLU, then Dropout regularization is done, and finally mapped to the low-dimensional space:</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r>
                <m:rPr>
                  <m:nor/>
                  <m:sty m:val="p"/>
                </m:rPr>
                <w:rPr>
                  <w:rFonts w:hint="default" w:ascii="Times New Roman" w:hAnsi="Times New Roman" w:eastAsia="宋体" w:cs="Times New Roman"/>
                  <w:b w:val="0"/>
                  <w:i w:val="0"/>
                  <w:color w:val="000000" w:themeColor="text1"/>
                  <w14:textFill>
                    <w14:solidFill>
                      <w14:schemeClr w14:val="tx1"/>
                    </w14:solidFill>
                  </w14:textFill>
                </w:rPr>
                <m:t>h=LeakyReLU(</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norm</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h</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sup>
              </m:sSup>
              <m:r>
                <m:rPr>
                  <m:nor/>
                  <m:sty m:val="p"/>
                </m:rPr>
                <w:rPr>
                  <w:rFonts w:hint="default" w:ascii="Times New Roman" w:hAnsi="Times New Roman" w:eastAsia="宋体" w:cs="Times New Roman"/>
                  <w:b w:val="0"/>
                  <w:i w:val="0"/>
                  <w:color w:val="000000" w:themeColor="text1"/>
                  <w14:textFill>
                    <w14:solidFill>
                      <w14:schemeClr w14:val="tx1"/>
                    </w14:solidFill>
                  </w14:textFill>
                </w:rPr>
                <m:t>=Dropout（h,p=0.2）,z=</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W</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proj</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h</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sup>
              </m:sSup>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b</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proj</m:t>
                  </m:r>
                  <m:ctrlPr>
                    <w:rPr>
                      <w:rFonts w:hint="default" w:ascii="Cambria Math" w:hAnsi="Cambria Math" w:eastAsia="宋体" w:cs="Times New Roman"/>
                      <w:color w:val="000000" w:themeColor="text1"/>
                      <w14:textFill>
                        <w14:solidFill>
                          <w14:schemeClr w14:val="tx1"/>
                        </w14:solidFill>
                      </w14:textFill>
                    </w:rPr>
                  </m:ctrlPr>
                </m:sub>
              </m:sSub>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(6)</m:t>
              </m:r>
              <m:ctrlPr>
                <w:rPr>
                  <w:rFonts w:hint="default" w:ascii="Cambria Math" w:hAnsi="Cambria Math" w:eastAsia="宋体" w:cs="Times New Roman"/>
                  <w:color w:val="000000" w:themeColor="text1"/>
                  <w14:textFill>
                    <w14:solidFill>
                      <w14:schemeClr w14:val="tx1"/>
                    </w14:solidFill>
                  </w14:textFill>
                </w:rPr>
              </m:ctrlPr>
            </m:e>
          </m:eqArr>
        </m:oMath>
      </m:oMathPara>
    </w:p>
    <w:p w14:paraId="55FA164D">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r>
          <m:rPr>
            <m:nor/>
            <m:sty m:val="p"/>
          </m:rPr>
          <w:rPr>
            <w:rFonts w:hint="default" w:ascii="Times New Roman" w:hAnsi="Times New Roman" w:eastAsia="宋体" w:cs="Times New Roman"/>
            <w:b w:val="0"/>
            <w:i w:val="0"/>
            <w:color w:val="000000" w:themeColor="text1"/>
            <w14:textFill>
              <w14:solidFill>
                <w14:schemeClr w14:val="tx1"/>
              </w14:solidFill>
            </w14:textFill>
          </w:rPr>
          <m:t>z∈</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128</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xml:space="preserve">is the final multimodal embedding. the negative slope of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 xml:space="preserve">LeakyReLU ensures the preservation of negative features, and Dropout provides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additional regularization in small sample scenarios.</w:t>
      </w:r>
    </w:p>
    <w:p w14:paraId="0AA2E181">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S6 Appendix. </w:t>
      </w:r>
      <w:r>
        <w:rPr>
          <w:rFonts w:hint="default" w:ascii="Times New Roman" w:hAnsi="Times New Roman" w:cs="Times New Roman"/>
          <w:b/>
          <w:bCs/>
          <w:sz w:val="24"/>
          <w:szCs w:val="24"/>
        </w:rPr>
        <w:t>Few-Shot Learning Strategy</w:t>
      </w:r>
    </w:p>
    <w:p w14:paraId="77D39598">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w:t>
      </w:r>
      <w:r>
        <w:rPr>
          <w:rFonts w:hint="default" w:ascii="Times New Roman" w:hAnsi="Times New Roman" w:cs="Times New Roman"/>
          <w:b/>
          <w:bCs/>
          <w:sz w:val="24"/>
          <w:szCs w:val="24"/>
          <w:lang w:val="en-US" w:eastAsia="zh-CN"/>
        </w:rPr>
        <w:t>6</w:t>
      </w:r>
      <w:r>
        <w:rPr>
          <w:rFonts w:hint="default" w:ascii="Times New Roman" w:hAnsi="Times New Roman" w:cs="Times New Roman"/>
          <w:b/>
          <w:bCs/>
          <w:sz w:val="24"/>
          <w:szCs w:val="24"/>
        </w:rPr>
        <w:t>.1: Multi-Prototype Construction Details</w:t>
      </w:r>
    </w:p>
    <w:p w14:paraId="68AB67F7">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In order to create several prototype centers (Multi-Prototypes) for each category, we first extract the feature representations of each category from the support set using the KMeans approach.The KMeans algorithm's objective function is: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r>
                <m:rPr>
                  <m:nor/>
                  <m:sty m:val="p"/>
                </m:rPr>
                <w:rPr>
                  <w:rFonts w:hint="default" w:ascii="Times New Roman" w:hAnsi="Times New Roman" w:eastAsia="宋体" w:cs="Times New Roman"/>
                  <w:b w:val="0"/>
                  <w:i w:val="0"/>
                  <w:color w:val="000000" w:themeColor="text1"/>
                  <w14:textFill>
                    <w14:solidFill>
                      <w14:schemeClr w14:val="tx1"/>
                    </w14:solidFill>
                  </w14:textFill>
                </w:rPr>
                <m:t>arg min</m:t>
              </m:r>
              <m:sSubSup>
                <m:sSubSupPr>
                  <m:ctrlPr>
                    <w:rPr>
                      <w:rFonts w:hint="default" w:ascii="Cambria Math" w:hAnsi="Cambria Math" w:eastAsia="宋体" w:cs="Times New Roman"/>
                      <w:color w:val="000000" w:themeColor="text1"/>
                      <w14:textFill>
                        <w14:solidFill>
                          <w14:schemeClr w14:val="tx1"/>
                        </w14:solidFill>
                      </w14:textFill>
                    </w:rPr>
                  </m:ctrlPr>
                </m:sSubSupPr>
                <m:e>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k=1</m:t>
                  </m:r>
                  <m:ctrlPr>
                    <w:rPr>
                      <w:rFonts w:hint="default" w:ascii="Cambria Math" w:hAnsi="Cambria Math" w:eastAsia="宋体" w:cs="Times New Roman"/>
                      <w:color w:val="000000" w:themeColor="text1"/>
                      <w14:textFill>
                        <w14:solidFill>
                          <w14:schemeClr w14:val="tx1"/>
                        </w14:solidFill>
                      </w14:textFill>
                    </w:rPr>
                  </m:ctrlPr>
                </m:sub>
                <m:sup>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p>
              </m:sSubSup>
              <m:nary>
                <m:naryPr>
                  <m:chr m:val="∑"/>
                  <m:limLoc m:val="undOvr"/>
                  <m:ctrlPr>
                    <w:rPr>
                      <w:rFonts w:hint="default" w:ascii="Cambria Math" w:hAnsi="Cambria Math" w:eastAsia="宋体" w:cs="Times New Roman"/>
                      <w:color w:val="000000" w:themeColor="text1"/>
                      <w14:textFill>
                        <w14:solidFill>
                          <w14:schemeClr w14:val="tx1"/>
                        </w14:solidFill>
                      </w14:textFill>
                    </w:rPr>
                  </m:ctrlPr>
                </m:naryPr>
                <m:sub>
                  <m:r>
                    <m:rPr>
                      <m:nor/>
                      <m:sty m:val="p"/>
                    </m:rPr>
                    <w:rPr>
                      <w:rFonts w:hint="default" w:ascii="Times New Roman" w:hAnsi="Times New Roman" w:eastAsia="宋体" w:cs="Times New Roman"/>
                      <w:b w:val="0"/>
                      <w:i w:val="0"/>
                      <w:color w:val="000000" w:themeColor="text1"/>
                      <w14:textFill>
                        <w14:solidFill>
                          <w14:schemeClr w14:val="tx1"/>
                        </w14:solidFill>
                      </w14:textFill>
                    </w:rPr>
                    <m:t>k=1</m:t>
                  </m:r>
                  <m:ctrlPr>
                    <w:rPr>
                      <w:rFonts w:hint="default" w:ascii="Cambria Math" w:hAnsi="Cambria Math" w:eastAsia="宋体" w:cs="Times New Roman"/>
                      <w:color w:val="000000" w:themeColor="text1"/>
                      <w14:textFill>
                        <w14:solidFill>
                          <w14:schemeClr w14:val="tx1"/>
                        </w14:solidFill>
                      </w14:textFill>
                    </w:rPr>
                  </m:ctrlPr>
                </m:sub>
                <m:sup>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p>
                <m:e>
                  <m:nary>
                    <m:naryPr>
                      <m:chr m:val="∑"/>
                      <m:limLoc m:val="undOvr"/>
                      <m:supHide m:val="1"/>
                      <m:ctrlPr>
                        <w:rPr>
                          <w:rFonts w:hint="default" w:ascii="Cambria Math" w:hAnsi="Cambria Math" w:eastAsia="宋体" w:cs="Times New Roman"/>
                          <w:color w:val="000000" w:themeColor="text1"/>
                          <w14:textFill>
                            <w14:solidFill>
                              <w14:schemeClr w14:val="tx1"/>
                            </w14:solidFill>
                          </w14:textFill>
                        </w:rPr>
                      </m:ctrlPr>
                    </m:naryPr>
                    <m:sub>
                      <m:r>
                        <m:rPr>
                          <m:nor/>
                          <m:sty m:val="p"/>
                        </m:rPr>
                        <w:rPr>
                          <w:rFonts w:hint="default" w:ascii="Times New Roman" w:hAnsi="Times New Roman" w:eastAsia="宋体" w:cs="Times New Roman"/>
                          <w:b w:val="0"/>
                          <w:i w:val="0"/>
                          <w:color w:val="000000" w:themeColor="text1"/>
                          <w14:textFill>
                            <w14:solidFill>
                              <w14:schemeClr w14:val="tx1"/>
                            </w14:solidFill>
                          </w14:textFill>
                        </w:rPr>
                        <m:t>x∈</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sub>
                    <m:sup>
                      <m:ctrlPr>
                        <w:rPr>
                          <w:rFonts w:hint="default" w:ascii="Cambria Math" w:hAnsi="Cambria Math" w:eastAsia="宋体" w:cs="Times New Roman"/>
                          <w:color w:val="000000" w:themeColor="text1"/>
                          <w14:textFill>
                            <w14:solidFill>
                              <w14:schemeClr w14:val="tx1"/>
                            </w14:solidFill>
                          </w14:textFill>
                        </w:rPr>
                      </m:ctrlPr>
                    </m:sup>
                    <m:e>
                      <m:sSup>
                        <m:sSupPr>
                          <m:ctrlPr>
                            <w:rPr>
                              <w:rFonts w:hint="default" w:ascii="Cambria Math" w:hAnsi="Cambria Math" w:eastAsia="宋体" w:cs="Times New Roman"/>
                              <w:color w:val="000000" w:themeColor="text1"/>
                              <w14:textFill>
                                <w14:solidFill>
                                  <w14:schemeClr w14:val="tx1"/>
                                </w14:solidFill>
                              </w14:textFill>
                            </w:rPr>
                          </m:ctrlPr>
                        </m:sSupPr>
                        <m:e>
                          <m:d>
                            <m:dPr>
                              <m:begChr m:val="‖"/>
                              <m:endChr m:val=""/>
                              <m:ctrlPr>
                                <w:rPr>
                                  <w:rFonts w:hint="default" w:ascii="Cambria Math" w:hAnsi="Cambria Math" w:eastAsia="宋体" w:cs="Times New Roman"/>
                                  <w:color w:val="000000" w:themeColor="text1"/>
                                  <w14:textFill>
                                    <w14:solidFill>
                                      <w14:schemeClr w14:val="tx1"/>
                                    </w14:solidFill>
                                  </w14:textFill>
                                </w:rPr>
                              </m:ctrlPr>
                            </m:d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d>
                          <m:r>
                            <m:rPr>
                              <m:nor/>
                              <m:sty m:val="p"/>
                            </m:rPr>
                            <w:rPr>
                              <w:rFonts w:hint="default" w:ascii="Times New Roman" w:hAnsi="Times New Roman" w:eastAsia="宋体" w:cs="Times New Roman"/>
                              <w:b w:val="0"/>
                              <w:i w:val="0"/>
                              <w:color w:val="000000" w:themeColor="text1"/>
                              <w14:textFill>
                                <w14:solidFill>
                                  <w14:schemeClr w14:val="tx1"/>
                                </w14:solidFill>
                              </w14:textFill>
                            </w:rPr>
                            <m:t>-</m:t>
                          </m:r>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eastAsia="宋体" w:cs="Times New Roman"/>
                              <w:color w:val="000000" w:themeColor="text1"/>
                              <w14:textFill>
                                <w14:solidFill>
                                  <w14:schemeClr w14:val="tx1"/>
                                </w14:solidFill>
                              </w14:textFill>
                            </w:rPr>
                          </m:ctrlPr>
                        </m:sup>
                      </m:sSup>
                      <m:ctrlPr>
                        <w:rPr>
                          <w:rFonts w:hint="default" w:ascii="Cambria Math" w:hAnsi="Cambria Math" w:eastAsia="宋体" w:cs="Times New Roman"/>
                          <w:color w:val="000000" w:themeColor="text1"/>
                          <w14:textFill>
                            <w14:solidFill>
                              <w14:schemeClr w14:val="tx1"/>
                            </w14:solidFill>
                          </w14:textFill>
                        </w:rPr>
                      </m:ctrlPr>
                    </m:e>
                  </m:nary>
                  <m:ctrlPr>
                    <w:rPr>
                      <w:rFonts w:hint="default" w:ascii="Cambria Math" w:hAnsi="Cambria Math" w:eastAsia="宋体" w:cs="Times New Roman"/>
                      <w:color w:val="000000" w:themeColor="text1"/>
                      <w14:textFill>
                        <w14:solidFill>
                          <w14:schemeClr w14:val="tx1"/>
                        </w14:solidFill>
                      </w14:textFill>
                    </w:rPr>
                  </m:ctrlPr>
                </m:e>
              </m:nary>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(7)</m:t>
              </m:r>
              <m:ctrlPr>
                <w:rPr>
                  <w:rFonts w:hint="default" w:ascii="Cambria Math" w:hAnsi="Cambria Math" w:eastAsia="宋体" w:cs="Times New Roman"/>
                  <w:color w:val="000000" w:themeColor="text1"/>
                  <w14:textFill>
                    <w14:solidFill>
                      <w14:schemeClr w14:val="tx1"/>
                    </w14:solidFill>
                  </w14:textFill>
                </w:rPr>
              </m:ctrlPr>
            </m:e>
          </m:eqArr>
        </m:oMath>
      </m:oMathPara>
    </w:p>
    <w:p w14:paraId="2A64EF2F">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the set of features in the kth cluster,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the mean vector of features in the cluster, or the corresponding prototype center, and K is the number of prototypes built for each category (K=3 in this paper). The KMeans algorithm divides the data into clusters and finds the center of each cluster by summing the squares of the distances from each sample point to the cluster center to which it belongs. This ensures that the samples in the clusters are as close together as possible.It should be noted that the KMeans algorithm serves solely as an offline unsupervised clustering tool to assist in uncovering intra-category diversity. This approach does not interfere with the labeled supervised training process of the main classification task, but rather enhances the robustness and accuracy of distance metric learning and classification by enriching the structural information of prototype centers.</w:t>
      </w:r>
    </w:p>
    <w:p w14:paraId="1ACAD6BA">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w:t>
      </w:r>
      <w:r>
        <w:rPr>
          <w:rFonts w:hint="default" w:ascii="Times New Roman" w:hAnsi="Times New Roman" w:cs="Times New Roman"/>
          <w:b/>
          <w:bCs/>
          <w:sz w:val="24"/>
          <w:szCs w:val="24"/>
          <w:lang w:val="en-US" w:eastAsia="zh-CN"/>
        </w:rPr>
        <w:t>6</w:t>
      </w:r>
      <w:r>
        <w:rPr>
          <w:rFonts w:hint="default" w:ascii="Times New Roman" w:hAnsi="Times New Roman" w:cs="Times New Roman"/>
          <w:b/>
          <w:bCs/>
          <w:sz w:val="24"/>
          <w:szCs w:val="24"/>
        </w:rPr>
        <w:t>.</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Prototype Normalization and Minimum-Distance Selection</w:t>
      </w:r>
    </w:p>
    <w:p w14:paraId="2A18D770">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After constructing the prototypes, we perform L2 normalization on all prototypes to eliminate the effect of feature scale differences on subsequent distance calculations. For each prototype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k </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the normalized prototype is represented as follows: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sSub>
                <m:sSubPr>
                  <m:ctrlPr>
                    <w:rPr>
                      <w:rFonts w:hint="default" w:ascii="Cambria Math" w:hAnsi="Cambria Math" w:eastAsia="宋体" w:cs="Times New Roman"/>
                      <w:color w:val="000000" w:themeColor="text1"/>
                      <w14:textFill>
                        <w14:solidFill>
                          <w14:schemeClr w14:val="tx1"/>
                        </w14:solidFill>
                      </w14:textFill>
                    </w:rPr>
                  </m:ctrlPr>
                </m:sSubPr>
                <m:e>
                  <m:acc>
                    <m:accPr>
                      <m:ctrlPr>
                        <w:rPr>
                          <w:rFonts w:hint="default" w:ascii="Cambria Math" w:hAnsi="Cambria Math" w:eastAsia="宋体" w:cs="Times New Roman"/>
                          <w:color w:val="000000" w:themeColor="text1"/>
                          <w14:textFill>
                            <w14:solidFill>
                              <w14:schemeClr w14:val="tx1"/>
                            </w14:solidFill>
                          </w14:textFill>
                        </w:rPr>
                      </m:ctrlPr>
                    </m:accPr>
                    <m:e>
                      <m:r>
                        <m:rPr>
                          <m:nor/>
                          <m:sty m:val="p"/>
                        </m:rPr>
                        <w:rPr>
                          <w:rFonts w:hint="default" w:ascii="Times New Roman" w:hAnsi="Times New Roman"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acc>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f>
                <m:fPr>
                  <m:ctrlPr>
                    <w:rPr>
                      <w:rFonts w:hint="default" w:ascii="Cambria Math" w:hAnsi="Cambria Math" w:eastAsia="宋体" w:cs="Times New Roman"/>
                      <w:color w:val="000000" w:themeColor="text1"/>
                      <w14:textFill>
                        <w14:solidFill>
                          <w14:schemeClr w14:val="tx1"/>
                        </w14:solidFill>
                      </w14:textFill>
                    </w:rPr>
                  </m:ctrlPr>
                </m:fPr>
                <m:num>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num>
                <m:den>
                  <m:sSub>
                    <m:sSubPr>
                      <m:ctrlPr>
                        <w:rPr>
                          <w:rFonts w:hint="default" w:ascii="Cambria Math" w:hAnsi="Cambria Math" w:eastAsia="宋体" w:cs="Times New Roman"/>
                          <w:color w:val="000000" w:themeColor="text1"/>
                          <w14:textFill>
                            <w14:solidFill>
                              <w14:schemeClr w14:val="tx1"/>
                            </w14:solidFill>
                          </w14:textFill>
                        </w:rPr>
                      </m:ctrlPr>
                    </m:sSubPr>
                    <m:e>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den>
              </m:f>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(8)</m:t>
              </m:r>
              <m:ctrlPr>
                <w:rPr>
                  <w:rFonts w:hint="default" w:ascii="Cambria Math" w:hAnsi="Cambria Math" w:eastAsia="宋体" w:cs="Times New Roman"/>
                  <w:color w:val="000000" w:themeColor="text1"/>
                  <w14:textFill>
                    <w14:solidFill>
                      <w14:schemeClr w14:val="tx1"/>
                    </w14:solidFill>
                  </w14:textFill>
                </w:rPr>
              </m:ctrlPr>
            </m:e>
          </m:eqArr>
        </m:oMath>
      </m:oMathPara>
    </w:p>
    <w:p w14:paraId="70097555">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Subsequently, when classifying samples from a Query set, we compute the Euclidean distance between each query sample feature and multiple prototypes of the corresponding category separately, and select the smallest of these distances as the distance between that query sample and that category:</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r>
                <m:rPr>
                  <m:nor/>
                  <m:sty m:val="p"/>
                </m:rPr>
                <w:rPr>
                  <w:rFonts w:hint="default" w:ascii="Times New Roman" w:hAnsi="Times New Roman" w:eastAsia="宋体" w:cs="Times New Roman"/>
                  <w:b w:val="0"/>
                  <w:i w:val="0"/>
                  <w:color w:val="000000" w:themeColor="text1"/>
                  <w14:textFill>
                    <w14:solidFill>
                      <w14:schemeClr w14:val="tx1"/>
                    </w14:solidFill>
                  </w14:textFill>
                </w:rPr>
                <m:t>d</m:t>
              </m:r>
              <m:d>
                <m:dPr>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q</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d>
              <m:r>
                <m:rPr>
                  <m:nor/>
                  <m:sty m:val="p"/>
                </m:rPr>
                <w:rPr>
                  <w:rFonts w:hint="default" w:ascii="Times New Roman" w:hAnsi="Times New Roman" w:eastAsia="宋体" w:cs="Times New Roman"/>
                  <w:b w:val="0"/>
                  <w:i w:val="0"/>
                  <w:color w:val="000000" w:themeColor="text1"/>
                  <w14:textFill>
                    <w14:solidFill>
                      <w14:schemeClr w14:val="tx1"/>
                    </w14:solidFill>
                  </w14:textFill>
                </w:rPr>
                <m:t>=</m:t>
              </m:r>
              <m:func>
                <m:funcPr>
                  <m:ctrlPr>
                    <w:rPr>
                      <w:rFonts w:hint="default" w:ascii="Cambria Math" w:hAnsi="Cambria Math" w:eastAsia="宋体" w:cs="Times New Roman"/>
                      <w:color w:val="000000" w:themeColor="text1"/>
                      <w14:textFill>
                        <w14:solidFill>
                          <w14:schemeClr w14:val="tx1"/>
                        </w14:solidFill>
                      </w14:textFill>
                    </w:rPr>
                  </m:ctrlPr>
                </m:funcPr>
                <m:fName>
                  <m:limLow>
                    <m:limLowPr>
                      <m:ctrlPr>
                        <w:rPr>
                          <w:rFonts w:hint="default" w:ascii="Cambria Math" w:hAnsi="Cambria Math" w:eastAsia="宋体" w:cs="Times New Roman"/>
                          <w:color w:val="000000" w:themeColor="text1"/>
                          <w14:textFill>
                            <w14:solidFill>
                              <w14:schemeClr w14:val="tx1"/>
                            </w14:solidFill>
                          </w14:textFill>
                        </w:rPr>
                      </m:ctrlPr>
                    </m:limLowPr>
                    <m:e>
                      <m:r>
                        <m:rPr>
                          <m:nor/>
                          <m:sty m:val="p"/>
                        </m:rPr>
                        <w:rPr>
                          <w:rFonts w:hint="default" w:ascii="Times New Roman" w:hAnsi="Times New Roman" w:eastAsia="宋体" w:cs="Times New Roman"/>
                          <w:b w:val="0"/>
                          <w:i w:val="0"/>
                          <w:color w:val="000000" w:themeColor="text1"/>
                          <w14:textFill>
                            <w14:solidFill>
                              <w14:schemeClr w14:val="tx1"/>
                            </w14:solidFill>
                          </w14:textFill>
                        </w:rPr>
                        <m:t>min</m:t>
                      </m:r>
                      <m:ctrlPr>
                        <w:rPr>
                          <w:rFonts w:hint="default" w:ascii="Cambria Math" w:hAnsi="Cambria Math" w:eastAsia="宋体" w:cs="Times New Roman"/>
                          <w:color w:val="000000" w:themeColor="text1"/>
                          <w14:textFill>
                            <w14:solidFill>
                              <w14:schemeClr w14:val="tx1"/>
                            </w14:solidFill>
                          </w14:textFill>
                        </w:rPr>
                      </m:ctrlPr>
                    </m:e>
                    <m:lim>
                      <m:r>
                        <m:rPr>
                          <m:nor/>
                          <m:sty m:val="p"/>
                        </m:rPr>
                        <w:rPr>
                          <w:rFonts w:hint="default" w:ascii="Times New Roman" w:hAnsi="Times New Roman" w:eastAsia="宋体" w:cs="Times New Roman"/>
                          <w:b w:val="0"/>
                          <w:i w:val="0"/>
                          <w:color w:val="000000" w:themeColor="text1"/>
                          <w14:textFill>
                            <w14:solidFill>
                              <w14:schemeClr w14:val="tx1"/>
                            </w14:solidFill>
                          </w14:textFill>
                        </w:rPr>
                        <m:t>k=1,...,K</m:t>
                      </m:r>
                      <m:ctrlPr>
                        <w:rPr>
                          <w:rFonts w:hint="default" w:ascii="Cambria Math" w:hAnsi="Cambria Math" w:eastAsia="宋体" w:cs="Times New Roman"/>
                          <w:color w:val="000000" w:themeColor="text1"/>
                          <w14:textFill>
                            <w14:solidFill>
                              <w14:schemeClr w14:val="tx1"/>
                            </w14:solidFill>
                          </w14:textFill>
                        </w:rPr>
                      </m:ctrlPr>
                    </m:lim>
                  </m:limLow>
                  <m:ctrlPr>
                    <w:rPr>
                      <w:rFonts w:hint="default" w:ascii="Cambria Math" w:hAnsi="Cambria Math" w:eastAsia="宋体" w:cs="Times New Roman"/>
                      <w:color w:val="000000" w:themeColor="text1"/>
                      <w14:textFill>
                        <w14:solidFill>
                          <w14:schemeClr w14:val="tx1"/>
                        </w14:solidFill>
                      </w14:textFill>
                    </w:rPr>
                  </m:ctrlPr>
                </m:fName>
                <m:e>
                  <m:sSub>
                    <m:sSubPr>
                      <m:ctrlPr>
                        <w:rPr>
                          <w:rFonts w:hint="default" w:ascii="Cambria Math" w:hAnsi="Cambria Math" w:eastAsia="宋体" w:cs="Times New Roman"/>
                          <w:color w:val="000000" w:themeColor="text1"/>
                          <w14:textFill>
                            <w14:solidFill>
                              <w14:schemeClr w14:val="tx1"/>
                            </w14:solidFill>
                          </w14:textFill>
                        </w:rPr>
                      </m:ctrlPr>
                    </m:sSubPr>
                    <m:e>
                      <m:d>
                        <m:dPr>
                          <m:begChr m:val="‖"/>
                          <m:endChr m:val=""/>
                          <m:ctrlPr>
                            <w:rPr>
                              <w:rFonts w:hint="default" w:ascii="Cambria Math" w:hAnsi="Cambria Math" w:eastAsia="宋体" w:cs="Times New Roman"/>
                              <w:color w:val="000000" w:themeColor="text1"/>
                              <w14:textFill>
                                <w14:solidFill>
                                  <w14:schemeClr w14:val="tx1"/>
                                </w14:solidFill>
                              </w14:textFill>
                            </w:rPr>
                          </m:ctrlPr>
                        </m:d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d>
                      <m:r>
                        <m:rPr>
                          <m:nor/>
                          <m:sty m:val="p"/>
                        </m:rPr>
                        <w:rPr>
                          <w:rFonts w:hint="default" w:ascii="Times New Roman" w:hAnsi="Times New Roman" w:eastAsia="宋体" w:cs="Times New Roman"/>
                          <w:b w:val="0"/>
                          <w:i w:val="0"/>
                          <w:color w:val="000000" w:themeColor="text1"/>
                          <w14:textFill>
                            <w14:solidFill>
                              <w14:schemeClr w14:val="tx1"/>
                            </w14:solidFill>
                          </w14:textFill>
                        </w:rPr>
                        <m:t>-</m:t>
                      </m:r>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acc>
                                <m:accPr>
                                  <m:ctrlPr>
                                    <w:rPr>
                                      <w:rFonts w:hint="default" w:ascii="Cambria Math" w:hAnsi="Cambria Math" w:eastAsia="宋体" w:cs="Times New Roman"/>
                                      <w:color w:val="000000" w:themeColor="text1"/>
                                      <w14:textFill>
                                        <w14:solidFill>
                                          <w14:schemeClr w14:val="tx1"/>
                                        </w14:solidFill>
                                      </w14:textFill>
                                    </w:rPr>
                                  </m:ctrlPr>
                                </m:accPr>
                                <m:e>
                                  <m:r>
                                    <m:rPr>
                                      <m:nor/>
                                      <m:sty m:val="p"/>
                                    </m:rPr>
                                    <w:rPr>
                                      <w:rFonts w:hint="default" w:ascii="Times New Roman" w:hAnsi="Times New Roman"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acc>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func>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(9)</m:t>
              </m:r>
              <m:ctrlPr>
                <w:rPr>
                  <w:rFonts w:hint="default" w:ascii="Cambria Math" w:hAnsi="Cambria Math" w:eastAsia="宋体" w:cs="Times New Roman"/>
                  <w:color w:val="000000" w:themeColor="text1"/>
                  <w14:textFill>
                    <w14:solidFill>
                      <w14:schemeClr w14:val="tx1"/>
                    </w14:solidFill>
                  </w14:textFill>
                </w:rPr>
              </m:ctrlPr>
            </m:e>
          </m:eqArr>
        </m:oMath>
      </m:oMathPara>
    </w:p>
    <w:p w14:paraId="0573EB4B">
      <w:pPr>
        <w:spacing w:line="480" w:lineRule="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q</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the features of the query sample, C is the set of prototypes in a category. This minimum distance strategy can effectively capture the nearest local features within a category, thus improving the accuracy of classification.</w:t>
      </w:r>
    </w:p>
    <w:p w14:paraId="5E076B69">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 Appendix. </w:t>
      </w:r>
      <w:r>
        <w:rPr>
          <w:rFonts w:hint="default" w:ascii="Times New Roman" w:hAnsi="Times New Roman" w:cs="Times New Roman"/>
          <w:b/>
          <w:bCs/>
          <w:sz w:val="24"/>
          <w:szCs w:val="24"/>
        </w:rPr>
        <w:t>Loss Function Design</w:t>
      </w:r>
    </w:p>
    <w:p w14:paraId="529F2913">
      <w:pPr>
        <w:numPr>
          <w:ilvl w:val="0"/>
          <w:numId w:val="0"/>
        </w:numPr>
        <w:spacing w:line="480" w:lineRule="auto"/>
        <w:ind w:leftChars="0"/>
        <w:outlineLvl w:val="2"/>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S7.1 </w:t>
      </w:r>
      <w:r>
        <w:rPr>
          <w:rFonts w:hint="default" w:ascii="Times New Roman" w:hAnsi="Times New Roman" w:cs="Times New Roman"/>
          <w:b/>
          <w:bCs/>
          <w:sz w:val="24"/>
          <w:szCs w:val="24"/>
        </w:rPr>
        <w:t>Multi-prototype Classification Loss</w:t>
      </w:r>
    </w:p>
    <w:p w14:paraId="613F778C">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In order to overcome the shortcoming of traditional prototype networks that cannot adequately express the diversity within the categories with only a single center, we generate K=3 prototypes for each category by KMeans on the support set </w:t>
      </w:r>
      <m:oMath>
        <m:sSubSup>
          <m:sSubSupPr>
            <m:ctrlPr>
              <w:rPr>
                <w:rFonts w:hint="default" w:ascii="Cambria Math" w:hAnsi="Cambria Math" w:eastAsia="宋体" w:cs="Times New Roman"/>
              </w:rPr>
            </m:ctrlPr>
          </m:sSubSup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μ</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c,k</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k=1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3</m:t>
            </m:r>
            <m:ctrlPr>
              <w:rPr>
                <w:rFonts w:hint="default" w:ascii="Cambria Math" w:hAnsi="Cambria Math" w:eastAsia="宋体" w:cs="Times New Roman"/>
              </w:rPr>
            </m:ctrlPr>
          </m:sup>
        </m:sSubSup>
      </m:oMath>
      <w:r>
        <w:rPr>
          <w:rFonts w:hint="default" w:ascii="Times New Roman" w:hAnsi="Times New Roman" w:eastAsia="宋体" w:cs="Times New Roman"/>
        </w:rPr>
        <w:t xml:space="preserve"> and adopt the “minimum distance” criterion in the query stage for classification. Specifically, let the query sample be characterized as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oMath>
      <w:r>
        <w:rPr>
          <w:rFonts w:hint="default" w:ascii="Times New Roman" w:hAnsi="Times New Roman" w:eastAsia="宋体" w:cs="Times New Roman"/>
        </w:rPr>
        <w:t xml:space="preserve"> , and its distance to category c is defined as:</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func>
                <m:funcPr>
                  <m:ctrlPr>
                    <w:rPr>
                      <w:rFonts w:hint="default" w:ascii="Cambria Math" w:hAnsi="Cambria Math" w:eastAsia="宋体" w:cs="Times New Roman"/>
                    </w:rPr>
                  </m:ctrlPr>
                </m:funcPr>
                <m:fName>
                  <m:limLow>
                    <m:limLowPr>
                      <m:ctrlPr>
                        <w:rPr>
                          <w:rFonts w:hint="default" w:ascii="Cambria Math" w:hAnsi="Cambria Math" w:eastAsia="宋体" w:cs="Times New Roman"/>
                        </w:rPr>
                      </m:ctrlPr>
                    </m:limLowPr>
                    <m:e>
                      <m:r>
                        <m:rPr>
                          <m:nor/>
                          <m:sty m:val="p"/>
                        </m:rPr>
                        <w:rPr>
                          <w:rFonts w:hint="default" w:ascii="Times New Roman" w:hAnsi="Times New Roman" w:eastAsia="宋体" w:cs="Times New Roman"/>
                          <w:b w:val="0"/>
                          <w:i w:val="0"/>
                        </w:rPr>
                        <m:t>min</m:t>
                      </m:r>
                      <m:ctrlPr>
                        <w:rPr>
                          <w:rFonts w:hint="default" w:ascii="Cambria Math" w:hAnsi="Cambria Math" w:eastAsia="宋体" w:cs="Times New Roman"/>
                        </w:rPr>
                      </m:ctrlPr>
                    </m:e>
                    <m:lim>
                      <m:r>
                        <m:rPr>
                          <m:nor/>
                          <m:sty m:val="p"/>
                        </m:rPr>
                        <w:rPr>
                          <w:rFonts w:hint="default" w:ascii="Times New Roman" w:hAnsi="Times New Roman" w:eastAsia="宋体" w:cs="Times New Roman"/>
                          <w:b w:val="0"/>
                          <w:i w:val="0"/>
                        </w:rPr>
                        <m:t>1≤k≤3</m:t>
                      </m:r>
                      <m:ctrlPr>
                        <w:rPr>
                          <w:rFonts w:hint="default" w:ascii="Cambria Math" w:hAnsi="Cambria Math" w:eastAsia="宋体" w:cs="Times New Roman"/>
                        </w:rPr>
                      </m:ctrlPr>
                    </m:lim>
                  </m:limLow>
                  <m:ctrlPr>
                    <w:rPr>
                      <w:rFonts w:hint="default" w:ascii="Cambria Math" w:hAnsi="Cambria Math" w:eastAsia="宋体" w:cs="Times New Roman"/>
                    </w:rPr>
                  </m:ctrlPr>
                </m:fName>
                <m:e>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μ</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c,k</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ctrlPr>
                    <w:rPr>
                      <w:rFonts w:hint="default" w:ascii="Cambria Math" w:hAnsi="Cambria Math" w:eastAsia="宋体" w:cs="Times New Roman"/>
                    </w:rPr>
                  </m:ctrlPr>
                </m:e>
              </m:func>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(10)</m:t>
              </m:r>
              <m:ctrlPr>
                <w:rPr>
                  <w:rFonts w:hint="default" w:ascii="Cambria Math" w:hAnsi="Cambria Math" w:eastAsia="宋体" w:cs="Times New Roman"/>
                </w:rPr>
              </m:ctrlPr>
            </m:e>
          </m:eqArr>
          <m:r>
            <m:rPr>
              <m:nor/>
              <m:sty m:val="p"/>
            </m:rPr>
            <w:rPr>
              <w:rFonts w:hint="default" w:ascii="Times New Roman" w:hAnsi="Times New Roman" w:eastAsia="宋体" w:cs="Times New Roman"/>
              <w:b w:val="0"/>
              <w:i w:val="0"/>
            </w:rPr>
            <w:br w:type="textWrapping"/>
          </m:r>
        </m:oMath>
      </m:oMathPara>
      <w:r>
        <w:rPr>
          <w:rFonts w:hint="default" w:ascii="Times New Roman" w:hAnsi="Times New Roman" w:eastAsia="宋体" w:cs="Times New Roman"/>
        </w:rPr>
        <w:t>and use negative distances as categorical logits:</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(11)</m:t>
              </m:r>
              <m:ctrlPr>
                <w:rPr>
                  <w:rFonts w:hint="default" w:ascii="Cambria Math" w:hAnsi="Cambria Math" w:eastAsia="宋体" w:cs="Times New Roman"/>
                </w:rPr>
              </m:ctrlPr>
            </m:e>
          </m:eqArr>
          <m:r>
            <m:rPr>
              <m:nor/>
              <m:sty m:val="p"/>
            </m:rPr>
            <w:rPr>
              <w:rFonts w:hint="default" w:ascii="Times New Roman" w:hAnsi="Times New Roman" w:eastAsia="宋体" w:cs="Times New Roman"/>
              <w:b w:val="0"/>
              <w:i w:val="0"/>
            </w:rPr>
            <w:br w:type="textWrapping"/>
          </m:r>
        </m:oMath>
      </m:oMathPara>
      <w:r>
        <w:rPr>
          <w:rFonts w:hint="default" w:ascii="Times New Roman" w:hAnsi="Times New Roman" w:eastAsia="宋体" w:cs="Times New Roman"/>
        </w:rPr>
        <w:t>Weighted cross-entropy was used for the final loss:</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proto</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lang w:val="en-US" w:eastAsia="zh-CN"/>
                </w:rPr>
                <m:t xml:space="preserve"> </m:t>
              </m:r>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c=1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p>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ω</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1</m:t>
                  </m:r>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e>
                  </m:d>
                  <m:ctrlPr>
                    <w:rPr>
                      <w:rFonts w:hint="default" w:ascii="Cambria Math" w:hAnsi="Cambria Math" w:eastAsia="宋体" w:cs="Times New Roman"/>
                    </w:rPr>
                  </m:ctrlPr>
                </m:e>
              </m:nary>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func>
                    <m:funcPr>
                      <m:ctrlPr>
                        <w:rPr>
                          <w:rFonts w:hint="default" w:ascii="Cambria Math" w:hAnsi="Cambria Math" w:eastAsia="宋体" w:cs="Times New Roman"/>
                        </w:rPr>
                      </m:ctrlPr>
                    </m:funcPr>
                    <m:fName>
                      <m:r>
                        <m:rPr>
                          <m:nor/>
                          <m:sty m:val="p"/>
                        </m:rPr>
                        <w:rPr>
                          <w:rFonts w:hint="default" w:ascii="Times New Roman" w:hAnsi="Times New Roman" w:eastAsia="宋体" w:cs="Times New Roman"/>
                          <w:b w:val="0"/>
                          <w:i w:val="0"/>
                        </w:rPr>
                        <m:t>log</m:t>
                      </m:r>
                      <m:ctrlPr>
                        <w:rPr>
                          <w:rFonts w:hint="default" w:ascii="Cambria Math" w:hAnsi="Cambria Math" w:eastAsia="宋体" w:cs="Times New Roman"/>
                        </w:rPr>
                      </m:ctrlPr>
                    </m:fName>
                    <m:e>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j=1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p>
                        <m:e>
                          <m:sSup>
                            <m:sSupPr>
                              <m:ctrlPr>
                                <w:rPr>
                                  <w:rFonts w:hint="default" w:ascii="Cambria Math" w:hAnsi="Cambria Math" w:eastAsia="宋体" w:cs="Times New Roman"/>
                                </w:rPr>
                              </m:ctrlPr>
                            </m:sSupPr>
                            <m:e>
                              <m:r>
                                <m:rPr>
                                  <m:nor/>
                                  <m:sty m:val="p"/>
                                </m:rPr>
                                <w:rPr>
                                  <w:rFonts w:hint="default" w:ascii="Times New Roman" w:hAnsi="Times New Roman" w:eastAsia="宋体" w:cs="Times New Roman"/>
                                  <w:b w:val="0"/>
                                  <w:i w:val="0"/>
                                </w:rPr>
                                <m:t>e</m:t>
                              </m:r>
                              <m:ctrlPr>
                                <w:rPr>
                                  <w:rFonts w:hint="default" w:ascii="Cambria Math" w:hAnsi="Cambria Math" w:eastAsia="宋体" w:cs="Times New Roman"/>
                                </w:rPr>
                              </m:ctrlPr>
                            </m:e>
                            <m:sup>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j</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sup>
                          </m:sSup>
                          <m:ctrlPr>
                            <w:rPr>
                              <w:rFonts w:hint="default" w:ascii="Cambria Math" w:hAnsi="Cambria Math" w:eastAsia="宋体" w:cs="Times New Roman"/>
                            </w:rPr>
                          </m:ctrlPr>
                        </m:e>
                      </m:nary>
                      <m:ctrlPr>
                        <w:rPr>
                          <w:rFonts w:hint="default" w:ascii="Cambria Math" w:hAnsi="Cambria Math" w:eastAsia="宋体" w:cs="Times New Roman"/>
                        </w:rPr>
                      </m:ctrlPr>
                    </m:e>
                  </m:func>
                  <m:ctrlPr>
                    <w:rPr>
                      <w:rFonts w:hint="default" w:ascii="Cambria Math" w:hAnsi="Cambria Math" w:eastAsia="宋体" w:cs="Times New Roman"/>
                    </w:rPr>
                  </m:ctrlPr>
                </m:e>
              </m:d>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(12)</m:t>
              </m:r>
              <m:ctrlPr>
                <w:rPr>
                  <w:rFonts w:hint="default" w:ascii="Cambria Math" w:hAnsi="Cambria Math" w:eastAsia="宋体" w:cs="Times New Roman"/>
                </w:rPr>
              </m:ctrlPr>
            </m:e>
          </m:eqArr>
        </m:oMath>
      </m:oMathPara>
    </w:p>
    <w:p w14:paraId="480D3DAA">
      <w:pPr>
        <w:spacing w:line="480" w:lineRule="auto"/>
        <w:rPr>
          <w:rFonts w:hint="default" w:ascii="Times New Roman" w:hAnsi="Times New Roman" w:eastAsia="宋体" w:cs="Times New Roman"/>
        </w:rPr>
      </w:pPr>
      <w:r>
        <w:rPr>
          <w:rFonts w:hint="default" w:ascii="Times New Roman" w:hAnsi="Times New Roman" w:eastAsia="宋体" w:cs="Times New Roman"/>
        </w:rPr>
        <w:t xml:space="preserve">where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ω</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oMath>
      <w:r>
        <w:rPr>
          <w:rFonts w:hint="default" w:ascii="Times New Roman" w:hAnsi="Times New Roman" w:eastAsia="宋体" w:cs="Times New Roman"/>
        </w:rPr>
        <w:t xml:space="preserve"> is set based on category frequency to mitigate positive and negative category imbalances.</w:t>
      </w:r>
    </w:p>
    <w:p w14:paraId="20F9974C">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In principle, the multi-prototype approach is equivalent to a multi-peak (Mixture) approximation of the class-conditional distribution </w:t>
      </w:r>
      <m:oMath>
        <m:r>
          <m:rPr>
            <m:nor/>
            <m:sty m:val="p"/>
          </m:rPr>
          <w:rPr>
            <w:rFonts w:hint="default" w:ascii="Times New Roman" w:hAnsi="Times New Roman" w:eastAsia="宋体" w:cs="Times New Roman"/>
            <w:b w:val="0"/>
            <w:i w:val="0"/>
          </w:rPr>
          <m:t>p</m:t>
        </m:r>
        <m:d>
          <m:dPr>
            <m:ctrlPr>
              <w:rPr>
                <w:rFonts w:hint="default" w:ascii="Cambria Math" w:hAnsi="Cambria Math" w:eastAsia="宋体" w:cs="Times New Roman"/>
              </w:rPr>
            </m:ctrlPr>
          </m:d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e>
            <m:r>
              <m:rPr>
                <m:nor/>
                <m:sty m:val="p"/>
              </m:rPr>
              <w:rPr>
                <w:rFonts w:hint="default" w:ascii="Times New Roman" w:hAnsi="Times New Roman" w:eastAsia="宋体" w:cs="Times New Roman"/>
                <w:b w:val="0"/>
                <w:i w:val="0"/>
              </w:rPr>
              <m:t>y=c</m:t>
            </m:r>
            <m:ctrlPr>
              <w:rPr>
                <w:rFonts w:hint="default" w:ascii="Cambria Math" w:hAnsi="Cambria Math" w:eastAsia="宋体" w:cs="Times New Roman"/>
              </w:rPr>
            </m:ctrlPr>
          </m:e>
        </m:d>
      </m:oMath>
      <w:r>
        <w:rPr>
          <w:rFonts w:hint="default" w:ascii="Times New Roman" w:hAnsi="Times New Roman" w:eastAsia="宋体" w:cs="Times New Roman"/>
        </w:rPr>
        <w:t xml:space="preserve"> for each category, i.e., each prototype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μ</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c,k</m:t>
            </m:r>
            <m:ctrlPr>
              <w:rPr>
                <w:rFonts w:hint="default" w:ascii="Cambria Math" w:hAnsi="Cambria Math" w:eastAsia="宋体" w:cs="Times New Roman"/>
              </w:rPr>
            </m:ctrlPr>
          </m:sub>
        </m:sSub>
      </m:oMath>
      <w:r>
        <w:rPr>
          <w:rFonts w:hint="default" w:ascii="Times New Roman" w:hAnsi="Times New Roman" w:eastAsia="宋体" w:cs="Times New Roman"/>
        </w:rPr>
        <w:t xml:space="preserve"> corresponds to a high-density subgroup. Selecting the center of the nearest subpopulation when querying is able to capture the multimodal structure within the category, which in turn forms a segmented decision boundary consisting of Voronoi regions; at the same time, using the minimum distance instead of the mean distance effectively reduces the sensitivity to outliers and noise.</w:t>
      </w:r>
    </w:p>
    <w:p w14:paraId="589D785C">
      <w:pPr>
        <w:numPr>
          <w:ilvl w:val="0"/>
          <w:numId w:val="0"/>
        </w:numPr>
        <w:spacing w:line="480" w:lineRule="auto"/>
        <w:ind w:leftChars="0"/>
        <w:outlineLvl w:val="2"/>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S7.2 </w:t>
      </w:r>
      <w:r>
        <w:rPr>
          <w:rFonts w:hint="default" w:ascii="Times New Roman" w:hAnsi="Times New Roman" w:cs="Times New Roman"/>
          <w:b/>
          <w:bCs/>
          <w:sz w:val="24"/>
          <w:szCs w:val="24"/>
        </w:rPr>
        <w:t>Anchor Alignment Loss</w:t>
      </w:r>
    </w:p>
    <w:p w14:paraId="1FE11BCA">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Although AnchorFeatureGenerator is capable of generating diverse pseudo-samples, if its features are semantically offset from the true category center (Anchor), it introduces noise and weakens subsequent prototype learning. For this reason, we introduce an Anchor alignment loss in training by constraining the cosine similarity of each pseudo-sample feature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f</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oMath>
      <w:r>
        <w:rPr>
          <w:rFonts w:hint="default" w:ascii="Times New Roman" w:hAnsi="Times New Roman" w:eastAsia="宋体" w:cs="Times New Roman"/>
        </w:rPr>
        <w:t xml:space="preserve"> to its corresponding SwAV pre-trained Anchor vector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a</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ji</m:t>
            </m:r>
            <m:ctrlPr>
              <w:rPr>
                <w:rFonts w:hint="default" w:ascii="Cambria Math" w:hAnsi="Cambria Math" w:eastAsia="宋体" w:cs="Times New Roman"/>
              </w:rPr>
            </m:ctrlPr>
          </m:sub>
        </m:sSub>
      </m:oMath>
      <w:r>
        <w:rPr>
          <w:rFonts w:hint="default" w:ascii="Times New Roman" w:hAnsi="Times New Roman" w:eastAsia="宋体" w:cs="Times New Roman"/>
        </w:rPr>
        <w:t>:</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align</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=1</m:t>
              </m:r>
              <m:r>
                <m:rPr>
                  <m:nor/>
                  <m:sty m:val="p"/>
                </m:rPr>
                <w:rPr>
                  <w:rFonts w:hint="default" w:ascii="Times New Roman" w:hAnsi="Times New Roman" w:eastAsia="宋体" w:cs="Times New Roman"/>
                  <w:b w:val="0"/>
                  <w:i w:val="0"/>
                  <w:lang w:val="en-US" w:eastAsia="zh-CN"/>
                </w:rPr>
                <m:t xml:space="preserve"> </m:t>
              </m:r>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f>
                <m:fPr>
                  <m:ctrlPr>
                    <w:rPr>
                      <w:rFonts w:hint="default" w:ascii="Cambria Math" w:hAnsi="Cambria Math" w:eastAsia="宋体" w:cs="Times New Roman"/>
                    </w:rPr>
                  </m:ctrlPr>
                </m:fPr>
                <m:num>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num>
                <m:den>
                  <m:r>
                    <m:rPr>
                      <m:nor/>
                      <m:sty m:val="p"/>
                    </m:rPr>
                    <w:rPr>
                      <w:rFonts w:hint="default" w:ascii="Times New Roman" w:hAnsi="Times New Roman" w:eastAsia="宋体" w:cs="Times New Roman"/>
                      <w:b w:val="0"/>
                      <w:i w:val="0"/>
                    </w:rPr>
                    <m:t>N</m:t>
                  </m:r>
                  <m:ctrlPr>
                    <w:rPr>
                      <w:rFonts w:hint="default" w:ascii="Cambria Math" w:hAnsi="Cambria Math" w:eastAsia="宋体" w:cs="Times New Roman"/>
                    </w:rPr>
                  </m:ctrlPr>
                </m:den>
              </m:f>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i=1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N</m:t>
                  </m:r>
                  <m:ctrlPr>
                    <w:rPr>
                      <w:rFonts w:hint="default" w:ascii="Cambria Math" w:hAnsi="Cambria Math" w:eastAsia="宋体" w:cs="Times New Roman"/>
                    </w:rPr>
                  </m:ctrlPr>
                </m:sup>
                <m:e>
                  <m:f>
                    <m:fPr>
                      <m:ctrlPr>
                        <w:rPr>
                          <w:rFonts w:hint="default" w:ascii="Cambria Math" w:hAnsi="Cambria Math" w:eastAsia="宋体" w:cs="Times New Roman"/>
                        </w:rPr>
                      </m:ctrlPr>
                    </m:fPr>
                    <m:num>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f</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a</m:t>
                          </m:r>
                          <m:ctrlPr>
                            <w:rPr>
                              <w:rFonts w:hint="default" w:ascii="Cambria Math" w:hAnsi="Cambria Math" w:eastAsia="宋体" w:cs="Times New Roman"/>
                            </w:rPr>
                          </m:ctrlPr>
                        </m:e>
                        <m:sub>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ctrlPr>
                            <w:rPr>
                              <w:rFonts w:hint="default" w:ascii="Cambria Math" w:hAnsi="Cambria Math" w:eastAsia="宋体" w:cs="Times New Roman"/>
                            </w:rPr>
                          </m:ctrlPr>
                        </m:sub>
                      </m:sSub>
                      <m:ctrlPr>
                        <w:rPr>
                          <w:rFonts w:hint="default" w:ascii="Cambria Math" w:hAnsi="Cambria Math" w:eastAsia="宋体" w:cs="Times New Roman"/>
                        </w:rPr>
                      </m:ctrlPr>
                    </m:num>
                    <m:den>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f</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a</m:t>
                                  </m:r>
                                  <m:ctrlPr>
                                    <w:rPr>
                                      <w:rFonts w:hint="default" w:ascii="Cambria Math" w:hAnsi="Cambria Math" w:eastAsia="宋体" w:cs="Times New Roman"/>
                                    </w:rPr>
                                  </m:ctrlPr>
                                </m:e>
                                <m:sub>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ctrlPr>
                        <w:rPr>
                          <w:rFonts w:hint="default" w:ascii="Cambria Math" w:hAnsi="Cambria Math" w:eastAsia="宋体" w:cs="Times New Roman"/>
                        </w:rPr>
                      </m:ctrlPr>
                    </m:den>
                  </m:f>
                  <m:ctrlPr>
                    <w:rPr>
                      <w:rFonts w:hint="default" w:ascii="Cambria Math" w:hAnsi="Cambria Math" w:eastAsia="宋体" w:cs="Times New Roman"/>
                    </w:rPr>
                  </m:ctrlPr>
                </m:e>
              </m:nary>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(13)</m:t>
              </m:r>
              <m:ctrlPr>
                <w:rPr>
                  <w:rFonts w:hint="default" w:ascii="Cambria Math" w:hAnsi="Cambria Math" w:eastAsia="宋体" w:cs="Times New Roman"/>
                </w:rPr>
              </m:ctrlPr>
            </m:e>
          </m:eqArr>
        </m:oMath>
      </m:oMathPara>
    </w:p>
    <w:p w14:paraId="227E77A9">
      <w:pPr>
        <w:spacing w:line="480" w:lineRule="auto"/>
        <w:rPr>
          <w:rFonts w:hint="default" w:ascii="Times New Roman" w:hAnsi="Times New Roman" w:eastAsia="宋体" w:cs="Times New Roman"/>
        </w:rPr>
      </w:pPr>
      <w:r>
        <w:rPr>
          <w:rFonts w:hint="default" w:ascii="Times New Roman" w:hAnsi="Times New Roman" w:eastAsia="宋体" w:cs="Times New Roman"/>
        </w:rPr>
        <w:t xml:space="preserve">where N is the total number of pseudo-samples and label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oMath>
      <w:r>
        <w:rPr>
          <w:rFonts w:hint="default" w:ascii="Times New Roman" w:hAnsi="Times New Roman" w:eastAsia="宋体" w:cs="Times New Roman"/>
        </w:rPr>
        <w:t xml:space="preserve"> corresponds to the center of the category in which they should be clustered. This alignment strategy imposes semantic consistency constraints on the generated samples directly in the feature space, which significantly reduces the drift between pseudo-samples and the true distribution and improves the validity of pseudo-samples in subsequent prototype construction.Compared to adversarial domain-alignment methods, our approach is computationally simpler, integrates seamlessly with multi-prototype classification, and directly preserves angular feature relationships via cosine-similarity optimization, thereby enhancing the discriminative power of the embeddings.</w:t>
      </w:r>
    </w:p>
    <w:p w14:paraId="7F5DED2D">
      <w:pPr>
        <w:numPr>
          <w:ilvl w:val="0"/>
          <w:numId w:val="0"/>
        </w:numPr>
        <w:spacing w:line="480" w:lineRule="auto"/>
        <w:ind w:leftChars="0"/>
        <w:outlineLvl w:val="2"/>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S7.3 </w:t>
      </w:r>
      <w:r>
        <w:rPr>
          <w:rFonts w:hint="default" w:ascii="Times New Roman" w:hAnsi="Times New Roman" w:cs="Times New Roman"/>
          <w:b/>
          <w:bCs/>
          <w:sz w:val="24"/>
          <w:szCs w:val="24"/>
        </w:rPr>
        <w:t>Batch-Hard Triplet Loss</w:t>
      </w:r>
    </w:p>
    <w:p w14:paraId="45267C56">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To further tighten the category boundaries of the feature space, we use the "Batch-Hard" triad loss, which automatically picks only the most discriminative positive/negative pairings of samples inside each mini_batch for optimization. First, we calculate the Euclidean distance matrix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ij</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e</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ctrlPr>
                  <w:rPr>
                    <w:rFonts w:hint="default" w:ascii="Cambria Math" w:hAnsi="Cambria Math" w:eastAsia="宋体" w:cs="Times New Roman"/>
                  </w:rPr>
                </m:ctrlPr>
              </m:e>
            </m:d>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e</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j</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oMath>
      <w:r>
        <w:rPr>
          <w:rFonts w:hint="default" w:ascii="Times New Roman" w:hAnsi="Times New Roman" w:eastAsia="宋体" w:cs="Times New Roman"/>
        </w:rPr>
        <w:t>) between all embedding vectors inside a batch, and then for each sample, we select the "hardest positive sample (</w:t>
      </w:r>
      <m:oMath>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pos</m:t>
            </m:r>
            <m:ctrlPr>
              <w:rPr>
                <w:rFonts w:hint="default" w:ascii="Cambria Math" w:hAnsi="Cambria Math" w:eastAsia="宋体" w:cs="Times New Roman"/>
              </w:rPr>
            </m:ctrlPr>
          </m:sup>
        </m:sSubSup>
      </m:oMath>
      <w:r>
        <w:rPr>
          <w:rFonts w:hint="default" w:ascii="Times New Roman" w:hAnsi="Times New Roman" w:eastAsia="宋体" w:cs="Times New Roman"/>
        </w:rPr>
        <w:t>)" with the biggest distance among the same-labeled samples i, and the "hardest negative sample (</w:t>
      </w:r>
      <m:oMath>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neg</m:t>
            </m:r>
            <m:ctrlPr>
              <w:rPr>
                <w:rFonts w:hint="default" w:ascii="Cambria Math" w:hAnsi="Cambria Math" w:eastAsia="宋体" w:cs="Times New Roman"/>
              </w:rPr>
            </m:ctrlPr>
          </m:sup>
        </m:sSubSup>
      </m:oMath>
      <w:r>
        <w:rPr>
          <w:rFonts w:hint="default" w:ascii="Times New Roman" w:hAnsi="Times New Roman" w:eastAsia="宋体" w:cs="Times New Roman"/>
        </w:rPr>
        <w:t>)"and:</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triplet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f>
                <m:fPr>
                  <m:ctrlPr>
                    <w:rPr>
                      <w:rFonts w:hint="default" w:ascii="Cambria Math" w:hAnsi="Cambria Math" w:eastAsia="宋体" w:cs="Times New Roman"/>
                    </w:rPr>
                  </m:ctrlPr>
                </m:fPr>
                <m:num>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num>
                <m:den>
                  <m:r>
                    <m:rPr>
                      <m:nor/>
                      <m:sty m:val="p"/>
                    </m:rPr>
                    <w:rPr>
                      <w:rFonts w:hint="default" w:ascii="Times New Roman" w:hAnsi="Times New Roman" w:eastAsia="宋体" w:cs="Times New Roman"/>
                      <w:b w:val="0"/>
                      <w:i w:val="0"/>
                    </w:rPr>
                    <m:t>B</m:t>
                  </m:r>
                  <m:ctrlPr>
                    <w:rPr>
                      <w:rFonts w:hint="default" w:ascii="Cambria Math" w:hAnsi="Cambria Math" w:eastAsia="宋体" w:cs="Times New Roman"/>
                    </w:rPr>
                  </m:ctrlPr>
                </m:den>
              </m:f>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i=1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B</m:t>
                  </m:r>
                  <m:ctrlPr>
                    <w:rPr>
                      <w:rFonts w:hint="default" w:ascii="Cambria Math" w:hAnsi="Cambria Math" w:eastAsia="宋体" w:cs="Times New Roman"/>
                    </w:rPr>
                  </m:ctrlPr>
                </m:sup>
                <m:e>
                  <m:r>
                    <m:rPr>
                      <m:nor/>
                      <m:sty m:val="p"/>
                    </m:rPr>
                    <w:rPr>
                      <w:rFonts w:hint="default" w:ascii="Times New Roman" w:hAnsi="Times New Roman" w:eastAsia="宋体" w:cs="Times New Roman"/>
                      <w:b w:val="0"/>
                      <w:i w:val="0"/>
                    </w:rPr>
                    <m:t>max</m:t>
                  </m:r>
                  <m:ctrlPr>
                    <w:rPr>
                      <w:rFonts w:hint="default" w:ascii="Cambria Math" w:hAnsi="Cambria Math" w:eastAsia="宋体" w:cs="Times New Roman"/>
                    </w:rPr>
                  </m:ctrlPr>
                </m:e>
              </m:nary>
              <m:d>
                <m:dPr>
                  <m:ctrlPr>
                    <w:rPr>
                      <w:rFonts w:hint="default" w:ascii="Cambria Math" w:hAnsi="Cambria Math" w:eastAsia="宋体" w:cs="Times New Roman"/>
                    </w:rPr>
                  </m:ctrlPr>
                </m:dPr>
                <m:e>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pos</m:t>
                      </m:r>
                      <m:ctrlPr>
                        <w:rPr>
                          <w:rFonts w:hint="default" w:ascii="Cambria Math" w:hAnsi="Cambria Math" w:eastAsia="宋体" w:cs="Times New Roman"/>
                        </w:rPr>
                      </m:ctrlPr>
                    </m:sup>
                  </m:sSubSup>
                  <m:r>
                    <m:rPr>
                      <m:nor/>
                      <m:sty m:val="p"/>
                    </m:rPr>
                    <w:rPr>
                      <w:rFonts w:hint="default" w:ascii="Times New Roman" w:hAnsi="Times New Roman" w:eastAsia="宋体" w:cs="Times New Roman"/>
                      <w:b w:val="0"/>
                      <w:i w:val="0"/>
                    </w:rPr>
                    <m:t>-</m:t>
                  </m:r>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neg</m:t>
                      </m:r>
                      <m:ctrlPr>
                        <w:rPr>
                          <w:rFonts w:hint="default" w:ascii="Cambria Math" w:hAnsi="Cambria Math" w:eastAsia="宋体" w:cs="Times New Roman"/>
                        </w:rPr>
                      </m:ctrlPr>
                    </m:sup>
                  </m:sSubSup>
                  <m:r>
                    <m:rPr>
                      <m:nor/>
                      <m:sty m:val="p"/>
                    </m:rPr>
                    <w:rPr>
                      <w:rFonts w:hint="default" w:ascii="Times New Roman" w:hAnsi="Times New Roman" w:eastAsia="宋体" w:cs="Times New Roman"/>
                      <w:b w:val="0"/>
                      <w:i w:val="0"/>
                    </w:rPr>
                    <m:t>+m,0</m:t>
                  </m:r>
                  <m:ctrlPr>
                    <w:rPr>
                      <w:rFonts w:hint="default" w:ascii="Cambria Math" w:hAnsi="Cambria Math" w:eastAsia="宋体" w:cs="Times New Roman"/>
                    </w:rPr>
                  </m:ctrlPr>
                </m:e>
              </m:d>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(14)</m:t>
              </m:r>
              <m:ctrlPr>
                <w:rPr>
                  <w:rFonts w:hint="default" w:ascii="Cambria Math" w:hAnsi="Cambria Math" w:eastAsia="宋体" w:cs="Times New Roman"/>
                </w:rPr>
              </m:ctrlPr>
            </m:e>
          </m:eqArr>
        </m:oMath>
      </m:oMathPara>
    </w:p>
    <w:p w14:paraId="3198994F">
      <w:pPr>
        <w:spacing w:line="480" w:lineRule="auto"/>
        <w:rPr>
          <w:rFonts w:hint="default" w:ascii="Times New Roman" w:hAnsi="Times New Roman" w:eastAsia="宋体" w:cs="Times New Roman"/>
        </w:rPr>
      </w:pPr>
      <w:r>
        <w:rPr>
          <w:rFonts w:hint="default" w:ascii="Times New Roman" w:hAnsi="Times New Roman" w:eastAsia="宋体" w:cs="Times New Roman"/>
        </w:rPr>
        <w:t>Optimization (bounded hyperparameter, m=0.5) Compared to random sampling, Batch-Hard focuses only on the most difficult pairs of samples, which not only avoids the redundant gradient caused by easy-to-classify samples, but also significantly accelerates model convergence and strengthens discriminative ability in the case of fewer samples, particularly when negative samples are scarce and unevenly distributed. This module, along with multi-prototype categorization and Anchor alignment loss, creates a more robust and expressive embedding space.</w:t>
      </w:r>
    </w:p>
    <w:p w14:paraId="22E3B6CC">
      <w:pPr>
        <w:numPr>
          <w:ilvl w:val="0"/>
          <w:numId w:val="0"/>
        </w:numPr>
        <w:spacing w:line="480" w:lineRule="auto"/>
        <w:ind w:leftChars="0"/>
        <w:outlineLvl w:val="2"/>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S7.4 </w:t>
      </w:r>
      <w:r>
        <w:rPr>
          <w:rFonts w:hint="default" w:ascii="Times New Roman" w:hAnsi="Times New Roman" w:cs="Times New Roman"/>
          <w:b/>
          <w:bCs/>
          <w:sz w:val="24"/>
          <w:szCs w:val="24"/>
        </w:rPr>
        <w:t>Weighted Combination of Overall Loss</w:t>
      </w:r>
    </w:p>
    <w:p w14:paraId="72DC49FB">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Finally, we weighted and combined the three sub-losses according to the following formula to form the ultimate training objective:</w:t>
      </w:r>
    </w:p>
    <w:p w14:paraId="5E27291F">
      <w:pPr>
        <w:spacing w:line="480" w:lineRule="auto"/>
        <w:ind w:firstLine="420"/>
        <w:rPr>
          <w:rFonts w:hint="default" w:ascii="Times New Roman" w:hAnsi="Times New Roman" w:eastAsia="宋体" w:cs="Times New Roman"/>
        </w:rPr>
      </w:pPr>
      <m:oMathPara>
        <m:oMath>
          <m:eqArr>
            <m:eqArrPr>
              <m:maxDist m:val="1"/>
              <m:ctrlPr>
                <w:rPr>
                  <w:rFonts w:hint="default" w:ascii="Cambria Math" w:hAnsi="Cambria Math" w:eastAsia="宋体" w:cs="Times New Roman"/>
                </w:rPr>
              </m:ctrlPr>
            </m:eqArrPr>
            <m:e>
              <m:r>
                <m:rPr>
                  <m:nor/>
                  <m:sty m:val="p"/>
                </m:rPr>
                <w:rPr>
                  <w:rFonts w:hint="default" w:ascii="Times New Roman" w:hAnsi="Times New Roman" w:eastAsia="MS Mincho" w:cs="Times New Roman"/>
                  <w:b w:val="0"/>
                  <w:i w:val="0"/>
                </w:rPr>
                <m:t>L</m:t>
              </m:r>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proto</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sSub>
                <m:sSubPr>
                  <m:ctrlPr>
                    <w:rPr>
                      <w:rFonts w:hint="default" w:ascii="Cambria Math" w:hAnsi="Cambria Math" w:eastAsia="宋体" w:cs="Times New Roman"/>
                    </w:rPr>
                  </m:ctrlPr>
                </m:sSubPr>
                <m:e>
                  <m:r>
                    <m:rPr>
                      <m:nor/>
                      <m:sty m:val="p"/>
                    </m:rPr>
                    <w:rPr>
                      <w:rFonts w:hint="default" w:ascii="Times New Roman" w:hAnsi="Times New Roman" w:cs="Times New Roman"/>
                      <w:b w:val="0"/>
                      <w:i w:val="0"/>
                    </w:rPr>
                    <m:t>α</m:t>
                  </m:r>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align</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r>
                <m:rPr>
                  <m:nor/>
                  <m:sty m:val="p"/>
                </m:rPr>
                <w:rPr>
                  <w:rFonts w:hint="default" w:ascii="Times New Roman" w:hAnsi="Times New Roman" w:cs="Times New Roman"/>
                  <w:b w:val="0"/>
                  <w:i w:val="0"/>
                </w:rPr>
                <m:t>β</m:t>
              </m:r>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triplet</m:t>
                  </m:r>
                  <m:ctrlPr>
                    <w:rPr>
                      <w:rFonts w:hint="default" w:ascii="Cambria Math" w:hAnsi="Cambria Math" w:eastAsia="宋体" w:cs="Times New Roman"/>
                    </w:rPr>
                  </m:ctrlPr>
                </m:sub>
              </m:sSub>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(15)</m:t>
              </m:r>
              <m:ctrlPr>
                <w:rPr>
                  <w:rFonts w:hint="default" w:ascii="Cambria Math" w:hAnsi="Cambria Math" w:eastAsia="宋体" w:cs="Times New Roman"/>
                </w:rPr>
              </m:ctrlPr>
            </m:e>
          </m:eqArr>
        </m:oMath>
      </m:oMathPara>
    </w:p>
    <w:p w14:paraId="380A5984">
      <w:pPr>
        <w:spacing w:line="480" w:lineRule="auto"/>
        <w:ind w:firstLine="420"/>
        <w:rPr>
          <w:rFonts w:hint="default" w:ascii="Times New Roman" w:hAnsi="Times New Roman" w:eastAsia="宋体" w:cs="Times New Roman"/>
          <w:color w:val="000000" w:themeColor="text1"/>
          <w:lang w:val="en-US" w:eastAsia="zh-CN"/>
          <w14:textFill>
            <w14:solidFill>
              <w14:schemeClr w14:val="tx1"/>
            </w14:solidFill>
          </w14:textFill>
        </w:rPr>
      </w:pPr>
      <w:r>
        <w:rPr>
          <w:rFonts w:hint="default" w:ascii="Times New Roman" w:hAnsi="Times New Roman" w:eastAsia="宋体" w:cs="Times New Roman"/>
        </w:rPr>
        <w:t>The weighting design (</w:t>
      </w:r>
      <m:oMath>
        <m:r>
          <m:rPr>
            <m:nor/>
            <m:sty m:val="p"/>
          </m:rPr>
          <w:rPr>
            <w:rFonts w:hint="default" w:ascii="Times New Roman" w:hAnsi="Times New Roman" w:eastAsia="宋体" w:cs="Times New Roman"/>
            <w:b w:val="0"/>
            <w:i w:val="0"/>
          </w:rPr>
          <m:t>α=0.2 , β=0.5</m:t>
        </m:r>
      </m:oMath>
      <w:r>
        <w:rPr>
          <w:rFonts w:hint="default" w:ascii="Times New Roman" w:hAnsi="Times New Roman" w:eastAsia="宋体" w:cs="Times New Roman"/>
        </w:rPr>
        <w:t>) ensures the multi-prototype classification loss dominates the main task while balancing the constraints of the Anchor alignment loss on pseudo-sample semantic consistency and the Batch-Hard triplet loss's reinforcement of embedding space boundaries through smaller weights. This scheme references Kim et al.'s weight allocation method for sample fusion in class-imbalanced tasks while incorporating Li et al.'s loss balancing experience from tabular data augmentation scenarios. Through this synergistic multi-objective loss optimization, the current framework achieves accurate classification decisions in small-sample multimodal scenarios while maintaining clear feature space organization, providing robust support for subsequent model generalization and robustness.</w:t>
      </w:r>
    </w:p>
    <w:sectPr>
      <w:footerReference r:id="rId9" w:type="default"/>
      <w:pgSz w:w="11906" w:h="16838"/>
      <w:pgMar w:top="1440" w:right="1800" w:bottom="1440" w:left="1800" w:header="851" w:footer="992" w:gutter="0"/>
      <w:lnNumType w:countBy="1" w:restart="continuous"/>
      <w:pgNumType w:fmt="decimal"/>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08A51">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B564E">
                          <w:pPr>
                            <w:pStyle w:val="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80B564E">
                    <w:pPr>
                      <w:pStyle w:val="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86949">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A28D3">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2E5DC">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906C6B">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4906C6B">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86E26">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43C55">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AC478">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405BB"/>
    <w:multiLevelType w:val="singleLevel"/>
    <w:tmpl w:val="860405BB"/>
    <w:lvl w:ilvl="0" w:tentative="0">
      <w:start w:val="1"/>
      <w:numFmt w:val="bullet"/>
      <w:pStyle w:val="22"/>
      <w:lvlText w:val=""/>
      <w:lvlJc w:val="left"/>
      <w:pPr>
        <w:ind w:left="420" w:hanging="420"/>
      </w:pPr>
      <w:rPr>
        <w:rFonts w:hint="default" w:ascii="Wingdings" w:hAnsi="Wingdings"/>
        <w:sz w:val="24"/>
        <w:szCs w:val="24"/>
      </w:rPr>
    </w:lvl>
  </w:abstractNum>
  <w:abstractNum w:abstractNumId="1">
    <w:nsid w:val="9766F839"/>
    <w:multiLevelType w:val="multilevel"/>
    <w:tmpl w:val="9766F839"/>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A7C75D83"/>
    <w:multiLevelType w:val="singleLevel"/>
    <w:tmpl w:val="A7C75D83"/>
    <w:lvl w:ilvl="0" w:tentative="0">
      <w:start w:val="1"/>
      <w:numFmt w:val="bullet"/>
      <w:lvlText w:val=""/>
      <w:lvlJc w:val="left"/>
      <w:pPr>
        <w:ind w:left="420" w:hanging="420"/>
      </w:pPr>
      <w:rPr>
        <w:rFonts w:hint="default" w:ascii="Wingdings" w:hAnsi="Wingdings"/>
        <w:color w:val="000000" w:themeColor="text1"/>
        <w:sz w:val="16"/>
        <w:szCs w:val="16"/>
        <w14:textFill>
          <w14:solidFill>
            <w14:schemeClr w14:val="tx1"/>
          </w14:solidFill>
        </w14:textFill>
      </w:rPr>
    </w:lvl>
  </w:abstractNum>
  <w:abstractNum w:abstractNumId="3">
    <w:nsid w:val="B4DD7FC3"/>
    <w:multiLevelType w:val="singleLevel"/>
    <w:tmpl w:val="B4DD7FC3"/>
    <w:lvl w:ilvl="0" w:tentative="0">
      <w:start w:val="1"/>
      <w:numFmt w:val="bullet"/>
      <w:lvlText w:val=""/>
      <w:lvlJc w:val="left"/>
      <w:pPr>
        <w:ind w:left="420" w:hanging="420"/>
      </w:pPr>
      <w:rPr>
        <w:rFonts w:hint="default" w:ascii="Wingdings" w:hAnsi="Wingdings"/>
        <w:sz w:val="24"/>
        <w:szCs w:val="24"/>
      </w:rPr>
    </w:lvl>
  </w:abstractNum>
  <w:abstractNum w:abstractNumId="4">
    <w:nsid w:val="19C6EBE6"/>
    <w:multiLevelType w:val="multilevel"/>
    <w:tmpl w:val="19C6EBE6"/>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20FED366"/>
    <w:multiLevelType w:val="singleLevel"/>
    <w:tmpl w:val="20FED366"/>
    <w:lvl w:ilvl="0" w:tentative="0">
      <w:start w:val="1"/>
      <w:numFmt w:val="decimal"/>
      <w:lvlText w:val="[%1]"/>
      <w:lvlJc w:val="left"/>
      <w:pPr>
        <w:tabs>
          <w:tab w:val="left" w:pos="420"/>
        </w:tabs>
        <w:ind w:left="425" w:hanging="425"/>
      </w:pPr>
      <w:rPr>
        <w:rFonts w:hint="default"/>
        <w:b w:val="0"/>
        <w:bCs w:val="0"/>
        <w:sz w:val="24"/>
        <w:szCs w:val="24"/>
      </w:rPr>
    </w:lvl>
  </w:abstractNum>
  <w:abstractNum w:abstractNumId="6">
    <w:nsid w:val="34FC15C6"/>
    <w:multiLevelType w:val="singleLevel"/>
    <w:tmpl w:val="34FC15C6"/>
    <w:lvl w:ilvl="0" w:tentative="0">
      <w:start w:val="1"/>
      <w:numFmt w:val="decimal"/>
      <w:suff w:val="space"/>
      <w:lvlText w:val="%1."/>
      <w:lvlJc w:val="left"/>
    </w:lvl>
  </w:abstractNum>
  <w:abstractNum w:abstractNumId="7">
    <w:nsid w:val="3805037F"/>
    <w:multiLevelType w:val="multilevel"/>
    <w:tmpl w:val="3805037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sz w:val="16"/>
        <w:szCs w:val="16"/>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741C2E68"/>
    <w:multiLevelType w:val="multilevel"/>
    <w:tmpl w:val="741C2E6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9">
    <w:nsid w:val="7996CF35"/>
    <w:multiLevelType w:val="singleLevel"/>
    <w:tmpl w:val="7996CF35"/>
    <w:lvl w:ilvl="0" w:tentative="0">
      <w:start w:val="1"/>
      <w:numFmt w:val="bullet"/>
      <w:lvlText w:val=""/>
      <w:lvlJc w:val="left"/>
      <w:pPr>
        <w:ind w:left="420" w:hanging="420"/>
      </w:pPr>
      <w:rPr>
        <w:rFonts w:hint="default" w:ascii="Wingdings" w:hAnsi="Wingdings"/>
        <w:sz w:val="24"/>
        <w:szCs w:val="24"/>
      </w:rPr>
    </w:lvl>
  </w:abstractNum>
  <w:num w:numId="1">
    <w:abstractNumId w:val="0"/>
  </w:num>
  <w:num w:numId="2">
    <w:abstractNumId w:val="8"/>
  </w:num>
  <w:num w:numId="3">
    <w:abstractNumId w:val="6"/>
  </w:num>
  <w:num w:numId="4">
    <w:abstractNumId w:val="4"/>
  </w:num>
  <w:num w:numId="5">
    <w:abstractNumId w:val="1"/>
  </w:num>
  <w:num w:numId="6">
    <w:abstractNumId w:val="2"/>
  </w:num>
  <w:num w:numId="7">
    <w:abstractNumId w:val="7"/>
  </w:num>
  <w:num w:numId="8">
    <w:abstractNumId w:val="5"/>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9A0908"/>
    <w:rsid w:val="00072696"/>
    <w:rsid w:val="000915E4"/>
    <w:rsid w:val="0012155D"/>
    <w:rsid w:val="001C66D5"/>
    <w:rsid w:val="001D1F49"/>
    <w:rsid w:val="001D3CF8"/>
    <w:rsid w:val="0025264C"/>
    <w:rsid w:val="002657B4"/>
    <w:rsid w:val="002B135C"/>
    <w:rsid w:val="002C1331"/>
    <w:rsid w:val="00350BE2"/>
    <w:rsid w:val="00352330"/>
    <w:rsid w:val="003D1D8C"/>
    <w:rsid w:val="003D7D40"/>
    <w:rsid w:val="0042589A"/>
    <w:rsid w:val="004E2611"/>
    <w:rsid w:val="00570C1F"/>
    <w:rsid w:val="005A7B66"/>
    <w:rsid w:val="0066795B"/>
    <w:rsid w:val="007712F5"/>
    <w:rsid w:val="007A4716"/>
    <w:rsid w:val="008052CA"/>
    <w:rsid w:val="00871184"/>
    <w:rsid w:val="008B50F5"/>
    <w:rsid w:val="008F6D51"/>
    <w:rsid w:val="009006AD"/>
    <w:rsid w:val="0098388D"/>
    <w:rsid w:val="00A35DAC"/>
    <w:rsid w:val="00A70A54"/>
    <w:rsid w:val="00A83AD0"/>
    <w:rsid w:val="00B8577B"/>
    <w:rsid w:val="00BF7007"/>
    <w:rsid w:val="00C1458C"/>
    <w:rsid w:val="00C43531"/>
    <w:rsid w:val="00C60B21"/>
    <w:rsid w:val="00CB0B05"/>
    <w:rsid w:val="00CF48EA"/>
    <w:rsid w:val="00D26529"/>
    <w:rsid w:val="00D67DA7"/>
    <w:rsid w:val="00E4507B"/>
    <w:rsid w:val="00ED5FCF"/>
    <w:rsid w:val="00F05C81"/>
    <w:rsid w:val="01113D6B"/>
    <w:rsid w:val="01655E65"/>
    <w:rsid w:val="01677E5F"/>
    <w:rsid w:val="016D6B7E"/>
    <w:rsid w:val="01727B6D"/>
    <w:rsid w:val="01772A9E"/>
    <w:rsid w:val="01B61672"/>
    <w:rsid w:val="01CD7566"/>
    <w:rsid w:val="01F114A6"/>
    <w:rsid w:val="02007ABC"/>
    <w:rsid w:val="02052FBE"/>
    <w:rsid w:val="021D11A0"/>
    <w:rsid w:val="02216CAE"/>
    <w:rsid w:val="022E6257"/>
    <w:rsid w:val="023A109F"/>
    <w:rsid w:val="023D293E"/>
    <w:rsid w:val="025114D9"/>
    <w:rsid w:val="02581525"/>
    <w:rsid w:val="02663C42"/>
    <w:rsid w:val="026B3007"/>
    <w:rsid w:val="02763227"/>
    <w:rsid w:val="02866093"/>
    <w:rsid w:val="02B23EDB"/>
    <w:rsid w:val="02B32C00"/>
    <w:rsid w:val="02BE1282"/>
    <w:rsid w:val="02CE4930"/>
    <w:rsid w:val="02E80AFB"/>
    <w:rsid w:val="030F4150"/>
    <w:rsid w:val="031A67DB"/>
    <w:rsid w:val="0329344A"/>
    <w:rsid w:val="03337F28"/>
    <w:rsid w:val="0341645D"/>
    <w:rsid w:val="035A2E3C"/>
    <w:rsid w:val="035E0DBD"/>
    <w:rsid w:val="03782B4D"/>
    <w:rsid w:val="037C246C"/>
    <w:rsid w:val="039167D0"/>
    <w:rsid w:val="03936CB9"/>
    <w:rsid w:val="039C38C7"/>
    <w:rsid w:val="03B56367"/>
    <w:rsid w:val="03B92498"/>
    <w:rsid w:val="03BF6CEB"/>
    <w:rsid w:val="03DC26E0"/>
    <w:rsid w:val="03F417F9"/>
    <w:rsid w:val="03F97E5A"/>
    <w:rsid w:val="042C45F3"/>
    <w:rsid w:val="04402F82"/>
    <w:rsid w:val="04AE18D1"/>
    <w:rsid w:val="04B21366"/>
    <w:rsid w:val="04C20143"/>
    <w:rsid w:val="050D65DE"/>
    <w:rsid w:val="052B53BF"/>
    <w:rsid w:val="053E7845"/>
    <w:rsid w:val="055233B6"/>
    <w:rsid w:val="05524952"/>
    <w:rsid w:val="0561315E"/>
    <w:rsid w:val="056E2A83"/>
    <w:rsid w:val="056E368F"/>
    <w:rsid w:val="05706B86"/>
    <w:rsid w:val="058326BE"/>
    <w:rsid w:val="0588600B"/>
    <w:rsid w:val="05A855CB"/>
    <w:rsid w:val="05AB7095"/>
    <w:rsid w:val="05B503CC"/>
    <w:rsid w:val="05F254FA"/>
    <w:rsid w:val="05F72E03"/>
    <w:rsid w:val="06015B3E"/>
    <w:rsid w:val="06020DDD"/>
    <w:rsid w:val="06090E6E"/>
    <w:rsid w:val="06141C07"/>
    <w:rsid w:val="062910FF"/>
    <w:rsid w:val="06366E11"/>
    <w:rsid w:val="064E5119"/>
    <w:rsid w:val="06C278B5"/>
    <w:rsid w:val="06F32700"/>
    <w:rsid w:val="07117EF5"/>
    <w:rsid w:val="072E0AA7"/>
    <w:rsid w:val="0738697C"/>
    <w:rsid w:val="074704C5"/>
    <w:rsid w:val="074A238C"/>
    <w:rsid w:val="074D404D"/>
    <w:rsid w:val="075E75DE"/>
    <w:rsid w:val="076A6065"/>
    <w:rsid w:val="077C74E6"/>
    <w:rsid w:val="07A50D69"/>
    <w:rsid w:val="07AB20F7"/>
    <w:rsid w:val="07B23486"/>
    <w:rsid w:val="07B92A66"/>
    <w:rsid w:val="07F8785C"/>
    <w:rsid w:val="07F94FA6"/>
    <w:rsid w:val="082A59F6"/>
    <w:rsid w:val="08395058"/>
    <w:rsid w:val="08577C79"/>
    <w:rsid w:val="087345A0"/>
    <w:rsid w:val="08762705"/>
    <w:rsid w:val="0882284B"/>
    <w:rsid w:val="08935065"/>
    <w:rsid w:val="089A50BC"/>
    <w:rsid w:val="08F057F5"/>
    <w:rsid w:val="08FA3336"/>
    <w:rsid w:val="08FB2C0B"/>
    <w:rsid w:val="090D6477"/>
    <w:rsid w:val="09423EEC"/>
    <w:rsid w:val="09652EA6"/>
    <w:rsid w:val="096C4EEA"/>
    <w:rsid w:val="096E1734"/>
    <w:rsid w:val="09736C45"/>
    <w:rsid w:val="09845050"/>
    <w:rsid w:val="09DE4A06"/>
    <w:rsid w:val="0A0F2E11"/>
    <w:rsid w:val="0A2939EF"/>
    <w:rsid w:val="0A2C731B"/>
    <w:rsid w:val="0A390121"/>
    <w:rsid w:val="0A5B33C7"/>
    <w:rsid w:val="0A777490"/>
    <w:rsid w:val="0A8E01DA"/>
    <w:rsid w:val="0AAE0CA9"/>
    <w:rsid w:val="0AB45767"/>
    <w:rsid w:val="0ABA2D7D"/>
    <w:rsid w:val="0AE03085"/>
    <w:rsid w:val="0AF71DB6"/>
    <w:rsid w:val="0B2429D9"/>
    <w:rsid w:val="0B2D6259"/>
    <w:rsid w:val="0B472137"/>
    <w:rsid w:val="0B6D1ABD"/>
    <w:rsid w:val="0B8469C6"/>
    <w:rsid w:val="0BD10FD4"/>
    <w:rsid w:val="0BE82F00"/>
    <w:rsid w:val="0C010D45"/>
    <w:rsid w:val="0C033B96"/>
    <w:rsid w:val="0C0F6320"/>
    <w:rsid w:val="0C50326D"/>
    <w:rsid w:val="0C782EF0"/>
    <w:rsid w:val="0C850278"/>
    <w:rsid w:val="0C9E7A71"/>
    <w:rsid w:val="0CC872A8"/>
    <w:rsid w:val="0CF230D7"/>
    <w:rsid w:val="0D166E01"/>
    <w:rsid w:val="0D191352"/>
    <w:rsid w:val="0D1F0C6F"/>
    <w:rsid w:val="0D2070E4"/>
    <w:rsid w:val="0D2546FA"/>
    <w:rsid w:val="0D26294C"/>
    <w:rsid w:val="0D4728B9"/>
    <w:rsid w:val="0D4A3843"/>
    <w:rsid w:val="0D8C6527"/>
    <w:rsid w:val="0DB55A7E"/>
    <w:rsid w:val="0DBA12E6"/>
    <w:rsid w:val="0DDA3736"/>
    <w:rsid w:val="0E0C126B"/>
    <w:rsid w:val="0E1B195D"/>
    <w:rsid w:val="0E2B1182"/>
    <w:rsid w:val="0E3966AF"/>
    <w:rsid w:val="0E574D87"/>
    <w:rsid w:val="0E5B6E42"/>
    <w:rsid w:val="0E6D6359"/>
    <w:rsid w:val="0E6E52B8"/>
    <w:rsid w:val="0EA21BDD"/>
    <w:rsid w:val="0EAF24CD"/>
    <w:rsid w:val="0EB67D00"/>
    <w:rsid w:val="0EBD2E3C"/>
    <w:rsid w:val="0EDF0E07"/>
    <w:rsid w:val="0F2C643F"/>
    <w:rsid w:val="0F3222B1"/>
    <w:rsid w:val="0F506F7B"/>
    <w:rsid w:val="0F76748F"/>
    <w:rsid w:val="0F7A6F7F"/>
    <w:rsid w:val="0F953DB9"/>
    <w:rsid w:val="0FA933C0"/>
    <w:rsid w:val="0FC621C4"/>
    <w:rsid w:val="0FCF6AA6"/>
    <w:rsid w:val="0FD63FD1"/>
    <w:rsid w:val="0FD77F2D"/>
    <w:rsid w:val="0FF42C96"/>
    <w:rsid w:val="0FF94348"/>
    <w:rsid w:val="0FFA1E6E"/>
    <w:rsid w:val="10173C40"/>
    <w:rsid w:val="102869DB"/>
    <w:rsid w:val="10605D95"/>
    <w:rsid w:val="1069219C"/>
    <w:rsid w:val="10806817"/>
    <w:rsid w:val="10CA5CE4"/>
    <w:rsid w:val="10CC127E"/>
    <w:rsid w:val="10DE52EC"/>
    <w:rsid w:val="10E250B3"/>
    <w:rsid w:val="10F66AD9"/>
    <w:rsid w:val="110A7E8F"/>
    <w:rsid w:val="111F6967"/>
    <w:rsid w:val="11387E9F"/>
    <w:rsid w:val="115517FF"/>
    <w:rsid w:val="11651A69"/>
    <w:rsid w:val="119A56B6"/>
    <w:rsid w:val="119D51A7"/>
    <w:rsid w:val="120229DE"/>
    <w:rsid w:val="121216F1"/>
    <w:rsid w:val="121E62E8"/>
    <w:rsid w:val="123A16CD"/>
    <w:rsid w:val="123D6042"/>
    <w:rsid w:val="126807AF"/>
    <w:rsid w:val="127F6081"/>
    <w:rsid w:val="129019DE"/>
    <w:rsid w:val="12A045C5"/>
    <w:rsid w:val="12BD66DE"/>
    <w:rsid w:val="12C47E40"/>
    <w:rsid w:val="12CD2621"/>
    <w:rsid w:val="12E144B4"/>
    <w:rsid w:val="12EE161C"/>
    <w:rsid w:val="12F60AE4"/>
    <w:rsid w:val="132539EB"/>
    <w:rsid w:val="13322589"/>
    <w:rsid w:val="13545D39"/>
    <w:rsid w:val="135C409A"/>
    <w:rsid w:val="137361BF"/>
    <w:rsid w:val="13743DC0"/>
    <w:rsid w:val="13843362"/>
    <w:rsid w:val="138B13AC"/>
    <w:rsid w:val="139D4FEA"/>
    <w:rsid w:val="13B064D7"/>
    <w:rsid w:val="13BC6360"/>
    <w:rsid w:val="13D35072"/>
    <w:rsid w:val="13E96481"/>
    <w:rsid w:val="13EE283E"/>
    <w:rsid w:val="13FA243C"/>
    <w:rsid w:val="14045069"/>
    <w:rsid w:val="141F1C88"/>
    <w:rsid w:val="14290F74"/>
    <w:rsid w:val="145A052F"/>
    <w:rsid w:val="14634465"/>
    <w:rsid w:val="14716656"/>
    <w:rsid w:val="148538A3"/>
    <w:rsid w:val="149A777C"/>
    <w:rsid w:val="149F165C"/>
    <w:rsid w:val="14B545B5"/>
    <w:rsid w:val="14B87EA4"/>
    <w:rsid w:val="14E77BEC"/>
    <w:rsid w:val="14EB1A29"/>
    <w:rsid w:val="14EF7948"/>
    <w:rsid w:val="14FC40C8"/>
    <w:rsid w:val="15030855"/>
    <w:rsid w:val="150B3A74"/>
    <w:rsid w:val="150C0679"/>
    <w:rsid w:val="151612A0"/>
    <w:rsid w:val="151C78AB"/>
    <w:rsid w:val="152A0AFF"/>
    <w:rsid w:val="153B4ABB"/>
    <w:rsid w:val="1558214B"/>
    <w:rsid w:val="156A49FB"/>
    <w:rsid w:val="15747FCD"/>
    <w:rsid w:val="15831E8A"/>
    <w:rsid w:val="158F4E06"/>
    <w:rsid w:val="15A24B3A"/>
    <w:rsid w:val="15A82699"/>
    <w:rsid w:val="15AA1CAC"/>
    <w:rsid w:val="15B12FCF"/>
    <w:rsid w:val="161D2412"/>
    <w:rsid w:val="162A6AD2"/>
    <w:rsid w:val="1635775C"/>
    <w:rsid w:val="1654299B"/>
    <w:rsid w:val="1670402E"/>
    <w:rsid w:val="16831A50"/>
    <w:rsid w:val="168927DC"/>
    <w:rsid w:val="168D4D4A"/>
    <w:rsid w:val="16C62AAA"/>
    <w:rsid w:val="16DA6180"/>
    <w:rsid w:val="16DB47A7"/>
    <w:rsid w:val="16DF0B84"/>
    <w:rsid w:val="16E6682E"/>
    <w:rsid w:val="170A508C"/>
    <w:rsid w:val="170B2BB3"/>
    <w:rsid w:val="170E522D"/>
    <w:rsid w:val="17173305"/>
    <w:rsid w:val="17286E95"/>
    <w:rsid w:val="1746135D"/>
    <w:rsid w:val="17534B83"/>
    <w:rsid w:val="175822B5"/>
    <w:rsid w:val="176B0541"/>
    <w:rsid w:val="176D5C4E"/>
    <w:rsid w:val="179A60F6"/>
    <w:rsid w:val="17B74830"/>
    <w:rsid w:val="17BD20FF"/>
    <w:rsid w:val="17C17CAA"/>
    <w:rsid w:val="17E86A50"/>
    <w:rsid w:val="180F2314"/>
    <w:rsid w:val="181A30AD"/>
    <w:rsid w:val="184A37E9"/>
    <w:rsid w:val="18542133"/>
    <w:rsid w:val="18727A95"/>
    <w:rsid w:val="18784278"/>
    <w:rsid w:val="18787ADF"/>
    <w:rsid w:val="187D753B"/>
    <w:rsid w:val="187F1162"/>
    <w:rsid w:val="18917025"/>
    <w:rsid w:val="189D1E4F"/>
    <w:rsid w:val="18B708FC"/>
    <w:rsid w:val="18C33745"/>
    <w:rsid w:val="18C80D5B"/>
    <w:rsid w:val="18F002B2"/>
    <w:rsid w:val="18F90F15"/>
    <w:rsid w:val="191F56A4"/>
    <w:rsid w:val="192166BD"/>
    <w:rsid w:val="194F4FD8"/>
    <w:rsid w:val="194F6D87"/>
    <w:rsid w:val="198E19DC"/>
    <w:rsid w:val="19BE3F0C"/>
    <w:rsid w:val="19BE657D"/>
    <w:rsid w:val="19BF413C"/>
    <w:rsid w:val="19D67508"/>
    <w:rsid w:val="19E41E92"/>
    <w:rsid w:val="19F138D9"/>
    <w:rsid w:val="19F44005"/>
    <w:rsid w:val="19FA4A2E"/>
    <w:rsid w:val="1A165AF6"/>
    <w:rsid w:val="1A1B4EBB"/>
    <w:rsid w:val="1A271AB1"/>
    <w:rsid w:val="1A2A6695"/>
    <w:rsid w:val="1A4408B5"/>
    <w:rsid w:val="1A472154"/>
    <w:rsid w:val="1A48012B"/>
    <w:rsid w:val="1A620D3B"/>
    <w:rsid w:val="1A685E54"/>
    <w:rsid w:val="1A766595"/>
    <w:rsid w:val="1A7E4896"/>
    <w:rsid w:val="1A8A4238"/>
    <w:rsid w:val="1A962423"/>
    <w:rsid w:val="1A9C1C7A"/>
    <w:rsid w:val="1ABD41C4"/>
    <w:rsid w:val="1ADA4D76"/>
    <w:rsid w:val="1AE37CBC"/>
    <w:rsid w:val="1AF73DAC"/>
    <w:rsid w:val="1B040045"/>
    <w:rsid w:val="1B26620D"/>
    <w:rsid w:val="1B6B4BEC"/>
    <w:rsid w:val="1B786570"/>
    <w:rsid w:val="1B811695"/>
    <w:rsid w:val="1B9D3F6B"/>
    <w:rsid w:val="1B9E7E6B"/>
    <w:rsid w:val="1BAA4748"/>
    <w:rsid w:val="1BF430DA"/>
    <w:rsid w:val="1C055E22"/>
    <w:rsid w:val="1C071B9A"/>
    <w:rsid w:val="1C1A124E"/>
    <w:rsid w:val="1C536B8E"/>
    <w:rsid w:val="1C59328D"/>
    <w:rsid w:val="1C6C2CF5"/>
    <w:rsid w:val="1C7D38B0"/>
    <w:rsid w:val="1C962F1E"/>
    <w:rsid w:val="1CC609DE"/>
    <w:rsid w:val="1CD001DE"/>
    <w:rsid w:val="1CDE733E"/>
    <w:rsid w:val="1CF0262F"/>
    <w:rsid w:val="1CF2284B"/>
    <w:rsid w:val="1D0E6F59"/>
    <w:rsid w:val="1D104A7F"/>
    <w:rsid w:val="1D167BBB"/>
    <w:rsid w:val="1D570895"/>
    <w:rsid w:val="1D5C7CC4"/>
    <w:rsid w:val="1D5D57EA"/>
    <w:rsid w:val="1D7C7F20"/>
    <w:rsid w:val="1D8316F5"/>
    <w:rsid w:val="1DAF24EA"/>
    <w:rsid w:val="1DCF1C0C"/>
    <w:rsid w:val="1DD27F86"/>
    <w:rsid w:val="1DD737EE"/>
    <w:rsid w:val="1DDD1372"/>
    <w:rsid w:val="1DE30936"/>
    <w:rsid w:val="1DE877AA"/>
    <w:rsid w:val="1E026ABD"/>
    <w:rsid w:val="1E2E3FC6"/>
    <w:rsid w:val="1E3A5AE5"/>
    <w:rsid w:val="1E731769"/>
    <w:rsid w:val="1E8A219C"/>
    <w:rsid w:val="1E9E60BA"/>
    <w:rsid w:val="1EA407AF"/>
    <w:rsid w:val="1EA41923"/>
    <w:rsid w:val="1EBB3073"/>
    <w:rsid w:val="1EED151B"/>
    <w:rsid w:val="1EFB350D"/>
    <w:rsid w:val="1F266C90"/>
    <w:rsid w:val="1F332CA6"/>
    <w:rsid w:val="1F344FAE"/>
    <w:rsid w:val="1F3727C7"/>
    <w:rsid w:val="1F3A5DE3"/>
    <w:rsid w:val="1F5F1CED"/>
    <w:rsid w:val="1F5F5356"/>
    <w:rsid w:val="1F604708"/>
    <w:rsid w:val="1FAD4807"/>
    <w:rsid w:val="1FBC2C9C"/>
    <w:rsid w:val="1FE872EE"/>
    <w:rsid w:val="20084133"/>
    <w:rsid w:val="200F101E"/>
    <w:rsid w:val="201E5402"/>
    <w:rsid w:val="205729C5"/>
    <w:rsid w:val="20893F0C"/>
    <w:rsid w:val="208C5913"/>
    <w:rsid w:val="20D30002"/>
    <w:rsid w:val="20E36EBF"/>
    <w:rsid w:val="20EF2BFD"/>
    <w:rsid w:val="211663DC"/>
    <w:rsid w:val="21206410"/>
    <w:rsid w:val="21274A8D"/>
    <w:rsid w:val="213071EA"/>
    <w:rsid w:val="21355A11"/>
    <w:rsid w:val="215C6521"/>
    <w:rsid w:val="216E26D1"/>
    <w:rsid w:val="217D1FB0"/>
    <w:rsid w:val="217F21D3"/>
    <w:rsid w:val="218E68BA"/>
    <w:rsid w:val="21A460DD"/>
    <w:rsid w:val="21A558D4"/>
    <w:rsid w:val="21D95741"/>
    <w:rsid w:val="21E464DA"/>
    <w:rsid w:val="21FF4CFB"/>
    <w:rsid w:val="223370DB"/>
    <w:rsid w:val="22433200"/>
    <w:rsid w:val="225069D7"/>
    <w:rsid w:val="22525733"/>
    <w:rsid w:val="225F3FFD"/>
    <w:rsid w:val="22723AE6"/>
    <w:rsid w:val="2281356A"/>
    <w:rsid w:val="228A599C"/>
    <w:rsid w:val="22C81CA6"/>
    <w:rsid w:val="22F17100"/>
    <w:rsid w:val="22F62969"/>
    <w:rsid w:val="230D18DA"/>
    <w:rsid w:val="231A0405"/>
    <w:rsid w:val="231C1A96"/>
    <w:rsid w:val="231D1CA3"/>
    <w:rsid w:val="232D1518"/>
    <w:rsid w:val="23360FB7"/>
    <w:rsid w:val="23396347"/>
    <w:rsid w:val="23532F5B"/>
    <w:rsid w:val="237E3B0E"/>
    <w:rsid w:val="23DE7685"/>
    <w:rsid w:val="23E26A49"/>
    <w:rsid w:val="2401301A"/>
    <w:rsid w:val="240C7D6F"/>
    <w:rsid w:val="24284DA4"/>
    <w:rsid w:val="24656A71"/>
    <w:rsid w:val="24A73F1B"/>
    <w:rsid w:val="24B708C4"/>
    <w:rsid w:val="24BD373E"/>
    <w:rsid w:val="24D32F62"/>
    <w:rsid w:val="24EA02AB"/>
    <w:rsid w:val="24F26FF6"/>
    <w:rsid w:val="24FD1356"/>
    <w:rsid w:val="24FE5B05"/>
    <w:rsid w:val="25136D3C"/>
    <w:rsid w:val="251A6B46"/>
    <w:rsid w:val="25206AAF"/>
    <w:rsid w:val="253432D4"/>
    <w:rsid w:val="254F4526"/>
    <w:rsid w:val="25540030"/>
    <w:rsid w:val="256376A5"/>
    <w:rsid w:val="25637F0D"/>
    <w:rsid w:val="258904E7"/>
    <w:rsid w:val="25902155"/>
    <w:rsid w:val="25A04B22"/>
    <w:rsid w:val="25BF34E6"/>
    <w:rsid w:val="25DD4C27"/>
    <w:rsid w:val="25DF4F0E"/>
    <w:rsid w:val="25E116AE"/>
    <w:rsid w:val="25EB3977"/>
    <w:rsid w:val="26345C82"/>
    <w:rsid w:val="265A2525"/>
    <w:rsid w:val="26AC485F"/>
    <w:rsid w:val="26E16B85"/>
    <w:rsid w:val="26E40FC7"/>
    <w:rsid w:val="26E620ED"/>
    <w:rsid w:val="27005B64"/>
    <w:rsid w:val="27167CA1"/>
    <w:rsid w:val="272A0E33"/>
    <w:rsid w:val="275163C0"/>
    <w:rsid w:val="27565784"/>
    <w:rsid w:val="27764507"/>
    <w:rsid w:val="27AA0490"/>
    <w:rsid w:val="27AC35F6"/>
    <w:rsid w:val="27AE3812"/>
    <w:rsid w:val="27B76947"/>
    <w:rsid w:val="27C052F3"/>
    <w:rsid w:val="27CA7ED1"/>
    <w:rsid w:val="27DF39CB"/>
    <w:rsid w:val="27E70AD2"/>
    <w:rsid w:val="27F57CF7"/>
    <w:rsid w:val="27FD20A3"/>
    <w:rsid w:val="280460E8"/>
    <w:rsid w:val="28060F58"/>
    <w:rsid w:val="281567C9"/>
    <w:rsid w:val="282D6EFC"/>
    <w:rsid w:val="28441A80"/>
    <w:rsid w:val="285C14C0"/>
    <w:rsid w:val="28697739"/>
    <w:rsid w:val="286D7229"/>
    <w:rsid w:val="287E34CB"/>
    <w:rsid w:val="288F53F1"/>
    <w:rsid w:val="288F719F"/>
    <w:rsid w:val="28976054"/>
    <w:rsid w:val="28A1327F"/>
    <w:rsid w:val="28AB185F"/>
    <w:rsid w:val="28D752E9"/>
    <w:rsid w:val="29146F2D"/>
    <w:rsid w:val="292D69B8"/>
    <w:rsid w:val="293F655C"/>
    <w:rsid w:val="29410738"/>
    <w:rsid w:val="294423CE"/>
    <w:rsid w:val="295959FF"/>
    <w:rsid w:val="2964687E"/>
    <w:rsid w:val="29883BEF"/>
    <w:rsid w:val="2991021E"/>
    <w:rsid w:val="29933EAB"/>
    <w:rsid w:val="299762DC"/>
    <w:rsid w:val="29A65153"/>
    <w:rsid w:val="29C87F1D"/>
    <w:rsid w:val="2A146612"/>
    <w:rsid w:val="2A1A7826"/>
    <w:rsid w:val="2A2B61C7"/>
    <w:rsid w:val="2A5F68C5"/>
    <w:rsid w:val="2A6F3251"/>
    <w:rsid w:val="2A816FBC"/>
    <w:rsid w:val="2AB54EB7"/>
    <w:rsid w:val="2AEB3C5A"/>
    <w:rsid w:val="2AFA10BA"/>
    <w:rsid w:val="2AFF2E2D"/>
    <w:rsid w:val="2B02634F"/>
    <w:rsid w:val="2B385681"/>
    <w:rsid w:val="2B514D73"/>
    <w:rsid w:val="2B54022C"/>
    <w:rsid w:val="2B5408B4"/>
    <w:rsid w:val="2B634913"/>
    <w:rsid w:val="2B6F2C13"/>
    <w:rsid w:val="2B7450D6"/>
    <w:rsid w:val="2B767032"/>
    <w:rsid w:val="2BAC1A5F"/>
    <w:rsid w:val="2BB1567F"/>
    <w:rsid w:val="2BBF0D19"/>
    <w:rsid w:val="2BD55811"/>
    <w:rsid w:val="2BE5305D"/>
    <w:rsid w:val="2C196317"/>
    <w:rsid w:val="2C3047F6"/>
    <w:rsid w:val="2CD20F10"/>
    <w:rsid w:val="2CD84677"/>
    <w:rsid w:val="2CE101E6"/>
    <w:rsid w:val="2CEF1BF0"/>
    <w:rsid w:val="2D194E5C"/>
    <w:rsid w:val="2D3D715C"/>
    <w:rsid w:val="2D5E4CD1"/>
    <w:rsid w:val="2D68254E"/>
    <w:rsid w:val="2D7B5F44"/>
    <w:rsid w:val="2D8868B3"/>
    <w:rsid w:val="2D943EC9"/>
    <w:rsid w:val="2D9D410D"/>
    <w:rsid w:val="2DA37249"/>
    <w:rsid w:val="2DC31151"/>
    <w:rsid w:val="2DFB0E33"/>
    <w:rsid w:val="2DFD104F"/>
    <w:rsid w:val="2E602D4C"/>
    <w:rsid w:val="2EA6182F"/>
    <w:rsid w:val="2EC44DB8"/>
    <w:rsid w:val="2ED578D6"/>
    <w:rsid w:val="2EE63891"/>
    <w:rsid w:val="2EF012F9"/>
    <w:rsid w:val="2EFA10EB"/>
    <w:rsid w:val="2EFC17EB"/>
    <w:rsid w:val="2F47747B"/>
    <w:rsid w:val="2F697D76"/>
    <w:rsid w:val="2F7075FF"/>
    <w:rsid w:val="2F860BD0"/>
    <w:rsid w:val="2F866E22"/>
    <w:rsid w:val="2F8A09E3"/>
    <w:rsid w:val="2F911A4F"/>
    <w:rsid w:val="2FB90FA6"/>
    <w:rsid w:val="2FBC2E4F"/>
    <w:rsid w:val="2FC609B8"/>
    <w:rsid w:val="303D4A56"/>
    <w:rsid w:val="307F0807"/>
    <w:rsid w:val="30EE67A3"/>
    <w:rsid w:val="30F13DC6"/>
    <w:rsid w:val="30F90559"/>
    <w:rsid w:val="312468F3"/>
    <w:rsid w:val="313666F5"/>
    <w:rsid w:val="314B1C20"/>
    <w:rsid w:val="314C0546"/>
    <w:rsid w:val="315F7B5E"/>
    <w:rsid w:val="31651AA3"/>
    <w:rsid w:val="316867E0"/>
    <w:rsid w:val="31880C30"/>
    <w:rsid w:val="31AA329C"/>
    <w:rsid w:val="31BC4D7D"/>
    <w:rsid w:val="31CA5AFA"/>
    <w:rsid w:val="31CA6E34"/>
    <w:rsid w:val="31D5284E"/>
    <w:rsid w:val="31DD71CE"/>
    <w:rsid w:val="31F95FA7"/>
    <w:rsid w:val="31FB1809"/>
    <w:rsid w:val="32386517"/>
    <w:rsid w:val="327214BB"/>
    <w:rsid w:val="327B0795"/>
    <w:rsid w:val="32807B59"/>
    <w:rsid w:val="32A7117B"/>
    <w:rsid w:val="32B819E9"/>
    <w:rsid w:val="32C15A1E"/>
    <w:rsid w:val="32DE787A"/>
    <w:rsid w:val="32EB591A"/>
    <w:rsid w:val="32ED1692"/>
    <w:rsid w:val="3304078A"/>
    <w:rsid w:val="331462D9"/>
    <w:rsid w:val="331D7A9E"/>
    <w:rsid w:val="33264BA4"/>
    <w:rsid w:val="33316C94"/>
    <w:rsid w:val="3350577D"/>
    <w:rsid w:val="33882539"/>
    <w:rsid w:val="339A10EE"/>
    <w:rsid w:val="339A2E9C"/>
    <w:rsid w:val="33AB1C16"/>
    <w:rsid w:val="33ED56C2"/>
    <w:rsid w:val="34165E66"/>
    <w:rsid w:val="34401C96"/>
    <w:rsid w:val="345474EF"/>
    <w:rsid w:val="34847DD4"/>
    <w:rsid w:val="348E0B61"/>
    <w:rsid w:val="349B4A6B"/>
    <w:rsid w:val="349E1F2B"/>
    <w:rsid w:val="353E361B"/>
    <w:rsid w:val="356C07CF"/>
    <w:rsid w:val="357009D8"/>
    <w:rsid w:val="35973E3A"/>
    <w:rsid w:val="35C275C5"/>
    <w:rsid w:val="35C5426C"/>
    <w:rsid w:val="35DF31E6"/>
    <w:rsid w:val="360845B7"/>
    <w:rsid w:val="36260A17"/>
    <w:rsid w:val="36453593"/>
    <w:rsid w:val="364A2958"/>
    <w:rsid w:val="364C567F"/>
    <w:rsid w:val="36575075"/>
    <w:rsid w:val="365D08DD"/>
    <w:rsid w:val="36625EF3"/>
    <w:rsid w:val="368470CC"/>
    <w:rsid w:val="36AE738B"/>
    <w:rsid w:val="36D6391F"/>
    <w:rsid w:val="36E94D26"/>
    <w:rsid w:val="36F9612C"/>
    <w:rsid w:val="36FB1D8D"/>
    <w:rsid w:val="37003071"/>
    <w:rsid w:val="3702474C"/>
    <w:rsid w:val="370276FA"/>
    <w:rsid w:val="37213A0A"/>
    <w:rsid w:val="373C4996"/>
    <w:rsid w:val="374F0E84"/>
    <w:rsid w:val="37544180"/>
    <w:rsid w:val="37647A49"/>
    <w:rsid w:val="37837E15"/>
    <w:rsid w:val="37AE6F16"/>
    <w:rsid w:val="37C93D50"/>
    <w:rsid w:val="37CF1A6D"/>
    <w:rsid w:val="37D746BF"/>
    <w:rsid w:val="37FC4126"/>
    <w:rsid w:val="3801173C"/>
    <w:rsid w:val="38012C35"/>
    <w:rsid w:val="38075385"/>
    <w:rsid w:val="3838383E"/>
    <w:rsid w:val="38653A79"/>
    <w:rsid w:val="38AD6424"/>
    <w:rsid w:val="38FC2B25"/>
    <w:rsid w:val="39006B4A"/>
    <w:rsid w:val="390908A8"/>
    <w:rsid w:val="391334D5"/>
    <w:rsid w:val="39235915"/>
    <w:rsid w:val="3925073A"/>
    <w:rsid w:val="392F25F8"/>
    <w:rsid w:val="39473540"/>
    <w:rsid w:val="395A3541"/>
    <w:rsid w:val="395D687A"/>
    <w:rsid w:val="397755FF"/>
    <w:rsid w:val="399A1E48"/>
    <w:rsid w:val="39AD0584"/>
    <w:rsid w:val="39B003B6"/>
    <w:rsid w:val="39ED01CA"/>
    <w:rsid w:val="3A445910"/>
    <w:rsid w:val="3A502507"/>
    <w:rsid w:val="3A775CE5"/>
    <w:rsid w:val="3AB25844"/>
    <w:rsid w:val="3ABD710D"/>
    <w:rsid w:val="3AC5774B"/>
    <w:rsid w:val="3ACA22B9"/>
    <w:rsid w:val="3ACE063F"/>
    <w:rsid w:val="3AF410E4"/>
    <w:rsid w:val="3AF80F7A"/>
    <w:rsid w:val="3AF9494C"/>
    <w:rsid w:val="3AFD3FC9"/>
    <w:rsid w:val="3B0A7C29"/>
    <w:rsid w:val="3B183024"/>
    <w:rsid w:val="3B2319C9"/>
    <w:rsid w:val="3B424545"/>
    <w:rsid w:val="3B446655"/>
    <w:rsid w:val="3B455CCF"/>
    <w:rsid w:val="3B4C7F7D"/>
    <w:rsid w:val="3B577AF8"/>
    <w:rsid w:val="3B6D62E8"/>
    <w:rsid w:val="3B7B35B3"/>
    <w:rsid w:val="3B7D37CF"/>
    <w:rsid w:val="3B9B19AC"/>
    <w:rsid w:val="3B9B7FE9"/>
    <w:rsid w:val="3BB05953"/>
    <w:rsid w:val="3BD50F16"/>
    <w:rsid w:val="3C0B0DDB"/>
    <w:rsid w:val="3C2A2C9F"/>
    <w:rsid w:val="3C3976F6"/>
    <w:rsid w:val="3C676344"/>
    <w:rsid w:val="3C7050E2"/>
    <w:rsid w:val="3C771FCD"/>
    <w:rsid w:val="3C7721BF"/>
    <w:rsid w:val="3C9F652D"/>
    <w:rsid w:val="3CAF3A1F"/>
    <w:rsid w:val="3CBE5970"/>
    <w:rsid w:val="3CD44299"/>
    <w:rsid w:val="3CDC1812"/>
    <w:rsid w:val="3CF43CC6"/>
    <w:rsid w:val="3CFB2BFE"/>
    <w:rsid w:val="3D1028DD"/>
    <w:rsid w:val="3D1F64DB"/>
    <w:rsid w:val="3D502071"/>
    <w:rsid w:val="3D69400B"/>
    <w:rsid w:val="3D6A0A80"/>
    <w:rsid w:val="3D8A38CF"/>
    <w:rsid w:val="3DA02290"/>
    <w:rsid w:val="3DA60DBB"/>
    <w:rsid w:val="3DAC214A"/>
    <w:rsid w:val="3DBA03C3"/>
    <w:rsid w:val="3DBD4357"/>
    <w:rsid w:val="3DBF1E7D"/>
    <w:rsid w:val="3DC12D0A"/>
    <w:rsid w:val="3DC50AD7"/>
    <w:rsid w:val="3DFE0BF8"/>
    <w:rsid w:val="3E0236B8"/>
    <w:rsid w:val="3E073DC0"/>
    <w:rsid w:val="3E5C3C06"/>
    <w:rsid w:val="3E691DE9"/>
    <w:rsid w:val="3E6D1CFA"/>
    <w:rsid w:val="3E9450B8"/>
    <w:rsid w:val="3E9E2A0E"/>
    <w:rsid w:val="3EA006FD"/>
    <w:rsid w:val="3EBE2135"/>
    <w:rsid w:val="3EDD6FEC"/>
    <w:rsid w:val="3F0C5DE4"/>
    <w:rsid w:val="3F1D2F3F"/>
    <w:rsid w:val="3F2521B4"/>
    <w:rsid w:val="3F3877F2"/>
    <w:rsid w:val="3F4D76DD"/>
    <w:rsid w:val="3F743FC9"/>
    <w:rsid w:val="3F76656C"/>
    <w:rsid w:val="3FA23805"/>
    <w:rsid w:val="3FBF43B6"/>
    <w:rsid w:val="3FCA68B7"/>
    <w:rsid w:val="3FCC0881"/>
    <w:rsid w:val="40070A53"/>
    <w:rsid w:val="40175FA1"/>
    <w:rsid w:val="401A6EC9"/>
    <w:rsid w:val="401F30A7"/>
    <w:rsid w:val="401F3152"/>
    <w:rsid w:val="403719AB"/>
    <w:rsid w:val="4057639D"/>
    <w:rsid w:val="40905054"/>
    <w:rsid w:val="40A87C35"/>
    <w:rsid w:val="40B21825"/>
    <w:rsid w:val="40D55514"/>
    <w:rsid w:val="40D73786"/>
    <w:rsid w:val="40ED4F53"/>
    <w:rsid w:val="40FA0157"/>
    <w:rsid w:val="40FB141E"/>
    <w:rsid w:val="41311525"/>
    <w:rsid w:val="413975F8"/>
    <w:rsid w:val="41466412"/>
    <w:rsid w:val="41546D80"/>
    <w:rsid w:val="41594397"/>
    <w:rsid w:val="416430E7"/>
    <w:rsid w:val="416F5968"/>
    <w:rsid w:val="41801923"/>
    <w:rsid w:val="418426C5"/>
    <w:rsid w:val="41884FF2"/>
    <w:rsid w:val="41B50A9D"/>
    <w:rsid w:val="41CB669E"/>
    <w:rsid w:val="41FF6CEC"/>
    <w:rsid w:val="421339E9"/>
    <w:rsid w:val="424B1F31"/>
    <w:rsid w:val="424F1061"/>
    <w:rsid w:val="42520E7F"/>
    <w:rsid w:val="42784CF1"/>
    <w:rsid w:val="42B51AA1"/>
    <w:rsid w:val="42C13FA2"/>
    <w:rsid w:val="42D40179"/>
    <w:rsid w:val="42E15EFC"/>
    <w:rsid w:val="42FE52B7"/>
    <w:rsid w:val="43073304"/>
    <w:rsid w:val="434D5127"/>
    <w:rsid w:val="435F0009"/>
    <w:rsid w:val="43625650"/>
    <w:rsid w:val="43715C63"/>
    <w:rsid w:val="438671CC"/>
    <w:rsid w:val="43912E12"/>
    <w:rsid w:val="43A04F19"/>
    <w:rsid w:val="43CC2BFE"/>
    <w:rsid w:val="43F04DED"/>
    <w:rsid w:val="441078AF"/>
    <w:rsid w:val="442C7152"/>
    <w:rsid w:val="443127E2"/>
    <w:rsid w:val="443E5A20"/>
    <w:rsid w:val="443F6E95"/>
    <w:rsid w:val="44417846"/>
    <w:rsid w:val="44446A34"/>
    <w:rsid w:val="444E121C"/>
    <w:rsid w:val="4470570D"/>
    <w:rsid w:val="448160DE"/>
    <w:rsid w:val="448E7078"/>
    <w:rsid w:val="449000D0"/>
    <w:rsid w:val="449851D6"/>
    <w:rsid w:val="4499005A"/>
    <w:rsid w:val="449C6A74"/>
    <w:rsid w:val="44AA046E"/>
    <w:rsid w:val="44AD6ED3"/>
    <w:rsid w:val="44BC0EC5"/>
    <w:rsid w:val="44C01469"/>
    <w:rsid w:val="44FA379B"/>
    <w:rsid w:val="450D7972"/>
    <w:rsid w:val="450E3451"/>
    <w:rsid w:val="452B6074"/>
    <w:rsid w:val="453273D9"/>
    <w:rsid w:val="453316DB"/>
    <w:rsid w:val="45633716"/>
    <w:rsid w:val="456719A5"/>
    <w:rsid w:val="456B7F76"/>
    <w:rsid w:val="45815C6A"/>
    <w:rsid w:val="459531E3"/>
    <w:rsid w:val="459E1862"/>
    <w:rsid w:val="45EF0E26"/>
    <w:rsid w:val="45F155CD"/>
    <w:rsid w:val="45F6758C"/>
    <w:rsid w:val="46017EC5"/>
    <w:rsid w:val="462A66E0"/>
    <w:rsid w:val="462F1B6A"/>
    <w:rsid w:val="464E0242"/>
    <w:rsid w:val="46522ED9"/>
    <w:rsid w:val="4662784A"/>
    <w:rsid w:val="467E6261"/>
    <w:rsid w:val="46B51498"/>
    <w:rsid w:val="46BF2EEE"/>
    <w:rsid w:val="46C422B2"/>
    <w:rsid w:val="46CA3945"/>
    <w:rsid w:val="46CC662B"/>
    <w:rsid w:val="46D4544D"/>
    <w:rsid w:val="46FC7C9E"/>
    <w:rsid w:val="47243EAF"/>
    <w:rsid w:val="473D0A98"/>
    <w:rsid w:val="47594B77"/>
    <w:rsid w:val="475F6B28"/>
    <w:rsid w:val="476A01E1"/>
    <w:rsid w:val="4792415F"/>
    <w:rsid w:val="4799729B"/>
    <w:rsid w:val="47AA234B"/>
    <w:rsid w:val="47C50968"/>
    <w:rsid w:val="47D604EF"/>
    <w:rsid w:val="47D93B3C"/>
    <w:rsid w:val="47F1579B"/>
    <w:rsid w:val="48163214"/>
    <w:rsid w:val="4819662E"/>
    <w:rsid w:val="481E21AA"/>
    <w:rsid w:val="482552FC"/>
    <w:rsid w:val="48346666"/>
    <w:rsid w:val="4844526E"/>
    <w:rsid w:val="4848435F"/>
    <w:rsid w:val="486F13F8"/>
    <w:rsid w:val="48945CB4"/>
    <w:rsid w:val="489B1CC5"/>
    <w:rsid w:val="48B16847"/>
    <w:rsid w:val="48B85E47"/>
    <w:rsid w:val="48E737DC"/>
    <w:rsid w:val="49110825"/>
    <w:rsid w:val="492C413F"/>
    <w:rsid w:val="49415C3B"/>
    <w:rsid w:val="4945187D"/>
    <w:rsid w:val="49927B74"/>
    <w:rsid w:val="499A5CF7"/>
    <w:rsid w:val="4A0A0924"/>
    <w:rsid w:val="4A1672C9"/>
    <w:rsid w:val="4A2A4B22"/>
    <w:rsid w:val="4A4C6847"/>
    <w:rsid w:val="4A631398"/>
    <w:rsid w:val="4A767F31"/>
    <w:rsid w:val="4A89557F"/>
    <w:rsid w:val="4A8E5059"/>
    <w:rsid w:val="4AAC3789"/>
    <w:rsid w:val="4B0B04B0"/>
    <w:rsid w:val="4B1C16CF"/>
    <w:rsid w:val="4B1D4687"/>
    <w:rsid w:val="4B260643"/>
    <w:rsid w:val="4B656400"/>
    <w:rsid w:val="4B837148"/>
    <w:rsid w:val="4B990304"/>
    <w:rsid w:val="4BA83F51"/>
    <w:rsid w:val="4BB07BD8"/>
    <w:rsid w:val="4BC17ED9"/>
    <w:rsid w:val="4BC90725"/>
    <w:rsid w:val="4BD54BC8"/>
    <w:rsid w:val="4BE8259F"/>
    <w:rsid w:val="4BEA1320"/>
    <w:rsid w:val="4BF076A6"/>
    <w:rsid w:val="4BF37155"/>
    <w:rsid w:val="4C111715"/>
    <w:rsid w:val="4C131819"/>
    <w:rsid w:val="4C2C2DD4"/>
    <w:rsid w:val="4C3C5FC3"/>
    <w:rsid w:val="4C4D3FB8"/>
    <w:rsid w:val="4C5E4F57"/>
    <w:rsid w:val="4C7E695A"/>
    <w:rsid w:val="4CA54934"/>
    <w:rsid w:val="4D0B0B91"/>
    <w:rsid w:val="4D2C2C90"/>
    <w:rsid w:val="4D341814"/>
    <w:rsid w:val="4D4C3002"/>
    <w:rsid w:val="4D57223F"/>
    <w:rsid w:val="4D844549"/>
    <w:rsid w:val="4DA933C9"/>
    <w:rsid w:val="4E1A4EAE"/>
    <w:rsid w:val="4E2875CB"/>
    <w:rsid w:val="4E513264"/>
    <w:rsid w:val="4E6667E9"/>
    <w:rsid w:val="4E6822F0"/>
    <w:rsid w:val="4E7520E4"/>
    <w:rsid w:val="4E77522A"/>
    <w:rsid w:val="4E78611C"/>
    <w:rsid w:val="4E866C96"/>
    <w:rsid w:val="4E9B7D9D"/>
    <w:rsid w:val="4E9C3796"/>
    <w:rsid w:val="4EA200AD"/>
    <w:rsid w:val="4EBE1CDD"/>
    <w:rsid w:val="4EC30082"/>
    <w:rsid w:val="4ECA0682"/>
    <w:rsid w:val="4ECC0997"/>
    <w:rsid w:val="4F6603AB"/>
    <w:rsid w:val="4F6A79A6"/>
    <w:rsid w:val="4F740E43"/>
    <w:rsid w:val="4F751524"/>
    <w:rsid w:val="4F7D5E60"/>
    <w:rsid w:val="4F8159F3"/>
    <w:rsid w:val="4FA82D1D"/>
    <w:rsid w:val="4FDD43E5"/>
    <w:rsid w:val="4FF1693E"/>
    <w:rsid w:val="4FFA0AF3"/>
    <w:rsid w:val="4FFE6916"/>
    <w:rsid w:val="500B2C9F"/>
    <w:rsid w:val="506D3DE7"/>
    <w:rsid w:val="50783627"/>
    <w:rsid w:val="50940F47"/>
    <w:rsid w:val="50993DF7"/>
    <w:rsid w:val="50A75B54"/>
    <w:rsid w:val="50BD3AD5"/>
    <w:rsid w:val="50C5100B"/>
    <w:rsid w:val="50D13F4A"/>
    <w:rsid w:val="50E21CB3"/>
    <w:rsid w:val="50F11EF6"/>
    <w:rsid w:val="51363DAD"/>
    <w:rsid w:val="51406525"/>
    <w:rsid w:val="5144644A"/>
    <w:rsid w:val="5160707C"/>
    <w:rsid w:val="51714DE5"/>
    <w:rsid w:val="51725FD6"/>
    <w:rsid w:val="51752B27"/>
    <w:rsid w:val="517C2BAC"/>
    <w:rsid w:val="5198235F"/>
    <w:rsid w:val="51A37951"/>
    <w:rsid w:val="51AC040F"/>
    <w:rsid w:val="51B43FDF"/>
    <w:rsid w:val="51BF3DA2"/>
    <w:rsid w:val="51C946C0"/>
    <w:rsid w:val="51FF0FAF"/>
    <w:rsid w:val="520E18D3"/>
    <w:rsid w:val="521560B8"/>
    <w:rsid w:val="52211E00"/>
    <w:rsid w:val="52373528"/>
    <w:rsid w:val="52393F26"/>
    <w:rsid w:val="524E3378"/>
    <w:rsid w:val="52554706"/>
    <w:rsid w:val="528818DA"/>
    <w:rsid w:val="52995263"/>
    <w:rsid w:val="52CA1025"/>
    <w:rsid w:val="52EC75B9"/>
    <w:rsid w:val="5305612D"/>
    <w:rsid w:val="530F2FDD"/>
    <w:rsid w:val="53114AD1"/>
    <w:rsid w:val="5343652A"/>
    <w:rsid w:val="53BC5C65"/>
    <w:rsid w:val="53CB17C4"/>
    <w:rsid w:val="53D527F8"/>
    <w:rsid w:val="53DC6AF7"/>
    <w:rsid w:val="53E04933"/>
    <w:rsid w:val="53F252D8"/>
    <w:rsid w:val="54012CB9"/>
    <w:rsid w:val="540A3C5A"/>
    <w:rsid w:val="542B571F"/>
    <w:rsid w:val="544100EE"/>
    <w:rsid w:val="544E765F"/>
    <w:rsid w:val="54546913"/>
    <w:rsid w:val="54583372"/>
    <w:rsid w:val="54857525"/>
    <w:rsid w:val="54905ECA"/>
    <w:rsid w:val="54971006"/>
    <w:rsid w:val="54A35CBB"/>
    <w:rsid w:val="54A46EA0"/>
    <w:rsid w:val="54B46D2D"/>
    <w:rsid w:val="54E1262F"/>
    <w:rsid w:val="54E35E50"/>
    <w:rsid w:val="54EA10ED"/>
    <w:rsid w:val="54ED6E78"/>
    <w:rsid w:val="55004DFD"/>
    <w:rsid w:val="55167559"/>
    <w:rsid w:val="554C0043"/>
    <w:rsid w:val="554C1057"/>
    <w:rsid w:val="554F7B33"/>
    <w:rsid w:val="55525286"/>
    <w:rsid w:val="5563538C"/>
    <w:rsid w:val="556A0707"/>
    <w:rsid w:val="557570ED"/>
    <w:rsid w:val="55915A56"/>
    <w:rsid w:val="55942B9B"/>
    <w:rsid w:val="559A0908"/>
    <w:rsid w:val="55A41C2D"/>
    <w:rsid w:val="55AD03B6"/>
    <w:rsid w:val="55EF09CE"/>
    <w:rsid w:val="55F411E3"/>
    <w:rsid w:val="55FD133D"/>
    <w:rsid w:val="56094A0A"/>
    <w:rsid w:val="560B68CD"/>
    <w:rsid w:val="5622631F"/>
    <w:rsid w:val="562A5895"/>
    <w:rsid w:val="5675326A"/>
    <w:rsid w:val="56B85264"/>
    <w:rsid w:val="56C536A0"/>
    <w:rsid w:val="56FA762A"/>
    <w:rsid w:val="570E6FC5"/>
    <w:rsid w:val="573534C3"/>
    <w:rsid w:val="578D7FF9"/>
    <w:rsid w:val="57913F1C"/>
    <w:rsid w:val="5797131D"/>
    <w:rsid w:val="57D04F5B"/>
    <w:rsid w:val="57E04A72"/>
    <w:rsid w:val="57E30C41"/>
    <w:rsid w:val="57E44562"/>
    <w:rsid w:val="57E9430B"/>
    <w:rsid w:val="57EA64DD"/>
    <w:rsid w:val="57FC0C0C"/>
    <w:rsid w:val="58422036"/>
    <w:rsid w:val="58490869"/>
    <w:rsid w:val="584D35F3"/>
    <w:rsid w:val="585910C7"/>
    <w:rsid w:val="585B5F86"/>
    <w:rsid w:val="585F008D"/>
    <w:rsid w:val="58692CBA"/>
    <w:rsid w:val="586F24D7"/>
    <w:rsid w:val="58764A55"/>
    <w:rsid w:val="587A107C"/>
    <w:rsid w:val="588200BA"/>
    <w:rsid w:val="58845D45"/>
    <w:rsid w:val="58A74D44"/>
    <w:rsid w:val="58B64839"/>
    <w:rsid w:val="58B72281"/>
    <w:rsid w:val="58C46847"/>
    <w:rsid w:val="58D13B17"/>
    <w:rsid w:val="58ED4252"/>
    <w:rsid w:val="59084281"/>
    <w:rsid w:val="590A0142"/>
    <w:rsid w:val="5915074C"/>
    <w:rsid w:val="59372DB8"/>
    <w:rsid w:val="59561490"/>
    <w:rsid w:val="595D4BC1"/>
    <w:rsid w:val="595E20F3"/>
    <w:rsid w:val="59633680"/>
    <w:rsid w:val="599D70BF"/>
    <w:rsid w:val="59A321FB"/>
    <w:rsid w:val="59A74B39"/>
    <w:rsid w:val="59B06E35"/>
    <w:rsid w:val="59B75597"/>
    <w:rsid w:val="59BB2A5F"/>
    <w:rsid w:val="59C86985"/>
    <w:rsid w:val="59D367C3"/>
    <w:rsid w:val="59DB7BE7"/>
    <w:rsid w:val="59E7380B"/>
    <w:rsid w:val="59F40CA9"/>
    <w:rsid w:val="5A075DC3"/>
    <w:rsid w:val="5A2D62B9"/>
    <w:rsid w:val="5A3F0176"/>
    <w:rsid w:val="5A8C0EE1"/>
    <w:rsid w:val="5A920684"/>
    <w:rsid w:val="5A9713A0"/>
    <w:rsid w:val="5A9E7C8D"/>
    <w:rsid w:val="5AAC50E0"/>
    <w:rsid w:val="5AAD190B"/>
    <w:rsid w:val="5AAF6DFC"/>
    <w:rsid w:val="5AB32912"/>
    <w:rsid w:val="5ACD39D4"/>
    <w:rsid w:val="5AE44879"/>
    <w:rsid w:val="5B076002"/>
    <w:rsid w:val="5B244E04"/>
    <w:rsid w:val="5B2555BE"/>
    <w:rsid w:val="5B2A44C3"/>
    <w:rsid w:val="5B3475AF"/>
    <w:rsid w:val="5B363A73"/>
    <w:rsid w:val="5B411CCC"/>
    <w:rsid w:val="5B432394"/>
    <w:rsid w:val="5B751975"/>
    <w:rsid w:val="5B8228C3"/>
    <w:rsid w:val="5B8D16C2"/>
    <w:rsid w:val="5B991B08"/>
    <w:rsid w:val="5BB22BCA"/>
    <w:rsid w:val="5BE32D83"/>
    <w:rsid w:val="5BED59B0"/>
    <w:rsid w:val="5BF850F5"/>
    <w:rsid w:val="5C01237C"/>
    <w:rsid w:val="5C186ED1"/>
    <w:rsid w:val="5C1C6713"/>
    <w:rsid w:val="5C307249"/>
    <w:rsid w:val="5C4B666D"/>
    <w:rsid w:val="5C5617A7"/>
    <w:rsid w:val="5C577890"/>
    <w:rsid w:val="5C766531"/>
    <w:rsid w:val="5C904CB9"/>
    <w:rsid w:val="5CB5471F"/>
    <w:rsid w:val="5CCA2F91"/>
    <w:rsid w:val="5CDF354A"/>
    <w:rsid w:val="5CEC0665"/>
    <w:rsid w:val="5CF54B1C"/>
    <w:rsid w:val="5D001F09"/>
    <w:rsid w:val="5D1F7DEB"/>
    <w:rsid w:val="5D323FC2"/>
    <w:rsid w:val="5D335F95"/>
    <w:rsid w:val="5D3C274B"/>
    <w:rsid w:val="5D436590"/>
    <w:rsid w:val="5D5932FD"/>
    <w:rsid w:val="5D9205BD"/>
    <w:rsid w:val="5DA45AC6"/>
    <w:rsid w:val="5DA537E8"/>
    <w:rsid w:val="5DAD3649"/>
    <w:rsid w:val="5DB3770C"/>
    <w:rsid w:val="5DBA5079"/>
    <w:rsid w:val="5DD21320"/>
    <w:rsid w:val="5DD930FB"/>
    <w:rsid w:val="5DE762FC"/>
    <w:rsid w:val="5DF63241"/>
    <w:rsid w:val="5E096F7B"/>
    <w:rsid w:val="5E371164"/>
    <w:rsid w:val="5E3B7D36"/>
    <w:rsid w:val="5E420382"/>
    <w:rsid w:val="5E604B5F"/>
    <w:rsid w:val="5E62059E"/>
    <w:rsid w:val="5E7F023D"/>
    <w:rsid w:val="5EA507C4"/>
    <w:rsid w:val="5EA50BC4"/>
    <w:rsid w:val="5EA535AD"/>
    <w:rsid w:val="5EC450EE"/>
    <w:rsid w:val="5EF56C4F"/>
    <w:rsid w:val="5F315F1F"/>
    <w:rsid w:val="5F3202A9"/>
    <w:rsid w:val="5F3F6522"/>
    <w:rsid w:val="5F465B03"/>
    <w:rsid w:val="5F4A3D74"/>
    <w:rsid w:val="5F697A43"/>
    <w:rsid w:val="5F717C16"/>
    <w:rsid w:val="5F842877"/>
    <w:rsid w:val="5FBA3DFB"/>
    <w:rsid w:val="5FBE1B3D"/>
    <w:rsid w:val="5FF17B2D"/>
    <w:rsid w:val="5FF94530"/>
    <w:rsid w:val="60163727"/>
    <w:rsid w:val="60200102"/>
    <w:rsid w:val="602045A6"/>
    <w:rsid w:val="602F7368"/>
    <w:rsid w:val="603E3FC0"/>
    <w:rsid w:val="604638E0"/>
    <w:rsid w:val="608B7FAD"/>
    <w:rsid w:val="60AE11EB"/>
    <w:rsid w:val="60B116A2"/>
    <w:rsid w:val="60C969EB"/>
    <w:rsid w:val="60F97872"/>
    <w:rsid w:val="611512FD"/>
    <w:rsid w:val="61333F9B"/>
    <w:rsid w:val="614B056B"/>
    <w:rsid w:val="6151253D"/>
    <w:rsid w:val="615A7643"/>
    <w:rsid w:val="61686204"/>
    <w:rsid w:val="619C4100"/>
    <w:rsid w:val="619C7C5C"/>
    <w:rsid w:val="61A97D1C"/>
    <w:rsid w:val="62020D59"/>
    <w:rsid w:val="621912AD"/>
    <w:rsid w:val="622C064E"/>
    <w:rsid w:val="62326812"/>
    <w:rsid w:val="62582E89"/>
    <w:rsid w:val="62936BF7"/>
    <w:rsid w:val="629D0130"/>
    <w:rsid w:val="629D77CC"/>
    <w:rsid w:val="62B83593"/>
    <w:rsid w:val="62BD2580"/>
    <w:rsid w:val="62BF00A6"/>
    <w:rsid w:val="62CC52AD"/>
    <w:rsid w:val="62D6719E"/>
    <w:rsid w:val="62EF64B1"/>
    <w:rsid w:val="62F87114"/>
    <w:rsid w:val="63071A4D"/>
    <w:rsid w:val="63171E8E"/>
    <w:rsid w:val="6317557C"/>
    <w:rsid w:val="631A37CF"/>
    <w:rsid w:val="632C6236"/>
    <w:rsid w:val="633917C3"/>
    <w:rsid w:val="637706CF"/>
    <w:rsid w:val="637B43F6"/>
    <w:rsid w:val="6388493C"/>
    <w:rsid w:val="63902AC3"/>
    <w:rsid w:val="63A14DDA"/>
    <w:rsid w:val="63B75221"/>
    <w:rsid w:val="63B81FEA"/>
    <w:rsid w:val="63BC45E5"/>
    <w:rsid w:val="63CE52D9"/>
    <w:rsid w:val="63D17EA6"/>
    <w:rsid w:val="640931CD"/>
    <w:rsid w:val="642E6B65"/>
    <w:rsid w:val="644F6209"/>
    <w:rsid w:val="646A3866"/>
    <w:rsid w:val="647C3A7D"/>
    <w:rsid w:val="64B1428F"/>
    <w:rsid w:val="64B33C3A"/>
    <w:rsid w:val="64FB37AB"/>
    <w:rsid w:val="65222B6E"/>
    <w:rsid w:val="6527785B"/>
    <w:rsid w:val="652F51CB"/>
    <w:rsid w:val="65320525"/>
    <w:rsid w:val="6562740E"/>
    <w:rsid w:val="656767D3"/>
    <w:rsid w:val="65956E9C"/>
    <w:rsid w:val="65984BDE"/>
    <w:rsid w:val="659A175A"/>
    <w:rsid w:val="659B26BD"/>
    <w:rsid w:val="65A92D87"/>
    <w:rsid w:val="65AB6D90"/>
    <w:rsid w:val="65C32A4A"/>
    <w:rsid w:val="65D90883"/>
    <w:rsid w:val="65DF6369"/>
    <w:rsid w:val="65F16D65"/>
    <w:rsid w:val="65FD1764"/>
    <w:rsid w:val="660F1741"/>
    <w:rsid w:val="661F21B5"/>
    <w:rsid w:val="66386A97"/>
    <w:rsid w:val="664856F2"/>
    <w:rsid w:val="664D0204"/>
    <w:rsid w:val="66567ADA"/>
    <w:rsid w:val="668138C4"/>
    <w:rsid w:val="668B029F"/>
    <w:rsid w:val="66AC1952"/>
    <w:rsid w:val="66BD6B7E"/>
    <w:rsid w:val="66DB4A1E"/>
    <w:rsid w:val="66FB3677"/>
    <w:rsid w:val="6707099C"/>
    <w:rsid w:val="6715319B"/>
    <w:rsid w:val="674041F7"/>
    <w:rsid w:val="675039C2"/>
    <w:rsid w:val="675C41EF"/>
    <w:rsid w:val="676E5BF7"/>
    <w:rsid w:val="676F7BC1"/>
    <w:rsid w:val="67AD3D48"/>
    <w:rsid w:val="67BD68BE"/>
    <w:rsid w:val="67C24ADE"/>
    <w:rsid w:val="67C577E1"/>
    <w:rsid w:val="67D5211A"/>
    <w:rsid w:val="67F02AB0"/>
    <w:rsid w:val="67F51E74"/>
    <w:rsid w:val="682D5AB2"/>
    <w:rsid w:val="683F1990"/>
    <w:rsid w:val="68512AFB"/>
    <w:rsid w:val="68755747"/>
    <w:rsid w:val="68880ABC"/>
    <w:rsid w:val="688A198A"/>
    <w:rsid w:val="68901135"/>
    <w:rsid w:val="689D149E"/>
    <w:rsid w:val="68A65864"/>
    <w:rsid w:val="68D67EF7"/>
    <w:rsid w:val="68DA4684"/>
    <w:rsid w:val="68E972B4"/>
    <w:rsid w:val="68F00BF1"/>
    <w:rsid w:val="68FB5BB0"/>
    <w:rsid w:val="68FD36D6"/>
    <w:rsid w:val="69303AFB"/>
    <w:rsid w:val="693E0811"/>
    <w:rsid w:val="694A3683"/>
    <w:rsid w:val="694D0A4B"/>
    <w:rsid w:val="6951757E"/>
    <w:rsid w:val="696D67B5"/>
    <w:rsid w:val="6973347C"/>
    <w:rsid w:val="69A9560C"/>
    <w:rsid w:val="69CE44E2"/>
    <w:rsid w:val="69FB573C"/>
    <w:rsid w:val="6A0C2C21"/>
    <w:rsid w:val="6A445335"/>
    <w:rsid w:val="6A554DD0"/>
    <w:rsid w:val="6A7C1326"/>
    <w:rsid w:val="6A7E25F5"/>
    <w:rsid w:val="6A987242"/>
    <w:rsid w:val="6AA11D4B"/>
    <w:rsid w:val="6AA3205B"/>
    <w:rsid w:val="6AB56D4B"/>
    <w:rsid w:val="6ABF0896"/>
    <w:rsid w:val="6AC63F9C"/>
    <w:rsid w:val="6ACB339E"/>
    <w:rsid w:val="6ADE7537"/>
    <w:rsid w:val="6ADE7D03"/>
    <w:rsid w:val="6B054AC4"/>
    <w:rsid w:val="6B071338"/>
    <w:rsid w:val="6B5B46E4"/>
    <w:rsid w:val="6B696C8B"/>
    <w:rsid w:val="6B811C71"/>
    <w:rsid w:val="6B8A4FC9"/>
    <w:rsid w:val="6B8C2AEF"/>
    <w:rsid w:val="6BC90788"/>
    <w:rsid w:val="6BD31C32"/>
    <w:rsid w:val="6BF47398"/>
    <w:rsid w:val="6C152AE5"/>
    <w:rsid w:val="6C2159A8"/>
    <w:rsid w:val="6C2C7E2E"/>
    <w:rsid w:val="6C344698"/>
    <w:rsid w:val="6C557788"/>
    <w:rsid w:val="6C9C4A54"/>
    <w:rsid w:val="6CBF0CA2"/>
    <w:rsid w:val="6CCF1940"/>
    <w:rsid w:val="6CCF5389"/>
    <w:rsid w:val="6CD21441"/>
    <w:rsid w:val="6CDE737B"/>
    <w:rsid w:val="6CF44DF0"/>
    <w:rsid w:val="6D0F1C2A"/>
    <w:rsid w:val="6D347612"/>
    <w:rsid w:val="6D62749B"/>
    <w:rsid w:val="6D944B31"/>
    <w:rsid w:val="6DA22A9E"/>
    <w:rsid w:val="6DA560EA"/>
    <w:rsid w:val="6DB477EA"/>
    <w:rsid w:val="6DB70AE4"/>
    <w:rsid w:val="6DDD441D"/>
    <w:rsid w:val="6DFF5CD6"/>
    <w:rsid w:val="6E080427"/>
    <w:rsid w:val="6E0A05E3"/>
    <w:rsid w:val="6E105EB5"/>
    <w:rsid w:val="6E6F6301"/>
    <w:rsid w:val="6E8421A4"/>
    <w:rsid w:val="6E923C2D"/>
    <w:rsid w:val="6E95221A"/>
    <w:rsid w:val="6EA63845"/>
    <w:rsid w:val="6EAD16FA"/>
    <w:rsid w:val="6EBE2160"/>
    <w:rsid w:val="6EC633C8"/>
    <w:rsid w:val="6ECC76A7"/>
    <w:rsid w:val="6ED529FF"/>
    <w:rsid w:val="6EE67DB6"/>
    <w:rsid w:val="6EE80D54"/>
    <w:rsid w:val="6F036723"/>
    <w:rsid w:val="6F7E6029"/>
    <w:rsid w:val="6F953F20"/>
    <w:rsid w:val="6F9B44D6"/>
    <w:rsid w:val="6FD607DD"/>
    <w:rsid w:val="6FDB3A32"/>
    <w:rsid w:val="6FEA4288"/>
    <w:rsid w:val="6FF10085"/>
    <w:rsid w:val="6FF670D1"/>
    <w:rsid w:val="6FFA03B4"/>
    <w:rsid w:val="6FFE7D34"/>
    <w:rsid w:val="70083E48"/>
    <w:rsid w:val="701B0D3F"/>
    <w:rsid w:val="701B50A1"/>
    <w:rsid w:val="7036571F"/>
    <w:rsid w:val="704279C3"/>
    <w:rsid w:val="704E4817"/>
    <w:rsid w:val="70542388"/>
    <w:rsid w:val="705915F7"/>
    <w:rsid w:val="70795447"/>
    <w:rsid w:val="709A3F00"/>
    <w:rsid w:val="70CB40BA"/>
    <w:rsid w:val="70DE203F"/>
    <w:rsid w:val="70F058CE"/>
    <w:rsid w:val="70F92B9C"/>
    <w:rsid w:val="70FC24C5"/>
    <w:rsid w:val="71241A1C"/>
    <w:rsid w:val="715045BF"/>
    <w:rsid w:val="71915F81"/>
    <w:rsid w:val="71A072F4"/>
    <w:rsid w:val="723363A1"/>
    <w:rsid w:val="72347190"/>
    <w:rsid w:val="72430D76"/>
    <w:rsid w:val="7249173A"/>
    <w:rsid w:val="727E1833"/>
    <w:rsid w:val="727E1867"/>
    <w:rsid w:val="728E539F"/>
    <w:rsid w:val="72DF3E4C"/>
    <w:rsid w:val="72DF5BFA"/>
    <w:rsid w:val="72FC67AC"/>
    <w:rsid w:val="73275372"/>
    <w:rsid w:val="732950C8"/>
    <w:rsid w:val="73474C3F"/>
    <w:rsid w:val="7369249E"/>
    <w:rsid w:val="73697BBA"/>
    <w:rsid w:val="737A1B04"/>
    <w:rsid w:val="739A7D73"/>
    <w:rsid w:val="73BA0B1B"/>
    <w:rsid w:val="73BF0CB3"/>
    <w:rsid w:val="73E55E73"/>
    <w:rsid w:val="73FA4018"/>
    <w:rsid w:val="7431035B"/>
    <w:rsid w:val="7439758C"/>
    <w:rsid w:val="743F5C73"/>
    <w:rsid w:val="74433B4D"/>
    <w:rsid w:val="744422CE"/>
    <w:rsid w:val="744A79EB"/>
    <w:rsid w:val="7463506E"/>
    <w:rsid w:val="749347B2"/>
    <w:rsid w:val="749710DC"/>
    <w:rsid w:val="749A1F5A"/>
    <w:rsid w:val="74C74B98"/>
    <w:rsid w:val="74DD260E"/>
    <w:rsid w:val="74E7171B"/>
    <w:rsid w:val="74EC671B"/>
    <w:rsid w:val="74EE0377"/>
    <w:rsid w:val="75023E22"/>
    <w:rsid w:val="75083F0D"/>
    <w:rsid w:val="750C4CA1"/>
    <w:rsid w:val="750E0EA6"/>
    <w:rsid w:val="75265D63"/>
    <w:rsid w:val="75271DF6"/>
    <w:rsid w:val="754E52B9"/>
    <w:rsid w:val="75562A5E"/>
    <w:rsid w:val="755D72AA"/>
    <w:rsid w:val="75695C4F"/>
    <w:rsid w:val="756D53EE"/>
    <w:rsid w:val="757D42F0"/>
    <w:rsid w:val="758B02BC"/>
    <w:rsid w:val="7590142E"/>
    <w:rsid w:val="759A1973"/>
    <w:rsid w:val="75AF3FAA"/>
    <w:rsid w:val="75B65B06"/>
    <w:rsid w:val="75B81299"/>
    <w:rsid w:val="75BC5488"/>
    <w:rsid w:val="75D752AF"/>
    <w:rsid w:val="75EF084A"/>
    <w:rsid w:val="75F25C45"/>
    <w:rsid w:val="761024BB"/>
    <w:rsid w:val="76126798"/>
    <w:rsid w:val="761E4CA4"/>
    <w:rsid w:val="76377435"/>
    <w:rsid w:val="76426BCC"/>
    <w:rsid w:val="764365DE"/>
    <w:rsid w:val="764861AD"/>
    <w:rsid w:val="7657019E"/>
    <w:rsid w:val="76624936"/>
    <w:rsid w:val="76787555"/>
    <w:rsid w:val="769C3384"/>
    <w:rsid w:val="76C375E1"/>
    <w:rsid w:val="77176F12"/>
    <w:rsid w:val="772C2E30"/>
    <w:rsid w:val="772E7150"/>
    <w:rsid w:val="774C4FD9"/>
    <w:rsid w:val="774C5A91"/>
    <w:rsid w:val="77705631"/>
    <w:rsid w:val="778314D1"/>
    <w:rsid w:val="778D6AD3"/>
    <w:rsid w:val="77BF3353"/>
    <w:rsid w:val="77C163F0"/>
    <w:rsid w:val="77EC34EF"/>
    <w:rsid w:val="77F739E6"/>
    <w:rsid w:val="77FA641A"/>
    <w:rsid w:val="78280044"/>
    <w:rsid w:val="785872E1"/>
    <w:rsid w:val="78677388"/>
    <w:rsid w:val="787434CB"/>
    <w:rsid w:val="78867B34"/>
    <w:rsid w:val="788B412F"/>
    <w:rsid w:val="78A25ED8"/>
    <w:rsid w:val="78A65D5F"/>
    <w:rsid w:val="78CF66CA"/>
    <w:rsid w:val="78D83818"/>
    <w:rsid w:val="78DA7590"/>
    <w:rsid w:val="78F244F2"/>
    <w:rsid w:val="78FB7506"/>
    <w:rsid w:val="791B1956"/>
    <w:rsid w:val="792273F9"/>
    <w:rsid w:val="79276766"/>
    <w:rsid w:val="792B62DE"/>
    <w:rsid w:val="799E27B4"/>
    <w:rsid w:val="79C43D9C"/>
    <w:rsid w:val="79DF2984"/>
    <w:rsid w:val="79E41D48"/>
    <w:rsid w:val="79F32298"/>
    <w:rsid w:val="79FA5A10"/>
    <w:rsid w:val="7A0E5017"/>
    <w:rsid w:val="7A5C43E5"/>
    <w:rsid w:val="7A770E0E"/>
    <w:rsid w:val="7AA634A2"/>
    <w:rsid w:val="7AB45BBF"/>
    <w:rsid w:val="7AB74D07"/>
    <w:rsid w:val="7AD712FB"/>
    <w:rsid w:val="7AE75F94"/>
    <w:rsid w:val="7AF95CC7"/>
    <w:rsid w:val="7B230961"/>
    <w:rsid w:val="7B3B3DCD"/>
    <w:rsid w:val="7B53443D"/>
    <w:rsid w:val="7BBD2838"/>
    <w:rsid w:val="7BC23720"/>
    <w:rsid w:val="7BE61DA8"/>
    <w:rsid w:val="7BF829AA"/>
    <w:rsid w:val="7C035E38"/>
    <w:rsid w:val="7C367375"/>
    <w:rsid w:val="7C482A62"/>
    <w:rsid w:val="7C555EFF"/>
    <w:rsid w:val="7C5E5DE2"/>
    <w:rsid w:val="7C790E6E"/>
    <w:rsid w:val="7C7B27EB"/>
    <w:rsid w:val="7C905063"/>
    <w:rsid w:val="7C9212DF"/>
    <w:rsid w:val="7CA83501"/>
    <w:rsid w:val="7CAF0A58"/>
    <w:rsid w:val="7D0C34C4"/>
    <w:rsid w:val="7D527FA6"/>
    <w:rsid w:val="7D641B1E"/>
    <w:rsid w:val="7D9E52AE"/>
    <w:rsid w:val="7DAF3C2E"/>
    <w:rsid w:val="7DDB2D05"/>
    <w:rsid w:val="7DDC16B6"/>
    <w:rsid w:val="7E0B6ACB"/>
    <w:rsid w:val="7E0C7AC0"/>
    <w:rsid w:val="7E152E18"/>
    <w:rsid w:val="7E426278"/>
    <w:rsid w:val="7E6478FC"/>
    <w:rsid w:val="7E7029CD"/>
    <w:rsid w:val="7E825C71"/>
    <w:rsid w:val="7E952BC4"/>
    <w:rsid w:val="7E953F59"/>
    <w:rsid w:val="7E980196"/>
    <w:rsid w:val="7E9C7095"/>
    <w:rsid w:val="7EAD236E"/>
    <w:rsid w:val="7EB443DF"/>
    <w:rsid w:val="7ECF2FC7"/>
    <w:rsid w:val="7EF0118F"/>
    <w:rsid w:val="7F17671C"/>
    <w:rsid w:val="7F1D01D6"/>
    <w:rsid w:val="7F480A5D"/>
    <w:rsid w:val="7F595260"/>
    <w:rsid w:val="7F5F07EF"/>
    <w:rsid w:val="7F645E05"/>
    <w:rsid w:val="7F761695"/>
    <w:rsid w:val="7F78540D"/>
    <w:rsid w:val="7F7973D7"/>
    <w:rsid w:val="7F906B71"/>
    <w:rsid w:val="7F9701D2"/>
    <w:rsid w:val="7FA722B7"/>
    <w:rsid w:val="7FAC50B6"/>
    <w:rsid w:val="7FC76394"/>
    <w:rsid w:val="7FD83478"/>
    <w:rsid w:val="7FFD5912"/>
  </w:rsids>
  <m:mathPr>
    <m:mathFont m:val="Times New Roman"/>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iPriority="99"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宋体" w:eastAsiaTheme="minorEastAsia"/>
      <w:kern w:val="2"/>
      <w:sz w:val="24"/>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qFormat/>
    <w:uiPriority w:val="0"/>
  </w:style>
  <w:style w:type="paragraph" w:styleId="10">
    <w:name w:val="Subtitle"/>
    <w:basedOn w:val="1"/>
    <w:next w:val="1"/>
    <w:unhideWhenUsed/>
    <w:qFormat/>
    <w:uiPriority w:val="99"/>
    <w:pPr>
      <w:spacing w:before="240"/>
    </w:pPr>
    <w:rPr>
      <w:rFonts w:cs="Times New Roman"/>
      <w:b/>
    </w:rPr>
  </w:style>
  <w:style w:type="paragraph" w:styleId="11">
    <w:name w:val="toc 2"/>
    <w:basedOn w:val="1"/>
    <w:next w:val="1"/>
    <w:qFormat/>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rPr>
  </w:style>
  <w:style w:type="paragraph" w:styleId="13">
    <w:name w:val="Normal (Web)"/>
    <w:basedOn w:val="1"/>
    <w:qFormat/>
    <w:uiPriority w:val="0"/>
    <w:pPr>
      <w:spacing w:beforeAutospacing="1" w:afterAutospacing="1"/>
      <w:jc w:val="left"/>
    </w:pPr>
    <w:rPr>
      <w:rFonts w:cs="Times New Roman"/>
      <w:kern w:val="0"/>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Emphasis"/>
    <w:basedOn w:val="16"/>
    <w:qFormat/>
    <w:uiPriority w:val="0"/>
    <w:rPr>
      <w:i/>
    </w:rPr>
  </w:style>
  <w:style w:type="character" w:styleId="19">
    <w:name w:val="line number"/>
    <w:basedOn w:val="16"/>
    <w:qFormat/>
    <w:uiPriority w:val="0"/>
  </w:style>
  <w:style w:type="character" w:styleId="20">
    <w:name w:val="Hyperlink"/>
    <w:basedOn w:val="16"/>
    <w:qFormat/>
    <w:uiPriority w:val="0"/>
    <w:rPr>
      <w:color w:val="0000FF"/>
      <w:u w:val="single"/>
    </w:rPr>
  </w:style>
  <w:style w:type="character" w:styleId="21">
    <w:name w:val="HTML Code"/>
    <w:basedOn w:val="16"/>
    <w:qFormat/>
    <w:uiPriority w:val="0"/>
    <w:rPr>
      <w:rFonts w:ascii="Courier New" w:hAnsi="Courier New"/>
      <w:sz w:val="20"/>
    </w:rPr>
  </w:style>
  <w:style w:type="paragraph" w:customStyle="1" w:styleId="22">
    <w:name w:val="公式"/>
    <w:basedOn w:val="1"/>
    <w:link w:val="23"/>
    <w:qFormat/>
    <w:uiPriority w:val="0"/>
    <w:pPr>
      <w:numPr>
        <w:ilvl w:val="0"/>
        <w:numId w:val="1"/>
      </w:numPr>
      <w:tabs>
        <w:tab w:val="center" w:pos="4150"/>
        <w:tab w:val="right" w:pos="8301"/>
      </w:tabs>
      <w:textAlignment w:val="center"/>
    </w:pPr>
    <w:rPr>
      <w:rFonts w:eastAsia="宋体" w:cs="Times New Roman"/>
      <w:color w:val="000000" w:themeColor="text1"/>
      <w14:textFill>
        <w14:solidFill>
          <w14:schemeClr w14:val="tx1"/>
        </w14:solidFill>
      </w14:textFill>
    </w:rPr>
  </w:style>
  <w:style w:type="character" w:customStyle="1" w:styleId="23">
    <w:name w:val="公式 字符"/>
    <w:basedOn w:val="16"/>
    <w:link w:val="22"/>
    <w:qFormat/>
    <w:uiPriority w:val="0"/>
    <w:rPr>
      <w:color w:val="000000" w:themeColor="text1"/>
      <w:kern w:val="2"/>
      <w:sz w:val="24"/>
      <w:szCs w:val="24"/>
      <w14:textFill>
        <w14:solidFill>
          <w14:schemeClr w14:val="tx1"/>
        </w14:solidFill>
      </w14:textFill>
    </w:rPr>
  </w:style>
  <w:style w:type="paragraph" w:customStyle="1" w:styleId="24">
    <w:name w:val="Author List"/>
    <w:basedOn w:val="10"/>
    <w:next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E818DA-A3F2-4FBA-A3F4-18A529E5E905}">
  <ds:schemaRefs/>
</ds:datastoreItem>
</file>

<file path=docProps/app.xml><?xml version="1.0" encoding="utf-8"?>
<Properties xmlns="http://schemas.openxmlformats.org/officeDocument/2006/extended-properties" xmlns:vt="http://schemas.openxmlformats.org/officeDocument/2006/docPropsVTypes">
  <Template>Normal.dotm</Template>
  <Pages>53</Pages>
  <Words>7927</Words>
  <Characters>53059</Characters>
  <Lines>1235</Lines>
  <Paragraphs>340</Paragraphs>
  <TotalTime>48</TotalTime>
  <ScaleCrop>false</ScaleCrop>
  <LinksUpToDate>false</LinksUpToDate>
  <CharactersWithSpaces>60780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2025-05-22T07:26:00Z</dcterms:created>
  <dc:creator>．</dc:creator>
  <cp:lastModifiedBy>jinglanzhang</cp:lastModifiedBy>
  <dcterms:modified xsi:type="dcterms:W3CDTF">2026-03-18T08:56:37Z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D897C8F6CACF4A4DB31413D4CFFFB78D_13</vt:lpwstr>
  </property>
  <property fmtid="{D5CDD505-2E9C-101B-9397-08002B2CF9AE}" pid="4" name="KSOTemplateDocerSaveRecord">
    <vt:lpwstr>eyJoZGlkIjoiMTQ0OGI2NjFiNzFjZWIzOGYwNDk2OWNkNTNmMzRlNDYiLCJ1c2VySWQiOiI2MzI0NjUyMTAifQ==</vt:lpwstr>
  </property>
</Properties>
</file>