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3976" w:rsidRDefault="00813E5D">
      <w:pPr>
        <w:pStyle w:val="Heading1"/>
      </w:pPr>
      <w:bookmarkStart w:id="0" w:name="_GoBack"/>
      <w:bookmarkEnd w:id="0"/>
      <w:r>
        <w:t>Reviewer Report</w:t>
      </w:r>
    </w:p>
    <w:p w:rsidR="004A3976" w:rsidRDefault="004A3976"/>
    <w:p w:rsidR="004A3976" w:rsidRDefault="00813E5D">
      <w:r>
        <w:t>Manuscript title:</w:t>
      </w:r>
    </w:p>
    <w:p w:rsidR="004A3976" w:rsidRDefault="00813E5D">
      <w:r>
        <w:t>Few-Shot Prediction of Post-Fusion Acute Kidney Injury Using Multimodal Radiomics–Clinical Feature-Based Prototype Networks</w:t>
      </w:r>
    </w:p>
    <w:p w:rsidR="004A3976" w:rsidRDefault="004A3976"/>
    <w:p w:rsidR="004A3976" w:rsidRDefault="00813E5D">
      <w:r>
        <w:t>GENERAL ASSESSMENT</w:t>
      </w:r>
    </w:p>
    <w:p w:rsidR="004A3976" w:rsidRDefault="00813E5D">
      <w:r>
        <w:t>This manuscript addresses an important and clinically relevant issue: the early prediction of postoperative acute kidney injury (AKI) following laparoscopic renal surgery. The authors propose a sophisticated multimodal framework combining clinical and imaging data using few-shot learning and prototypical networks. The topic is timely and of interest; however, several methodological and clinical limitations currently restrict the robustness and generalizability of the findings.</w:t>
      </w:r>
    </w:p>
    <w:p w:rsidR="004A3976" w:rsidRDefault="004A3976"/>
    <w:p w:rsidR="004A3976" w:rsidRDefault="00813E5D">
      <w:r>
        <w:t>MAJOR COMMENTS</w:t>
      </w:r>
    </w:p>
    <w:p w:rsidR="004A3976" w:rsidRDefault="004A3976"/>
    <w:p w:rsidR="004A3976" w:rsidRDefault="00813E5D">
      <w:r>
        <w:t>1. External validity and overfitting</w:t>
      </w:r>
    </w:p>
    <w:p w:rsidR="004A3976" w:rsidRDefault="00813E5D">
      <w:r>
        <w:t>The study is based on a single-center retrospective cohort with a limited sample size (n=194). Despite the use of few-shot learning, the complexity of the proposed architecture raises concerns regarding overfitting. The absence of external or temporal validation significantly limits generalizability.</w:t>
      </w:r>
    </w:p>
    <w:p w:rsidR="004A3976" w:rsidRDefault="004A3976"/>
    <w:p w:rsidR="004A3976" w:rsidRDefault="00813E5D">
      <w:r>
        <w:t>2. Incomplete clinical variables</w:t>
      </w:r>
    </w:p>
    <w:p w:rsidR="004A3976" w:rsidRDefault="00813E5D">
      <w:r>
        <w:t>The model relies exclusively on preoperative variables. Key intraoperative determinants of postoperative AKI (warm ischemia time, pneumoperitoneum pressure, intraoperative hypotension, blood loss) are not included. Some selected variables have weak physiological links to AKI.</w:t>
      </w:r>
    </w:p>
    <w:p w:rsidR="004A3976" w:rsidRDefault="004A3976"/>
    <w:p w:rsidR="004A3976" w:rsidRDefault="00813E5D">
      <w:r>
        <w:t>3. Model complexity</w:t>
      </w:r>
    </w:p>
    <w:p w:rsidR="004A3976" w:rsidRDefault="00813E5D">
      <w:r>
        <w:lastRenderedPageBreak/>
        <w:t>The accumulation of multiple advanced mechanisms (multimodal fusion, multi-prototype clustering, pseudo-sample generation, multiple loss functions) appears disproportionate to the sample size and may limit reproducibility and clinical translation.</w:t>
      </w:r>
    </w:p>
    <w:p w:rsidR="004A3976" w:rsidRDefault="004A3976"/>
    <w:p w:rsidR="004A3976" w:rsidRDefault="00813E5D">
      <w:r>
        <w:t>4. Baseline model comparison</w:t>
      </w:r>
    </w:p>
    <w:p w:rsidR="004A3976" w:rsidRDefault="00813E5D">
      <w:r>
        <w:t>The clinical-only model demonstrates poor performance. Comparisons with optimized classical models (e.g., penalized regression or gradient boosting) are lacking and would strengthen the manuscript.</w:t>
      </w:r>
    </w:p>
    <w:p w:rsidR="004A3976" w:rsidRDefault="004A3976"/>
    <w:p w:rsidR="004A3976" w:rsidRDefault="00813E5D">
      <w:r>
        <w:t>5. Clinical evaluation</w:t>
      </w:r>
    </w:p>
    <w:p w:rsidR="004A3976" w:rsidRDefault="00813E5D">
      <w:r>
        <w:t>Calibration metrics and decision-curve analysis are not provided. The clinical implications of the selected decision threshold are insufficiently discussed.</w:t>
      </w:r>
    </w:p>
    <w:p w:rsidR="004A3976" w:rsidRDefault="004A3976"/>
    <w:p w:rsidR="004A3976" w:rsidRDefault="00813E5D">
      <w:r>
        <w:t>MINOR COMMENTS</w:t>
      </w:r>
    </w:p>
    <w:p w:rsidR="004A3976" w:rsidRDefault="004A3976"/>
    <w:p w:rsidR="004A3976" w:rsidRDefault="00813E5D">
      <w:r>
        <w:t>- The manuscript remains lengthy and could benefit from further condensation.</w:t>
      </w:r>
    </w:p>
    <w:p w:rsidR="004A3976" w:rsidRDefault="00813E5D">
      <w:r>
        <w:t>- Claims regarding clinical utility should be further tempered.</w:t>
      </w:r>
    </w:p>
    <w:p w:rsidR="004A3976" w:rsidRDefault="00813E5D">
      <w:r>
        <w:t>- SHAP analysis is descriptive and should be cautiously interpreted.</w:t>
      </w:r>
    </w:p>
    <w:p w:rsidR="004A3976" w:rsidRDefault="00813E5D">
      <w:r>
        <w:t>- Figures and legends could be simplified.</w:t>
      </w:r>
    </w:p>
    <w:p w:rsidR="004A3976" w:rsidRDefault="004A3976"/>
    <w:sectPr w:rsidR="004A397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36942"/>
    <w:rsid w:val="0006063C"/>
    <w:rsid w:val="0015074B"/>
    <w:rsid w:val="0029639D"/>
    <w:rsid w:val="00326F90"/>
    <w:rsid w:val="004A3976"/>
    <w:rsid w:val="00813E5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361E27-B001-4F26-8798-94209E8243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340</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2026-01-31T23:17:00Z</dcterms:created>
  <dcterms:modified xsi:type="dcterms:W3CDTF">2026-01-31T23:17:00Z</dcterms:modified>
  <cp:category/>
</cp:coreProperties>
</file>