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195BE">
      <w:pPr>
        <w:spacing w:line="480" w:lineRule="auto"/>
        <w:rPr>
          <w:rFonts w:hint="default" w:ascii="Times New Roman" w:hAnsi="Times New Roman" w:cs="Times New Roman"/>
          <w:b/>
          <w:bCs/>
          <w:sz w:val="36"/>
          <w:szCs w:val="36"/>
        </w:rPr>
      </w:pPr>
      <w:r>
        <w:rPr>
          <w:rFonts w:hint="default" w:ascii="Times New Roman" w:hAnsi="Times New Roman" w:cs="Times New Roman"/>
          <w:b/>
          <w:bCs/>
          <w:sz w:val="36"/>
          <w:szCs w:val="36"/>
        </w:rPr>
        <w:t>Supporting information</w:t>
      </w:r>
    </w:p>
    <w:p w14:paraId="3806C5D3">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S1 Appendix. Data imputation and standardization.</w:t>
      </w:r>
    </w:p>
    <w:p w14:paraId="6A7078CF">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Missing preoperative clinical values were replaced with column-wise medians to preserve sample size and reduce the influence of outliers. Comparative studies have shown that median imputation performs comparably to more complex multiple imputation methods. To further mitigate potential overfitting from fixed imputed values, the prototype network adopted episodic training, dynamically reorganizing support sets to expose the model to varied sample combinations.</w:t>
      </w:r>
    </w:p>
    <w:p w14:paraId="792D4642">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After imputation, predefined clinical variables were standardized using scikit-learn’s StandardScaler, which computed the mean and standard deviation on the training set and transformed all variables to a standard normal distribution (zero mean and unit variance). This normalization eliminated scale disparities, stabilized training, and improved model convergence and generalization.</w:t>
      </w:r>
    </w:p>
    <w:p w14:paraId="6E775DCF">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ensure reproducibility, the normalization parameters were serialized and reused during inference, completing the preprocessing pipeline from raw clinical data to model-ready inputs.</w:t>
      </w:r>
    </w:p>
    <w:p w14:paraId="276E3E4C">
      <w:pPr>
        <w:spacing w:line="480" w:lineRule="auto"/>
        <w:rPr>
          <w:rFonts w:hint="default" w:ascii="Times New Roman" w:hAnsi="Times New Roman" w:eastAsia="宋体" w:cs="Times New Roman"/>
        </w:rPr>
      </w:pPr>
    </w:p>
    <w:p w14:paraId="2DE95C83">
      <w:pPr>
        <w:spacing w:line="480" w:lineRule="auto"/>
        <w:rPr>
          <w:rFonts w:hint="default" w:ascii="Times New Roman" w:hAnsi="Times New Roman" w:cs="Times New Roman"/>
          <w:b/>
          <w:bCs/>
          <w:sz w:val="28"/>
          <w:szCs w:val="28"/>
        </w:rPr>
      </w:pPr>
    </w:p>
    <w:p w14:paraId="591F438C">
      <w:pPr>
        <w:spacing w:line="480" w:lineRule="auto"/>
        <w:rPr>
          <w:rFonts w:hint="default" w:ascii="Times New Roman" w:hAnsi="Times New Roman" w:cs="Times New Roman"/>
          <w:b/>
          <w:bCs/>
          <w:sz w:val="28"/>
          <w:szCs w:val="28"/>
        </w:rPr>
      </w:pPr>
    </w:p>
    <w:p w14:paraId="166925D6">
      <w:pPr>
        <w:spacing w:line="480" w:lineRule="auto"/>
        <w:rPr>
          <w:rFonts w:hint="default" w:ascii="Times New Roman" w:hAnsi="Times New Roman" w:cs="Times New Roman"/>
          <w:b/>
          <w:bCs/>
          <w:sz w:val="28"/>
          <w:szCs w:val="28"/>
        </w:rPr>
      </w:pPr>
    </w:p>
    <w:p w14:paraId="3EF54F00">
      <w:pPr>
        <w:spacing w:line="480" w:lineRule="auto"/>
        <w:rPr>
          <w:rFonts w:hint="default" w:ascii="Times New Roman" w:hAnsi="Times New Roman" w:cs="Times New Roman"/>
          <w:b/>
          <w:bCs/>
          <w:sz w:val="28"/>
          <w:szCs w:val="28"/>
        </w:rPr>
      </w:pPr>
    </w:p>
    <w:p w14:paraId="7755CCA1">
      <w:pPr>
        <w:spacing w:line="480" w:lineRule="auto"/>
        <w:rPr>
          <w:rFonts w:hint="default" w:ascii="Times New Roman" w:hAnsi="Times New Roman" w:cs="Times New Roman"/>
          <w:b/>
          <w:bCs/>
          <w:sz w:val="28"/>
          <w:szCs w:val="28"/>
          <w:lang w:val="en-US" w:eastAsia="zh-CN"/>
        </w:rPr>
      </w:pPr>
    </w:p>
    <w:p w14:paraId="2CDD3142">
      <w:pPr>
        <w:spacing w:line="480" w:lineRule="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b/>
          <w:bCs/>
          <w:sz w:val="24"/>
          <w:szCs w:val="24"/>
          <w:lang w:val="en-US" w:eastAsia="zh-CN"/>
        </w:rPr>
        <w:t>S2 Appendix. Data Augmentation, Class Balancing, and Feature Extraction</w:t>
      </w:r>
    </w:p>
    <w:p w14:paraId="7714B389">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address the pronounced imbalance between AKI-positive (n=132) and negative (n=62) cases, two complementary augmentation strategies were designed for image and tabular modalities within the multimodal framework.</w:t>
      </w:r>
    </w:p>
    <w:p w14:paraId="2406098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In the image branch, regions of interest (ROIs) were cropped from YOLO-based annotations and rescaled to original pixel dimensions. Lightweight geometric and luminance transformations—including small random rotations (±5°), horizontal flips, and brightness/contrast adjustments—were applied online before resizing all images to 224×224 pixels. A pretrained ResNet-50 (with its classification head removed) was then used to extract 2048-dimensional deep features for downstream fusion. These procedures expanded data diversity and enhanced model generalization under limited-sample conditions.</w:t>
      </w:r>
    </w:p>
    <w:p w14:paraId="7858D5D9">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In the tabular branch, a SMOTE-inspired interpolation strategy was adopted to enrich the minority class. Positive samples were randomly paired and linearly interpolated within a normalized feature space to synthesize realistic minority examples, while negative samples were interpolated along the prototype network’s decision boundary to generate harder negatives. During training, a WeightedRandomSampler and class-weighted loss function were jointly employed to balance class distributions and improve sensitivity to AKI cases.</w:t>
      </w:r>
    </w:p>
    <w:p w14:paraId="2E676C80">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Furthermore, to improve semantic consistency across modalities and overcome the instability of traditional feature-space generation methods (e.g., GAN or Mixup), we introduced an anchor-based pseudo-sample generation strategy (Fig. 2). This three-step approach involved:</w:t>
      </w:r>
    </w:p>
    <w:p w14:paraId="55067D07">
      <w:pPr>
        <w:numPr>
          <w:ilvl w:val="0"/>
          <w:numId w:val="1"/>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Generating diversified pseudo-samples using AnchorFeatureGenerator initialized from SwAV-pretrained anchor vectors and random noise;</w:t>
      </w:r>
    </w:p>
    <w:p w14:paraId="635959C7">
      <w:pPr>
        <w:numPr>
          <w:ilvl w:val="0"/>
          <w:numId w:val="1"/>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Calculating Euclidean distances among standardized negative-class features to derive an adaptive interpolation threshold (25th percentile);</w:t>
      </w:r>
    </w:p>
    <w:p w14:paraId="0645A7E0">
      <w:pPr>
        <w:numPr>
          <w:ilvl w:val="0"/>
          <w:numId w:val="1"/>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Mixing pseudo-samples with real negative samples for multi-prototype construction and loss computation.</w:t>
      </w:r>
    </w:p>
    <w:p w14:paraId="37C04511">
      <w:pPr>
        <w:spacing w:line="48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This strategy effectively expanded the coverage of the negative-class feature space, enhanced sample diversity, and improved model interpretability.</w:t>
      </w:r>
    </w:p>
    <w:p w14:paraId="59E941CA">
      <w:pPr>
        <w:spacing w:line="480" w:lineRule="auto"/>
        <w:ind w:firstLine="420"/>
        <w:rPr>
          <w:rFonts w:hint="default" w:ascii="Times New Roman" w:hAnsi="Times New Roman" w:eastAsia="宋体" w:cs="Times New Roman"/>
        </w:rPr>
      </w:pPr>
    </w:p>
    <w:p w14:paraId="0B5CD961">
      <w:pPr>
        <w:spacing w:line="480" w:lineRule="auto"/>
        <w:rPr>
          <w:rFonts w:hint="default" w:ascii="Times New Roman" w:hAnsi="Times New Roman" w:cs="Times New Roman"/>
          <w:b/>
          <w:bCs/>
          <w:sz w:val="28"/>
          <w:szCs w:val="28"/>
        </w:rPr>
      </w:pPr>
    </w:p>
    <w:p w14:paraId="74FC8F13">
      <w:pPr>
        <w:spacing w:line="480" w:lineRule="auto"/>
        <w:rPr>
          <w:rFonts w:hint="default" w:ascii="Times New Roman" w:hAnsi="Times New Roman" w:eastAsia="宋体" w:cs="Times New Roman"/>
        </w:rPr>
      </w:pPr>
    </w:p>
    <w:p w14:paraId="5F214BD2">
      <w:pPr>
        <w:spacing w:line="480" w:lineRule="auto"/>
        <w:ind w:firstLine="420"/>
        <w:rPr>
          <w:rFonts w:hint="default" w:ascii="Times New Roman" w:hAnsi="Times New Roman" w:eastAsia="宋体" w:cs="Times New Roman"/>
        </w:rPr>
      </w:pPr>
    </w:p>
    <w:p w14:paraId="670F39BC">
      <w:pPr>
        <w:spacing w:line="480" w:lineRule="auto"/>
        <w:rPr>
          <w:rFonts w:hint="default" w:ascii="Times New Roman" w:hAnsi="Times New Roman" w:cs="Times New Roman"/>
          <w:b w:val="0"/>
          <w:bCs w:val="0"/>
          <w:sz w:val="24"/>
          <w:szCs w:val="24"/>
        </w:rPr>
      </w:pPr>
    </w:p>
    <w:p w14:paraId="10353DC8">
      <w:pPr>
        <w:spacing w:line="480" w:lineRule="auto"/>
        <w:rPr>
          <w:rFonts w:hint="default" w:ascii="Times New Roman" w:hAnsi="Times New Roman" w:cs="Times New Roman"/>
          <w:b w:val="0"/>
          <w:bCs w:val="0"/>
          <w:sz w:val="24"/>
          <w:szCs w:val="24"/>
        </w:rPr>
      </w:pPr>
    </w:p>
    <w:p w14:paraId="59FEF550">
      <w:pPr>
        <w:spacing w:line="480" w:lineRule="auto"/>
        <w:rPr>
          <w:rFonts w:hint="default" w:ascii="Times New Roman" w:hAnsi="Times New Roman" w:cs="Times New Roman"/>
          <w:b w:val="0"/>
          <w:bCs w:val="0"/>
          <w:sz w:val="24"/>
          <w:szCs w:val="24"/>
        </w:rPr>
      </w:pPr>
    </w:p>
    <w:p w14:paraId="7AA37972">
      <w:pPr>
        <w:spacing w:line="480" w:lineRule="auto"/>
        <w:rPr>
          <w:rFonts w:hint="default" w:ascii="Times New Roman" w:hAnsi="Times New Roman" w:cs="Times New Roman"/>
          <w:b w:val="0"/>
          <w:bCs w:val="0"/>
          <w:sz w:val="24"/>
          <w:szCs w:val="24"/>
        </w:rPr>
      </w:pPr>
    </w:p>
    <w:p w14:paraId="0FA7738A">
      <w:pPr>
        <w:spacing w:line="480" w:lineRule="auto"/>
        <w:rPr>
          <w:rFonts w:hint="default" w:ascii="Times New Roman" w:hAnsi="Times New Roman" w:cs="Times New Roman"/>
          <w:b w:val="0"/>
          <w:bCs w:val="0"/>
          <w:sz w:val="24"/>
          <w:szCs w:val="24"/>
        </w:rPr>
      </w:pPr>
    </w:p>
    <w:p w14:paraId="545E5160">
      <w:pPr>
        <w:spacing w:line="480" w:lineRule="auto"/>
        <w:rPr>
          <w:rFonts w:hint="default" w:ascii="Times New Roman" w:hAnsi="Times New Roman" w:cs="Times New Roman"/>
          <w:b w:val="0"/>
          <w:bCs w:val="0"/>
          <w:sz w:val="24"/>
          <w:szCs w:val="24"/>
        </w:rPr>
      </w:pPr>
    </w:p>
    <w:p w14:paraId="2166D99F">
      <w:pPr>
        <w:spacing w:line="480" w:lineRule="auto"/>
        <w:rPr>
          <w:rFonts w:hint="default" w:ascii="Times New Roman" w:hAnsi="Times New Roman" w:cs="Times New Roman"/>
          <w:b w:val="0"/>
          <w:bCs w:val="0"/>
          <w:sz w:val="24"/>
          <w:szCs w:val="24"/>
        </w:rPr>
      </w:pPr>
    </w:p>
    <w:p w14:paraId="0A36D5ED">
      <w:pPr>
        <w:spacing w:line="480" w:lineRule="auto"/>
        <w:rPr>
          <w:rFonts w:hint="default" w:ascii="Times New Roman" w:hAnsi="Times New Roman" w:cs="Times New Roman"/>
          <w:b w:val="0"/>
          <w:bCs w:val="0"/>
          <w:sz w:val="24"/>
          <w:szCs w:val="24"/>
        </w:rPr>
      </w:pPr>
    </w:p>
    <w:p w14:paraId="29E05118">
      <w:pPr>
        <w:spacing w:line="480" w:lineRule="auto"/>
        <w:rPr>
          <w:rFonts w:hint="default" w:ascii="Times New Roman" w:hAnsi="Times New Roman" w:cs="Times New Roman"/>
          <w:b w:val="0"/>
          <w:bCs w:val="0"/>
          <w:sz w:val="24"/>
          <w:szCs w:val="24"/>
        </w:rPr>
      </w:pPr>
    </w:p>
    <w:p w14:paraId="1A9CFCDE">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S3 Appendix. Detailed Design of the Feature Extraction Module</w:t>
      </w:r>
    </w:p>
    <w:p w14:paraId="58B03755">
      <w:pPr>
        <w:numPr>
          <w:ilvl w:val="0"/>
          <w:numId w:val="1"/>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S3.1 Image Feature Encoder</w:t>
      </w:r>
      <w:r>
        <w:rPr>
          <w:rFonts w:hint="eastAsia" w:eastAsia="宋体" w:cs="Times New Roman"/>
          <w:b/>
          <w:bCs/>
          <w:lang w:val="en-US" w:eastAsia="zh-CN"/>
        </w:rPr>
        <w:t xml:space="preserve">: </w:t>
      </w:r>
      <w:r>
        <w:rPr>
          <w:rFonts w:hint="default" w:ascii="Times New Roman" w:hAnsi="Times New Roman" w:eastAsia="宋体" w:cs="Times New Roman"/>
        </w:rPr>
        <w:t>A pretrained ResNet-50 model is used as the visual backbone. The final classification layer is removed and global average pooling (GAP) is retained to produce 2048-dimensional feature vectors.</w:t>
      </w:r>
      <w:r>
        <w:rPr>
          <w:rFonts w:hint="default" w:ascii="Times New Roman" w:hAnsi="Times New Roman" w:eastAsia="宋体" w:cs="Times New Roman"/>
        </w:rPr>
        <w:br w:type="textWrapping"/>
      </w:r>
      <w:r>
        <w:rPr>
          <w:rFonts w:hint="default" w:ascii="Times New Roman" w:hAnsi="Times New Roman" w:eastAsia="宋体" w:cs="Times New Roman"/>
        </w:rPr>
        <w:t>For ROI cropping based on YOLO annotations, normalized bounding-box coordinates are converted to pixel coordinates; the cropped regions are then uniformly resized to 224×224.</w:t>
      </w:r>
    </w:p>
    <w:p w14:paraId="03FB6C4F">
      <w:pPr>
        <w:numPr>
          <w:ilvl w:val="0"/>
          <w:numId w:val="1"/>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S3.2 Tabular Feature Encoder</w:t>
      </w:r>
      <w:r>
        <w:rPr>
          <w:rFonts w:hint="eastAsia" w:eastAsia="宋体" w:cs="Times New Roman"/>
          <w:b/>
          <w:bCs/>
          <w:lang w:val="en-US" w:eastAsia="zh-CN"/>
        </w:rPr>
        <w:t xml:space="preserve">: </w:t>
      </w:r>
      <w:r>
        <w:rPr>
          <w:rFonts w:hint="default" w:ascii="Times New Roman" w:hAnsi="Times New Roman" w:eastAsia="宋体" w:cs="Times New Roman"/>
        </w:rPr>
        <w:t>The encoder adopts a two-layer multilayer perceptron (MLP), with each layer consisting of a linear transformation, ReLU activation, and Dropout (drop</w:t>
      </w:r>
      <w:r>
        <w:rPr>
          <w:rFonts w:hint="eastAsia" w:eastAsia="宋体" w:cs="Times New Roman"/>
          <w:lang w:val="en-US" w:eastAsia="zh-CN"/>
        </w:rPr>
        <w:t>out</w:t>
      </w:r>
      <w:r>
        <w:rPr>
          <w:rFonts w:hint="default" w:ascii="Times New Roman" w:hAnsi="Times New Roman" w:eastAsia="宋体" w:cs="Times New Roman"/>
        </w:rPr>
        <w:t xml:space="preserve"> rate = 0.2).</w:t>
      </w:r>
      <w:r>
        <w:rPr>
          <w:rFonts w:hint="default" w:ascii="Times New Roman" w:hAnsi="Times New Roman" w:eastAsia="宋体" w:cs="Times New Roman"/>
        </w:rPr>
        <w:br w:type="textWrapping"/>
      </w:r>
      <w:r>
        <w:rPr>
          <w:rFonts w:hint="default" w:ascii="Times New Roman" w:hAnsi="Times New Roman" w:eastAsia="宋体" w:cs="Times New Roman"/>
        </w:rPr>
        <w:t>The inputs are Z-score–standardized clinical features. The first layer maps the original dimensionality to 128 dimensions, and the second layer performs a nonlinear transformation within the same dimensional space.</w:t>
      </w:r>
      <w:r>
        <w:rPr>
          <w:rFonts w:hint="default" w:ascii="Times New Roman" w:hAnsi="Times New Roman" w:eastAsia="宋体" w:cs="Times New Roman"/>
        </w:rPr>
        <w:br w:type="textWrapping"/>
      </w:r>
      <w:r>
        <w:rPr>
          <w:rFonts w:hint="default" w:ascii="Times New Roman" w:hAnsi="Times New Roman" w:eastAsia="宋体" w:cs="Times New Roman"/>
        </w:rPr>
        <w:t>This design aims to enhance feature expressiveness while mitigating overfitting in small-sample scenarios.</w:t>
      </w:r>
    </w:p>
    <w:p w14:paraId="17BAC502">
      <w:pPr>
        <w:numPr>
          <w:ilvl w:val="0"/>
          <w:numId w:val="1"/>
        </w:numPr>
        <w:spacing w:line="480" w:lineRule="auto"/>
        <w:ind w:left="420" w:leftChars="0" w:hanging="420" w:firstLineChars="0"/>
        <w:rPr>
          <w:rFonts w:hint="default" w:ascii="Times New Roman" w:hAnsi="Times New Roman" w:eastAsia="宋体" w:cs="Times New Roman"/>
          <w:b/>
          <w:bCs/>
        </w:rPr>
      </w:pPr>
      <w:r>
        <w:rPr>
          <w:rFonts w:hint="default" w:ascii="Times New Roman" w:hAnsi="Times New Roman" w:eastAsia="宋体" w:cs="Times New Roman"/>
          <w:b/>
          <w:bCs/>
        </w:rPr>
        <w:t>S3.3 Module Parameters and Compatibility</w:t>
      </w:r>
    </w:p>
    <w:p w14:paraId="0E401396">
      <w:pPr>
        <w:spacing w:line="48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Output dimensionality of the image encoder: 2048</w:t>
      </w:r>
    </w:p>
    <w:p w14:paraId="42DB78E0">
      <w:pPr>
        <w:spacing w:line="48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Output dimensionality of the tabular encoder: 128</w:t>
      </w:r>
      <w:r>
        <w:rPr>
          <w:rFonts w:hint="default" w:ascii="Times New Roman" w:hAnsi="Times New Roman" w:eastAsia="宋体" w:cs="Times New Roman"/>
        </w:rPr>
        <w:br w:type="textWrapping"/>
      </w:r>
      <w:r>
        <w:rPr>
          <w:rFonts w:hint="default" w:ascii="Times New Roman" w:hAnsi="Times New Roman" w:eastAsia="宋体" w:cs="Times New Roman"/>
          <w:lang w:val="en-US" w:eastAsia="zh-CN"/>
        </w:rPr>
        <w:tab/>
      </w:r>
      <w:r>
        <w:rPr>
          <w:rFonts w:hint="default" w:ascii="Times New Roman" w:hAnsi="Times New Roman" w:eastAsia="宋体" w:cs="Times New Roman"/>
        </w:rPr>
        <w:t>The two modalities exhibit good compatibility in terms of dimensionality and distribution, providing a unified input for the subsequent fusion module.</w:t>
      </w:r>
    </w:p>
    <w:p w14:paraId="2244ED63">
      <w:pPr>
        <w:spacing w:line="480" w:lineRule="auto"/>
        <w:ind w:firstLine="420" w:firstLineChars="0"/>
        <w:rPr>
          <w:rFonts w:hint="default" w:ascii="Times New Roman" w:hAnsi="Times New Roman" w:eastAsia="宋体" w:cs="Times New Roman"/>
        </w:rPr>
      </w:pPr>
    </w:p>
    <w:p w14:paraId="127820E8">
      <w:pPr>
        <w:spacing w:line="480" w:lineRule="auto"/>
        <w:ind w:firstLine="420" w:firstLineChars="0"/>
        <w:rPr>
          <w:rFonts w:hint="default" w:ascii="Times New Roman" w:hAnsi="Times New Roman" w:eastAsia="宋体" w:cs="Times New Roman"/>
        </w:rPr>
      </w:pPr>
    </w:p>
    <w:p w14:paraId="4D2469CA">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S4 Appendix. Dynamic Gated Fusion Mechanism</w:t>
      </w:r>
    </w:p>
    <w:p w14:paraId="62081F10">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To achieve effective integration of visual and structured data under limited-sample constraints, we developed a dynamic gated fusion mechanism that adaptively assigns modality-specific contribution weights according to each sample's feature distribution. This approach maintains robust cross-modal interactions while mitigating information imbalance and overfitting risks through sample-adaptive weight allocation. The complete module architecture operates as follows:</w:t>
      </w:r>
    </w:p>
    <w:p w14:paraId="60B63089">
      <w:pPr>
        <w:spacing w:line="480" w:lineRule="auto"/>
        <w:rPr>
          <w:rFonts w:hint="default" w:ascii="Times New Roman" w:hAnsi="Times New Roman" w:cs="Times New Roman"/>
        </w:rPr>
      </w:pPr>
      <w:r>
        <w:rPr>
          <w:rFonts w:hint="default" w:ascii="Times New Roman" w:hAnsi="Times New Roman" w:eastAsia="宋体" w:cs="Times New Roman"/>
          <w:b/>
          <w:bCs/>
          <w:color w:val="000000" w:themeColor="text1"/>
          <w14:textFill>
            <w14:solidFill>
              <w14:schemeClr w14:val="tx1"/>
            </w14:solidFill>
          </w14:textFill>
        </w:rPr>
        <w:t xml:space="preserve">Feature splicing: </w:t>
      </w:r>
      <w:r>
        <w:rPr>
          <w:rFonts w:hint="default" w:ascii="Times New Roman" w:hAnsi="Times New Roman" w:eastAsia="宋体" w:cs="Times New Roman"/>
          <w:color w:val="000000" w:themeColor="text1"/>
          <w14:textFill>
            <w14:solidFill>
              <w14:schemeClr w14:val="tx1"/>
            </w14:solidFill>
          </w14:textFill>
        </w:rPr>
        <w:t>the 2048-dimensional visual features(</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output from the image encoder are spliced with the 128-dimensional structured features output from the table encoder(</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in the feature dimension to obtain a (2048+128)-dimensional joint vector:</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concat</m:t>
                  </m:r>
                  <m:ctrlPr>
                    <w:rPr>
                      <w:rFonts w:hint="default" w:ascii="Cambria Math" w:hAnsi="Cambria Math" w:cs="Times New Roman"/>
                    </w:rPr>
                  </m:ctrlPr>
                </m:sub>
              </m:sSub>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 xml:space="preserve"> </m:t>
              </m:r>
              <m:d>
                <m:dPr>
                  <m:begChr m:val="["/>
                  <m:endChr m:val="]"/>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Cambria Math" w:hAnsi="Cambria Math" w:cs="Times New Roman"/>
                      <w:i w:val="0"/>
                      <w:lang w:val="en-US" w:eastAsia="zh-CN"/>
                    </w:rPr>
                    <m:t xml:space="preserve"> </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Cambria Math" w:hAnsi="Cambria Math" w:cs="Times New Roman"/>
                          <w:i w:val="0"/>
                          <w:lang w:val="en-US" w:eastAsia="zh-CN"/>
                        </w:rPr>
                        <m:t xml:space="preserve"> </m:t>
                      </m:r>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m:t>
              </m:r>
              <m:r>
                <m:rPr>
                  <m:nor/>
                  <m:sty m:val="p"/>
                </m:rPr>
                <w:rPr>
                  <w:rFonts w:hint="default" w:ascii="Times New Roman" w:hAnsi="Times New Roman" w:cs="Times New Roman"/>
                  <w:b w:val="0"/>
                  <w:i w:val="0"/>
                  <w:lang w:val="en-US" w:eastAsia="zh-CN"/>
                </w:rPr>
                <m:t xml:space="preserve"> </m:t>
              </m:r>
              <m:sSup>
                <m:sSupPr>
                  <m:ctrlPr>
                    <w:rPr>
                      <w:rFonts w:hint="default" w:ascii="Cambria Math" w:hAnsi="Cambria Math" w:cs="Times New Roman"/>
                    </w:rPr>
                  </m:ctrlPr>
                </m:sSupPr>
                <m:e>
                  <m:r>
                    <m:rPr>
                      <m:nor/>
                      <m:sty m:val="p"/>
                    </m:rPr>
                    <w:rPr>
                      <w:rFonts w:hint="default" w:ascii="Times New Roman" w:hAnsi="Times New Roman" w:cs="Times New Roman"/>
                      <w:b w:val="0"/>
                      <w:i w:val="0"/>
                    </w:rPr>
                    <m:t>R</m:t>
                  </m:r>
                  <m:ctrlPr>
                    <w:rPr>
                      <w:rFonts w:hint="default" w:ascii="Cambria Math" w:hAnsi="Cambria Math" w:cs="Times New Roman"/>
                    </w:rPr>
                  </m:ctrlPr>
                </m:e>
                <m:sup>
                  <m:r>
                    <m:rPr>
                      <m:nor/>
                      <m:sty m:val="p"/>
                    </m:rPr>
                    <w:rPr>
                      <w:rFonts w:hint="default" w:ascii="Times New Roman" w:hAnsi="Times New Roman" w:cs="Times New Roman"/>
                      <w:b w:val="0"/>
                      <w:i w:val="0"/>
                    </w:rPr>
                    <m:t>2176</m:t>
                  </m:r>
                  <m:ctrlPr>
                    <w:rPr>
                      <w:rFonts w:hint="default" w:ascii="Cambria Math" w:hAnsi="Cambria Math" w:cs="Times New Roman"/>
                    </w:rPr>
                  </m:ctrlPr>
                </m:sup>
              </m:sSup>
              <m:r>
                <m:rPr>
                  <m:sty m:val="p"/>
                </m:rPr>
                <w:rPr>
                  <w:rFonts w:hint="default" w:ascii="Cambria Math" w:hAnsi="Cambria Math" w:cs="Times New Roman"/>
                </w:rPr>
                <m:t>#</m:t>
              </m:r>
              <m:r>
                <m:rPr>
                  <m:nor/>
                  <m:sty m:val="p"/>
                </m:rPr>
                <w:rPr>
                  <w:rFonts w:hint="default" w:ascii="Times New Roman" w:hAnsi="Times New Roman" w:cs="Times New Roman"/>
                  <w:b w:val="0"/>
                  <w:i w:val="0"/>
                </w:rPr>
                <m:t>(1)</m:t>
              </m:r>
              <m:ctrlPr>
                <w:rPr>
                  <w:rFonts w:hint="default" w:ascii="Cambria Math" w:hAnsi="Cambria Math" w:cs="Times New Roman"/>
                </w:rPr>
              </m:ctrlPr>
            </m:e>
          </m:eqArr>
        </m:oMath>
      </m:oMathPara>
    </w:p>
    <w:p w14:paraId="67B36B3F">
      <w:pPr>
        <w:numPr>
          <w:ilvl w:val="0"/>
          <w:numId w:val="2"/>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Two-layer fully-connected: </w:t>
      </w:r>
      <w:r>
        <w:rPr>
          <w:rFonts w:hint="default" w:ascii="Times New Roman" w:hAnsi="Times New Roman" w:eastAsia="宋体" w:cs="Times New Roman"/>
          <w:color w:val="000000" w:themeColor="text1"/>
          <w14:textFill>
            <w14:solidFill>
              <w14:schemeClr w14:val="tx1"/>
            </w14:solidFill>
          </w14:textFill>
        </w:rPr>
        <w:t>the spliced vectors are sequentially passed through a two-layer fully-connected network, each layer coupled with ReLU activation, to capture higher-order interactions across modalities: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=ReLU</m:t>
              </m:r>
              <m:d>
                <m:dPr>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concat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 </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h</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=ReLU</m:t>
              </m:r>
              <m:d>
                <m:dPr>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ctrlPr>
                    <w:rPr>
                      <w:rFonts w:hint="default" w:ascii="Cambria Math" w:hAnsi="Cambria Math" w:cs="Times New Roman"/>
                    </w:rPr>
                  </m:ctrlPr>
                </m:e>
              </m:d>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cs="Times New Roman"/>
                </w:rPr>
              </m:ctrlPr>
            </m:e>
          </m:eqArr>
        </m:oMath>
      </m:oMathPara>
    </w:p>
    <w:p w14:paraId="46B89F2F">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In the formula:</w:t>
      </w: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W</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R</m:t>
            </m:r>
            <m:ctrlPr>
              <w:rPr>
                <w:rFonts w:hint="default" w:ascii="Cambria Math" w:hAnsi="Cambria Math" w:cs="Times New Roman"/>
              </w:rPr>
            </m:ctrlPr>
          </m:e>
          <m:sup>
            <m:r>
              <m:rPr>
                <m:nor/>
                <m:sty m:val="p"/>
              </m:rPr>
              <w:rPr>
                <w:rFonts w:hint="default" w:ascii="Times New Roman" w:hAnsi="Times New Roman" w:cs="Times New Roman"/>
                <w:b w:val="0"/>
                <w:i w:val="0"/>
              </w:rPr>
              <m:t>128×2176</m:t>
            </m:r>
            <m:ctrlPr>
              <w:rPr>
                <w:rFonts w:hint="default" w:ascii="Cambria Math" w:hAnsi="Cambria Math" w:cs="Times New Roman"/>
              </w:rPr>
            </m:ctrlPr>
          </m:sup>
        </m:s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R</m:t>
            </m:r>
            <m:ctrlPr>
              <w:rPr>
                <w:rFonts w:hint="default" w:ascii="Cambria Math" w:hAnsi="Cambria Math" w:cs="Times New Roman"/>
              </w:rPr>
            </m:ctrlPr>
          </m:e>
          <m:sup>
            <m:r>
              <m:rPr>
                <m:nor/>
                <m:sty m:val="p"/>
              </m:rPr>
              <w:rPr>
                <w:rFonts w:hint="default" w:ascii="Times New Roman" w:hAnsi="Times New Roman" w:cs="Times New Roman"/>
                <w:b w:val="0"/>
                <w:i w:val="0"/>
              </w:rPr>
              <m:t>2×128</m:t>
            </m:r>
            <m:ctrlPr>
              <w:rPr>
                <w:rFonts w:hint="default" w:ascii="Cambria Math" w:hAnsi="Cambria Math" w:cs="Times New Roman"/>
              </w:rPr>
            </m:ctrlPr>
          </m:sup>
        </m:sSup>
      </m:oMath>
    </w:p>
    <w:p w14:paraId="2A8F94D2">
      <w:pPr>
        <w:numPr>
          <w:ilvl w:val="0"/>
          <w:numId w:val="2"/>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Sigmoid output dual-channel weighting: </w:t>
      </w:r>
      <w:r>
        <w:rPr>
          <w:rFonts w:hint="default" w:ascii="Times New Roman" w:hAnsi="Times New Roman" w:eastAsia="宋体" w:cs="Times New Roman"/>
          <w:color w:val="000000" w:themeColor="text1"/>
          <w14:textFill>
            <w14:solidFill>
              <w14:schemeClr w14:val="tx1"/>
            </w14:solidFill>
          </w14:textFill>
        </w:rPr>
        <w:t>replacing the traditional softmax attention mechanism with independent sigmoid gating, independently weighted multimodal feature fusion, applying sigmoid directly to the two output channels: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d>
                <m:dPr>
                  <m:begChr m:val="["/>
                  <m:endChr m:val="]"/>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r>
                    <m:rPr>
                      <m:nor/>
                      <m:sty m:val="p"/>
                    </m:rPr>
                    <w:rPr>
                      <w:rFonts w:hint="default" w:cs="Times New Roman"/>
                      <w:b w:val="0"/>
                      <w:i w:val="0"/>
                      <w:lang w:val="en-US" w:eastAsia="zh-CN"/>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ctrlPr>
                    <w:rPr>
                      <w:rFonts w:hint="default" w:ascii="Cambria Math" w:hAnsi="Cambria Math" w:cs="Times New Roman"/>
                    </w:rPr>
                  </m:ctrlPr>
                </m:e>
              </m:d>
              <m:r>
                <m:rPr>
                  <m:nor/>
                  <m:sty m:val="p"/>
                </m:rPr>
                <w:rPr>
                  <w:rFonts w:hint="default" w:ascii="Times New Roman" w:hAnsi="Times New Roman" w:cs="Times New Roman"/>
                  <w:b w:val="0"/>
                  <w:i w:val="0"/>
                </w:rPr>
                <m:t>=σ</m:t>
              </m:r>
              <m:d>
                <m:dPr>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3</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m:t>
                      </m:r>
                      <m:ctrlPr>
                        <w:rPr>
                          <w:rFonts w:hint="default" w:ascii="Cambria Math" w:hAnsi="Cambria Math" w:cs="Times New Roman"/>
                        </w:rPr>
                      </m:ctrlPr>
                    </m:e>
                    <m:sub>
                      <m:r>
                        <m:rPr>
                          <m:nor/>
                          <m:sty m:val="p"/>
                        </m:rPr>
                        <w:rPr>
                          <w:rFonts w:hint="default" w:ascii="Times New Roman" w:hAnsi="Times New Roman" w:cs="Times New Roman"/>
                          <w:b w:val="0"/>
                          <w:i w:val="0"/>
                        </w:rPr>
                        <m:t>3</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ϵ(0,1)</m:t>
              </m:r>
              <m:r>
                <m:rPr>
                  <m:sty m:val="p"/>
                </m:rPr>
                <w:rPr>
                  <w:rFonts w:hint="default" w:ascii="Cambria Math" w:hAnsi="Cambria Math" w:cs="Times New Roman"/>
                </w:rPr>
                <m:t>#</m:t>
              </m:r>
              <m:r>
                <m:rPr>
                  <m:nor/>
                  <m:sty m:val="p"/>
                </m:rPr>
                <w:rPr>
                  <w:rFonts w:hint="default" w:ascii="Times New Roman" w:hAnsi="Times New Roman" w:cs="Times New Roman"/>
                  <w:b w:val="0"/>
                  <w:i w:val="0"/>
                </w:rPr>
                <m:t>(3)</m:t>
              </m:r>
              <m:ctrlPr>
                <w:rPr>
                  <w:rFonts w:hint="default" w:ascii="Cambria Math" w:hAnsi="Cambria Math" w:eastAsia="宋体" w:cs="Times New Roman"/>
                  <w:color w:val="000000" w:themeColor="text1"/>
                  <w14:textFill>
                    <w14:solidFill>
                      <w14:schemeClr w14:val="tx1"/>
                    </w14:solidFill>
                  </w14:textFill>
                </w:rPr>
              </m:ctrlPr>
            </m:e>
          </m:eqArr>
        </m:oMath>
      </m:oMathPara>
    </w:p>
    <w:p w14:paraId="796DA074">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used to weight visual features and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used to weight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structured features.</w:t>
      </w:r>
    </w:p>
    <w:p w14:paraId="5A5B933B">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S5 Appendix. </w:t>
      </w:r>
      <w:r>
        <w:rPr>
          <w:rFonts w:hint="default" w:ascii="Times New Roman" w:hAnsi="Times New Roman" w:cs="Times New Roman"/>
          <w:b/>
          <w:bCs/>
          <w:sz w:val="24"/>
          <w:szCs w:val="24"/>
        </w:rPr>
        <w:t>Multimodal Feature Fusion and Dimensionality Reduction</w:t>
      </w:r>
    </w:p>
    <w:p w14:paraId="59359C27">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After obtaining the adaptive gating weights for the image and tabular branches, the next step is to reconstruct and fuse the two feature sets to generate a low-dimensional embedding rich in cross-modal information.</w:t>
      </w:r>
    </w:p>
    <w:p w14:paraId="6EC770D4">
      <w:pPr>
        <w:numPr>
          <w:ilvl w:val="0"/>
          <w:numId w:val="3"/>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Weighted feature reconstruction: </w:t>
      </w:r>
      <w:r>
        <w:rPr>
          <w:rFonts w:hint="default" w:ascii="Times New Roman" w:hAnsi="Times New Roman" w:eastAsia="宋体" w:cs="Times New Roman"/>
          <w:color w:val="000000" w:themeColor="text1"/>
          <w14:textFill>
            <w14:solidFill>
              <w14:schemeClr w14:val="tx1"/>
            </w14:solidFill>
          </w14:textFill>
        </w:rPr>
        <w:t xml:space="preserve">features are dynamically adjusted so that important features are more prominent and unimportant features are suppressed. Here for a single sample, let its visual feature vector be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2048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 and structured feature vector be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128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 the corresponding gating outputs are scalar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and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which are first applied separately:</w:t>
      </w:r>
    </w:p>
    <w:p w14:paraId="35FA49CA">
      <w:pPr>
        <w:spacing w:line="480" w:lineRule="auto"/>
        <w:ind w:left="420"/>
        <w:rPr>
          <w:rFonts w:hint="default" w:ascii="Times New Roman" w:hAnsi="Times New Roman" w:eastAsia="宋体" w:cs="Times New Roman"/>
          <w:color w:val="000000" w:themeColor="text1"/>
          <w14:textFill>
            <w14:solidFill>
              <w14:schemeClr w14:val="tx1"/>
            </w14:solidFill>
          </w14:textFill>
        </w:rPr>
      </w:pP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sty m:val="p"/>
                        </m:rPr>
                        <w:rPr>
                          <w:rFonts w:hint="default" w:ascii="Times New Roman" w:hAnsi="Times New Roman" w:cs="Times New Roman"/>
                          <w:b w:val="0"/>
                          <w:i w:val="0"/>
                        </w:rPr>
                        <m:t>f</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sty m:val="p"/>
                        </m:rPr>
                        <w:rPr>
                          <w:rFonts w:hint="default" w:ascii="Times New Roman" w:hAnsi="Times New Roman" w:cs="Times New Roman"/>
                          <w:b w:val="0"/>
                          <w:i w:val="0"/>
                        </w:rPr>
                        <m:t>f</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sty m:val="p"/>
                </m:rPr>
                <w:rPr>
                  <w:rFonts w:hint="default" w:ascii="Cambria Math" w:hAnsi="Cambria Math" w:cs="Times New Roman"/>
                </w:rPr>
                <m:t>#</m:t>
              </m:r>
              <m:r>
                <m:rPr>
                  <m:nor/>
                  <m:sty m:val="p"/>
                </m:rPr>
                <w:rPr>
                  <w:rFonts w:hint="default" w:ascii="Times New Roman" w:hAnsi="Times New Roman" w:cs="Times New Roman"/>
                  <w:b w:val="0"/>
                  <w:i w:val="0"/>
                </w:rPr>
                <m:t>(4)</m:t>
              </m:r>
              <m:ctrlPr>
                <w:rPr>
                  <w:rFonts w:hint="default" w:ascii="Cambria Math" w:hAnsi="Cambria Math" w:eastAsia="宋体" w:cs="Times New Roman"/>
                  <w:color w:val="000000" w:themeColor="text1"/>
                  <w14:textFill>
                    <w14:solidFill>
                      <w14:schemeClr w14:val="tx1"/>
                    </w14:solidFill>
                  </w14:textFill>
                </w:rPr>
              </m:ctrlPr>
            </m:e>
          </m:eqArr>
          <m:r>
            <m:rPr>
              <m:nor/>
              <m:sty m:val="p"/>
            </m:rPr>
            <w:rPr>
              <w:rFonts w:hint="default" w:ascii="Times New Roman" w:hAnsi="Times New Roman" w:eastAsia="宋体" w:cs="Times New Roman"/>
              <w:b w:val="0"/>
              <w:i w:val="0"/>
              <w:color w:val="000000" w:themeColor="text1"/>
              <w14:textFill>
                <w14:solidFill>
                  <w14:schemeClr w14:val="tx1"/>
                </w14:solidFill>
              </w14:textFill>
            </w:rPr>
            <w:br w:type="textWrapping"/>
          </m:r>
        </m:oMath>
      </m:oMathPara>
      <w:r>
        <w:rPr>
          <w:rFonts w:hint="default" w:ascii="Times New Roman" w:hAnsi="Times New Roman" w:eastAsia="宋体" w:cs="Times New Roman"/>
          <w:color w:val="000000" w:themeColor="text1"/>
          <w14:textFill>
            <w14:solidFill>
              <w14:schemeClr w14:val="tx1"/>
            </w14:solidFill>
          </w14:textFill>
        </w:rPr>
        <w:t>This allows for adaptive amplification or suppression of a certain way of information according to the sample, preventing noise modes from affecting the final representation.</w:t>
      </w:r>
    </w:p>
    <w:p w14:paraId="7F5E92EC">
      <w:pPr>
        <w:numPr>
          <w:ilvl w:val="0"/>
          <w:numId w:val="3"/>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Fused Feature Normalization: </w:t>
      </w:r>
      <w:r>
        <w:rPr>
          <w:rFonts w:hint="default" w:ascii="Times New Roman" w:hAnsi="Times New Roman" w:eastAsia="宋体" w:cs="Times New Roman"/>
          <w:color w:val="000000" w:themeColor="text1"/>
          <w14:textFill>
            <w14:solidFill>
              <w14:schemeClr w14:val="tx1"/>
            </w14:solidFill>
          </w14:textFill>
        </w:rPr>
        <w:t xml:space="preserve">To avoid dominating the model learning when the value range of a feature is large after fusion, we splice the weighted two vectors by dimension to get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used</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2176</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and then apply BatchNorm to normalize the spliced vectors: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norm</m:t>
                  </m:r>
                  <m:ctrlPr>
                    <w:rPr>
                      <w:rFonts w:hint="default" w:ascii="Cambria Math" w:hAnsi="Cambria Math" w:cs="Times New Roman"/>
                    </w:rPr>
                  </m:ctrlPr>
                </m:sub>
              </m:sSub>
              <m:r>
                <m:rPr>
                  <m:nor/>
                  <m:sty m:val="p"/>
                </m:rPr>
                <w:rPr>
                  <w:rFonts w:hint="default" w:ascii="Times New Roman" w:hAnsi="Times New Roman" w:cs="Times New Roman"/>
                  <w:b w:val="0"/>
                  <w:i w:val="0"/>
                </w:rPr>
                <m:t>=Batch Norm(</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used</m:t>
                  </m:r>
                  <m:ctrlPr>
                    <w:rPr>
                      <w:rFonts w:hint="default" w:ascii="Cambria Math" w:hAnsi="Cambria Math" w:cs="Times New Roman"/>
                    </w:rPr>
                  </m:ctrlPr>
                </m:sub>
              </m:sSub>
              <m:r>
                <m:rPr>
                  <m:nor/>
                  <m:sty m:val="p"/>
                </m:rPr>
                <w:rPr>
                  <w:rFonts w:hint="default" w:ascii="Times New Roman" w:hAnsi="Times New Roman" w:cs="Times New Roman"/>
                  <w:b w:val="0"/>
                  <w:i w:val="0"/>
                </w:rPr>
                <m:t>)</m:t>
              </m:r>
              <m:r>
                <m:rPr>
                  <m:sty m:val="p"/>
                </m:rPr>
                <w:rPr>
                  <w:rFonts w:hint="default" w:ascii="Cambria Math" w:hAnsi="Cambria Math" w:cs="Times New Roman"/>
                </w:rPr>
                <m:t>#</m:t>
              </m:r>
              <m:r>
                <m:rPr>
                  <m:nor/>
                  <m:sty m:val="p"/>
                </m:rPr>
                <w:rPr>
                  <w:rFonts w:hint="default" w:ascii="Times New Roman" w:hAnsi="Times New Roman" w:cs="Times New Roman"/>
                  <w:b w:val="0"/>
                  <w:i w:val="0"/>
                </w:rPr>
                <m:t>(5)</m:t>
              </m:r>
              <m:ctrlPr>
                <w:rPr>
                  <w:rFonts w:hint="default" w:ascii="Cambria Math" w:hAnsi="Cambria Math" w:eastAsia="宋体" w:cs="Times New Roman"/>
                  <w:color w:val="000000" w:themeColor="text1"/>
                  <w14:textFill>
                    <w14:solidFill>
                      <w14:schemeClr w14:val="tx1"/>
                    </w14:solidFill>
                  </w14:textFill>
                </w:rPr>
              </m:ctrlPr>
            </m:e>
          </m:eqArr>
        </m:oMath>
      </m:oMathPara>
    </w:p>
    <w:p w14:paraId="1A39E4C4">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to eliminate differences in the numerical scales of the two-way features and to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mitigate cross-modal internal covariate bias.</w:t>
      </w:r>
    </w:p>
    <w:p w14:paraId="12B79960">
      <w:pPr>
        <w:numPr>
          <w:ilvl w:val="0"/>
          <w:numId w:val="3"/>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Dimensionality Reduction Projection (DRP): </w:t>
      </w:r>
      <w:r>
        <w:rPr>
          <w:rFonts w:hint="default" w:ascii="Times New Roman" w:hAnsi="Times New Roman" w:eastAsia="宋体" w:cs="Times New Roman"/>
          <w:color w:val="000000" w:themeColor="text1"/>
          <w14:textFill>
            <w14:solidFill>
              <w14:schemeClr w14:val="tx1"/>
            </w14:solidFill>
          </w14:textFill>
        </w:rPr>
        <w:t>normalized features are first activated by LeakyReLU, then Dropout regularization is done, and finally mapped to the low-dimensional space:</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h=LeakyReLU(</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norm</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h</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=Dropout（h,p=0.2）,z=</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W</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proj</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h</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b</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proj</m:t>
                  </m:r>
                  <m:ctrlPr>
                    <w:rPr>
                      <w:rFonts w:hint="default" w:ascii="Cambria Math" w:hAnsi="Cambria Math" w:eastAsia="宋体" w:cs="Times New Roman"/>
                      <w:color w:val="000000" w:themeColor="text1"/>
                      <w14:textFill>
                        <w14:solidFill>
                          <w14:schemeClr w14:val="tx1"/>
                        </w14:solidFill>
                      </w14:textFill>
                    </w:rPr>
                  </m:ctrlPr>
                </m:sub>
              </m:sSub>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(6)</m:t>
              </m:r>
              <m:ctrlPr>
                <w:rPr>
                  <w:rFonts w:hint="default" w:ascii="Cambria Math" w:hAnsi="Cambria Math" w:eastAsia="宋体" w:cs="Times New Roman"/>
                  <w:color w:val="000000" w:themeColor="text1"/>
                  <w14:textFill>
                    <w14:solidFill>
                      <w14:schemeClr w14:val="tx1"/>
                    </w14:solidFill>
                  </w14:textFill>
                </w:rPr>
              </m:ctrlPr>
            </m:e>
          </m:eqArr>
        </m:oMath>
      </m:oMathPara>
    </w:p>
    <w:p w14:paraId="46E842F7">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r>
          <m:rPr>
            <m:nor/>
            <m:sty m:val="p"/>
          </m:rPr>
          <w:rPr>
            <w:rFonts w:hint="default" w:ascii="Times New Roman" w:hAnsi="Times New Roman" w:eastAsia="宋体" w:cs="Times New Roman"/>
            <w:b w:val="0"/>
            <w:i w:val="0"/>
            <w:color w:val="000000" w:themeColor="text1"/>
            <w14:textFill>
              <w14:solidFill>
                <w14:schemeClr w14:val="tx1"/>
              </w14:solidFill>
            </w14:textFill>
          </w:rPr>
          <m:t>z∈</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128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is the final multimodal embedding. the negative slope of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 xml:space="preserve">LeakyReLU ensures the preservation of negative features, and Dropout provides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additional regularization in small sample scenarios.</w:t>
      </w:r>
    </w:p>
    <w:p w14:paraId="1068FA83">
      <w:pPr>
        <w:spacing w:line="480" w:lineRule="auto"/>
        <w:rPr>
          <w:rFonts w:hint="default" w:ascii="Times New Roman" w:hAnsi="Times New Roman" w:cs="Times New Roman"/>
          <w:b/>
          <w:bCs/>
          <w:sz w:val="28"/>
          <w:szCs w:val="28"/>
        </w:rPr>
      </w:pPr>
    </w:p>
    <w:p w14:paraId="0DDF0830">
      <w:pPr>
        <w:spacing w:line="480" w:lineRule="auto"/>
        <w:rPr>
          <w:rFonts w:hint="default" w:ascii="Times New Roman" w:hAnsi="Times New Roman" w:eastAsia="宋体" w:cs="Times New Roman"/>
        </w:rPr>
      </w:pPr>
    </w:p>
    <w:p w14:paraId="1DDBCF70">
      <w:pPr>
        <w:spacing w:line="480" w:lineRule="auto"/>
        <w:rPr>
          <w:rFonts w:hint="default" w:ascii="Times New Roman" w:hAnsi="Times New Roman" w:cs="Times New Roman"/>
          <w:b w:val="0"/>
          <w:bCs w:val="0"/>
          <w:sz w:val="24"/>
          <w:szCs w:val="24"/>
        </w:rPr>
      </w:pPr>
    </w:p>
    <w:p w14:paraId="28A8E4E0">
      <w:pPr>
        <w:spacing w:line="480" w:lineRule="auto"/>
        <w:rPr>
          <w:rFonts w:hint="default" w:ascii="Times New Roman" w:hAnsi="Times New Roman" w:cs="Times New Roman"/>
          <w:b w:val="0"/>
          <w:bCs w:val="0"/>
          <w:sz w:val="24"/>
          <w:szCs w:val="24"/>
        </w:rPr>
      </w:pPr>
    </w:p>
    <w:p w14:paraId="5134EDDE">
      <w:pPr>
        <w:spacing w:line="480" w:lineRule="auto"/>
        <w:rPr>
          <w:rFonts w:hint="default" w:ascii="Times New Roman" w:hAnsi="Times New Roman" w:cs="Times New Roman"/>
          <w:b w:val="0"/>
          <w:bCs w:val="0"/>
          <w:sz w:val="24"/>
          <w:szCs w:val="24"/>
        </w:rPr>
      </w:pPr>
    </w:p>
    <w:p w14:paraId="7A5AFDD7">
      <w:pPr>
        <w:spacing w:line="480" w:lineRule="auto"/>
        <w:rPr>
          <w:rFonts w:hint="default" w:ascii="Times New Roman" w:hAnsi="Times New Roman" w:cs="Times New Roman"/>
          <w:b w:val="0"/>
          <w:bCs w:val="0"/>
          <w:sz w:val="24"/>
          <w:szCs w:val="24"/>
        </w:rPr>
      </w:pPr>
    </w:p>
    <w:p w14:paraId="6D829184">
      <w:pPr>
        <w:spacing w:line="480" w:lineRule="auto"/>
        <w:rPr>
          <w:rFonts w:hint="default" w:ascii="Times New Roman" w:hAnsi="Times New Roman" w:cs="Times New Roman"/>
          <w:b w:val="0"/>
          <w:bCs w:val="0"/>
          <w:sz w:val="24"/>
          <w:szCs w:val="24"/>
        </w:rPr>
      </w:pPr>
    </w:p>
    <w:p w14:paraId="77BF472E">
      <w:pPr>
        <w:spacing w:line="480" w:lineRule="auto"/>
        <w:rPr>
          <w:rFonts w:hint="default" w:ascii="Times New Roman" w:hAnsi="Times New Roman" w:cs="Times New Roman"/>
          <w:b w:val="0"/>
          <w:bCs w:val="0"/>
          <w:sz w:val="24"/>
          <w:szCs w:val="24"/>
        </w:rPr>
      </w:pPr>
    </w:p>
    <w:p w14:paraId="6036FB48">
      <w:pPr>
        <w:spacing w:line="480" w:lineRule="auto"/>
        <w:rPr>
          <w:rFonts w:hint="default" w:ascii="Times New Roman" w:hAnsi="Times New Roman" w:cs="Times New Roman"/>
          <w:b w:val="0"/>
          <w:bCs w:val="0"/>
          <w:sz w:val="24"/>
          <w:szCs w:val="24"/>
        </w:rPr>
      </w:pPr>
    </w:p>
    <w:p w14:paraId="15C70544">
      <w:pPr>
        <w:spacing w:line="480" w:lineRule="auto"/>
        <w:rPr>
          <w:rFonts w:hint="default" w:ascii="Times New Roman" w:hAnsi="Times New Roman" w:cs="Times New Roman"/>
          <w:b w:val="0"/>
          <w:bCs w:val="0"/>
          <w:sz w:val="24"/>
          <w:szCs w:val="24"/>
        </w:rPr>
      </w:pPr>
    </w:p>
    <w:p w14:paraId="5EC2D683">
      <w:pPr>
        <w:spacing w:line="480" w:lineRule="auto"/>
        <w:rPr>
          <w:rFonts w:hint="default" w:ascii="Times New Roman" w:hAnsi="Times New Roman" w:cs="Times New Roman"/>
          <w:b w:val="0"/>
          <w:bCs w:val="0"/>
          <w:sz w:val="24"/>
          <w:szCs w:val="24"/>
        </w:rPr>
      </w:pPr>
    </w:p>
    <w:p w14:paraId="273057DC">
      <w:pPr>
        <w:spacing w:line="480" w:lineRule="auto"/>
        <w:rPr>
          <w:rFonts w:hint="default" w:ascii="Times New Roman" w:hAnsi="Times New Roman" w:cs="Times New Roman"/>
          <w:b w:val="0"/>
          <w:bCs w:val="0"/>
          <w:sz w:val="24"/>
          <w:szCs w:val="24"/>
        </w:rPr>
      </w:pPr>
    </w:p>
    <w:p w14:paraId="44D875B6">
      <w:pPr>
        <w:spacing w:line="480" w:lineRule="auto"/>
        <w:rPr>
          <w:rFonts w:hint="default" w:ascii="Times New Roman" w:hAnsi="Times New Roman" w:cs="Times New Roman"/>
          <w:b w:val="0"/>
          <w:bCs w:val="0"/>
          <w:sz w:val="24"/>
          <w:szCs w:val="24"/>
        </w:rPr>
      </w:pPr>
    </w:p>
    <w:p w14:paraId="6FE1C069">
      <w:pPr>
        <w:spacing w:line="480" w:lineRule="auto"/>
        <w:rPr>
          <w:rFonts w:hint="default" w:ascii="Times New Roman" w:hAnsi="Times New Roman" w:cs="Times New Roman"/>
          <w:b w:val="0"/>
          <w:bCs w:val="0"/>
          <w:sz w:val="24"/>
          <w:szCs w:val="24"/>
        </w:rPr>
      </w:pPr>
    </w:p>
    <w:p w14:paraId="4531D0C1">
      <w:pPr>
        <w:spacing w:line="480" w:lineRule="auto"/>
        <w:rPr>
          <w:rFonts w:hint="default" w:ascii="Times New Roman" w:hAnsi="Times New Roman" w:cs="Times New Roman"/>
          <w:b w:val="0"/>
          <w:bCs w:val="0"/>
          <w:sz w:val="24"/>
          <w:szCs w:val="24"/>
        </w:rPr>
      </w:pPr>
    </w:p>
    <w:p w14:paraId="26E6B893">
      <w:pPr>
        <w:spacing w:line="480" w:lineRule="auto"/>
        <w:rPr>
          <w:rFonts w:hint="default" w:ascii="Times New Roman" w:hAnsi="Times New Roman" w:cs="Times New Roman"/>
          <w:b w:val="0"/>
          <w:bCs w:val="0"/>
          <w:sz w:val="24"/>
          <w:szCs w:val="24"/>
        </w:rPr>
      </w:pPr>
    </w:p>
    <w:p w14:paraId="39C3FFF1">
      <w:pPr>
        <w:spacing w:line="480" w:lineRule="auto"/>
        <w:rPr>
          <w:rFonts w:hint="default" w:ascii="Times New Roman" w:hAnsi="Times New Roman" w:cs="Times New Roman"/>
          <w:b w:val="0"/>
          <w:bCs w:val="0"/>
          <w:sz w:val="24"/>
          <w:szCs w:val="24"/>
        </w:rPr>
      </w:pPr>
    </w:p>
    <w:p w14:paraId="0AA2E181">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S6 Appendix. </w:t>
      </w:r>
      <w:r>
        <w:rPr>
          <w:rFonts w:hint="default" w:ascii="Times New Roman" w:hAnsi="Times New Roman" w:cs="Times New Roman"/>
          <w:b/>
          <w:bCs/>
          <w:sz w:val="24"/>
          <w:szCs w:val="24"/>
        </w:rPr>
        <w:t>Few-Shot Learning Strategy</w:t>
      </w:r>
    </w:p>
    <w:p w14:paraId="77D39598">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w:t>
      </w:r>
      <w:r>
        <w:rPr>
          <w:rFonts w:hint="default" w:ascii="Times New Roman" w:hAnsi="Times New Roman" w:cs="Times New Roman"/>
          <w:b/>
          <w:bCs/>
          <w:sz w:val="24"/>
          <w:szCs w:val="24"/>
          <w:lang w:val="en-US" w:eastAsia="zh-CN"/>
        </w:rPr>
        <w:t>6</w:t>
      </w:r>
      <w:r>
        <w:rPr>
          <w:rFonts w:hint="default" w:ascii="Times New Roman" w:hAnsi="Times New Roman" w:cs="Times New Roman"/>
          <w:b/>
          <w:bCs/>
          <w:sz w:val="24"/>
          <w:szCs w:val="24"/>
        </w:rPr>
        <w:t>.1: Multi-Prototype Construction Details</w:t>
      </w:r>
    </w:p>
    <w:p w14:paraId="68AB67F7">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In order to create several prototype centers (Multi-Prototypes) for each category, we first extract the feature representations of each category from the support set using the KMeans approach.The KMeans algorithm's objective function is: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arg min</m:t>
              </m:r>
              <m:sSubSup>
                <m:sSubSupPr>
                  <m:ctrlPr>
                    <w:rPr>
                      <w:rFonts w:hint="default" w:ascii="Cambria Math" w:hAnsi="Cambria Math" w:eastAsia="宋体" w:cs="Times New Roman"/>
                      <w:color w:val="000000" w:themeColor="text1"/>
                      <w14:textFill>
                        <w14:solidFill>
                          <w14:schemeClr w14:val="tx1"/>
                        </w14:solidFill>
                      </w14:textFill>
                    </w:rPr>
                  </m:ctrlPr>
                </m:sSubSupPr>
                <m:e>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k=1</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p>
              </m:sSubSup>
              <m:nary>
                <m:naryPr>
                  <m:chr m:val="∑"/>
                  <m:limLoc m:val="undOvr"/>
                  <m:ctrlPr>
                    <w:rPr>
                      <w:rFonts w:hint="default" w:ascii="Cambria Math" w:hAnsi="Cambria Math" w:eastAsia="宋体" w:cs="Times New Roman"/>
                      <w:color w:val="000000" w:themeColor="text1"/>
                      <w14:textFill>
                        <w14:solidFill>
                          <w14:schemeClr w14:val="tx1"/>
                        </w14:solidFill>
                      </w14:textFill>
                    </w:rPr>
                  </m:ctrlPr>
                </m:naryPr>
                <m:sub>
                  <m:r>
                    <m:rPr>
                      <m:nor/>
                      <m:sty m:val="p"/>
                    </m:rPr>
                    <w:rPr>
                      <w:rFonts w:hint="default" w:ascii="Times New Roman" w:hAnsi="Times New Roman" w:eastAsia="宋体" w:cs="Times New Roman"/>
                      <w:b w:val="0"/>
                      <w:i w:val="0"/>
                      <w:color w:val="000000" w:themeColor="text1"/>
                      <w14:textFill>
                        <w14:solidFill>
                          <w14:schemeClr w14:val="tx1"/>
                        </w14:solidFill>
                      </w14:textFill>
                    </w:rPr>
                    <m:t>k=1</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p>
                <m:e>
                  <m:nary>
                    <m:naryPr>
                      <m:chr m:val="∑"/>
                      <m:limLoc m:val="undOvr"/>
                      <m:supHide m:val="1"/>
                      <m:ctrlPr>
                        <w:rPr>
                          <w:rFonts w:hint="default" w:ascii="Cambria Math" w:hAnsi="Cambria Math" w:eastAsia="宋体" w:cs="Times New Roman"/>
                          <w:color w:val="000000" w:themeColor="text1"/>
                          <w14:textFill>
                            <w14:solidFill>
                              <w14:schemeClr w14:val="tx1"/>
                            </w14:solidFill>
                          </w14:textFill>
                        </w:rPr>
                      </m:ctrlPr>
                    </m:naryPr>
                    <m:sub>
                      <m:r>
                        <m:rPr>
                          <m:nor/>
                          <m:sty m:val="p"/>
                        </m:rPr>
                        <w:rPr>
                          <w:rFonts w:hint="default" w:ascii="Times New Roman" w:hAnsi="Times New Roman" w:eastAsia="宋体" w:cs="Times New Roman"/>
                          <w:b w:val="0"/>
                          <w:i w:val="0"/>
                          <w:color w:val="000000" w:themeColor="text1"/>
                          <w14:textFill>
                            <w14:solidFill>
                              <w14:schemeClr w14:val="tx1"/>
                            </w14:solidFill>
                          </w14:textFill>
                        </w:rPr>
                        <m:t>x∈</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sub>
                    <m:sup>
                      <m:ctrlPr>
                        <w:rPr>
                          <w:rFonts w:hint="default" w:ascii="Cambria Math" w:hAnsi="Cambria Math" w:eastAsia="宋体" w:cs="Times New Roman"/>
                          <w:color w:val="000000" w:themeColor="text1"/>
                          <w14:textFill>
                            <w14:solidFill>
                              <w14:schemeClr w14:val="tx1"/>
                            </w14:solidFill>
                          </w14:textFill>
                        </w:rPr>
                      </m:ctrlPr>
                    </m:sup>
                    <m:e>
                      <m:sSup>
                        <m:sSupPr>
                          <m:ctrlPr>
                            <w:rPr>
                              <w:rFonts w:hint="default" w:ascii="Cambria Math" w:hAnsi="Cambria Math" w:eastAsia="宋体" w:cs="Times New Roman"/>
                              <w:color w:val="000000" w:themeColor="text1"/>
                              <w14:textFill>
                                <w14:solidFill>
                                  <w14:schemeClr w14:val="tx1"/>
                                </w14:solidFill>
                              </w14:textFill>
                            </w:rPr>
                          </m:ctrlPr>
                        </m:sSupPr>
                        <m:e>
                          <m:d>
                            <m:dPr>
                              <m:begChr m:val="‖"/>
                              <m:endChr m:val=""/>
                              <m:ctrlPr>
                                <w:rPr>
                                  <w:rFonts w:hint="default" w:ascii="Cambria Math" w:hAnsi="Cambria Math" w:eastAsia="宋体" w:cs="Times New Roman"/>
                                  <w:color w:val="000000" w:themeColor="text1"/>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p>
                      </m:sSup>
                      <m:ctrlPr>
                        <w:rPr>
                          <w:rFonts w:hint="default" w:ascii="Cambria Math" w:hAnsi="Cambria Math" w:eastAsia="宋体" w:cs="Times New Roman"/>
                          <w:color w:val="000000" w:themeColor="text1"/>
                          <w14:textFill>
                            <w14:solidFill>
                              <w14:schemeClr w14:val="tx1"/>
                            </w14:solidFill>
                          </w14:textFill>
                        </w:rPr>
                      </m:ctrlPr>
                    </m:e>
                  </m:nary>
                  <m:ctrlPr>
                    <w:rPr>
                      <w:rFonts w:hint="default" w:ascii="Cambria Math" w:hAnsi="Cambria Math" w:eastAsia="宋体" w:cs="Times New Roman"/>
                      <w:color w:val="000000" w:themeColor="text1"/>
                      <w14:textFill>
                        <w14:solidFill>
                          <w14:schemeClr w14:val="tx1"/>
                        </w14:solidFill>
                      </w14:textFill>
                    </w:rPr>
                  </m:ctrlPr>
                </m:e>
              </m:nary>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(7)</m:t>
              </m:r>
              <m:ctrlPr>
                <w:rPr>
                  <w:rFonts w:hint="default" w:ascii="Cambria Math" w:hAnsi="Cambria Math" w:eastAsia="宋体" w:cs="Times New Roman"/>
                  <w:color w:val="000000" w:themeColor="text1"/>
                  <w14:textFill>
                    <w14:solidFill>
                      <w14:schemeClr w14:val="tx1"/>
                    </w14:solidFill>
                  </w14:textFill>
                </w:rPr>
              </m:ctrlPr>
            </m:e>
          </m:eqArr>
        </m:oMath>
      </m:oMathPara>
    </w:p>
    <w:p w14:paraId="2A64EF2F">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set of features in the kth cluster,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mean vector of features in the cluster, or the corresponding prototype center, and K is the number of prototypes built for each category (K=3 in this paper). The KMeans algorithm divides the data into clusters and finds the center of each cluster by summing the squares of the distances from each sample point to the cluster center to which it belongs. This ensures that the samples in the clusters are as close together as possible.It should be noted that the KMeans algorithm serves solely as an offline unsupervised clustering tool to assist in uncovering intra-category diversity. This approach does not interfere with the labeled supervised training process of the main classification task, but rather enhances the robustness and accuracy of distance metric learning and classification by enriching the structural information of prototype centers.</w:t>
      </w:r>
    </w:p>
    <w:p w14:paraId="1ACAD6BA">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w:t>
      </w:r>
      <w:r>
        <w:rPr>
          <w:rFonts w:hint="default" w:ascii="Times New Roman" w:hAnsi="Times New Roman" w:cs="Times New Roman"/>
          <w:b/>
          <w:bCs/>
          <w:sz w:val="24"/>
          <w:szCs w:val="24"/>
          <w:lang w:val="en-US" w:eastAsia="zh-CN"/>
        </w:rPr>
        <w:t>6</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Prototype Normalization and Minimum-Distance Selection</w:t>
      </w:r>
    </w:p>
    <w:p w14:paraId="2A18D770">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After constructing the prototypes, we perform L2 normalization on all prototypes to eliminate the effect of feature scale differences on subsequent distance calculations. For each prototype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k </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the normalized prototype is represented as follows: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sty m:val="p"/>
                        </m:rPr>
                        <w:rPr>
                          <w:rFonts w:hint="default" w:ascii="Times New Roman" w:hAnsi="Times New Roman"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f>
                <m:fPr>
                  <m:ctrlPr>
                    <w:rPr>
                      <w:rFonts w:hint="default" w:ascii="Cambria Math" w:hAnsi="Cambria Math" w:eastAsia="宋体" w:cs="Times New Roman"/>
                      <w:color w:val="000000" w:themeColor="text1"/>
                      <w14:textFill>
                        <w14:solidFill>
                          <w14:schemeClr w14:val="tx1"/>
                        </w14:solidFill>
                      </w14:textFill>
                    </w:rPr>
                  </m:ctrlPr>
                </m:fPr>
                <m:num>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num>
                <m:den>
                  <m:sSub>
                    <m:sSubPr>
                      <m:ctrlPr>
                        <w:rPr>
                          <w:rFonts w:hint="default" w:ascii="Cambria Math" w:hAnsi="Cambria Math" w:eastAsia="宋体" w:cs="Times New Roman"/>
                          <w:color w:val="000000" w:themeColor="text1"/>
                          <w14:textFill>
                            <w14:solidFill>
                              <w14:schemeClr w14:val="tx1"/>
                            </w14:solidFill>
                          </w14:textFill>
                        </w:rPr>
                      </m:ctrlPr>
                    </m:sSubPr>
                    <m:e>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den>
              </m:f>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(8)</m:t>
              </m:r>
              <m:ctrlPr>
                <w:rPr>
                  <w:rFonts w:hint="default" w:ascii="Cambria Math" w:hAnsi="Cambria Math" w:eastAsia="宋体" w:cs="Times New Roman"/>
                  <w:color w:val="000000" w:themeColor="text1"/>
                  <w14:textFill>
                    <w14:solidFill>
                      <w14:schemeClr w14:val="tx1"/>
                    </w14:solidFill>
                  </w14:textFill>
                </w:rPr>
              </m:ctrlPr>
            </m:e>
          </m:eqArr>
        </m:oMath>
      </m:oMathPara>
    </w:p>
    <w:p w14:paraId="70097555">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Subsequently, when classifying samples from a Query set, we compute the Euclidean distance between each query sample feature and multiple prototypes of the corresponding category separately, and select the smallest of these distances as the distance between that query sample and that category:</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d</m:t>
              </m:r>
              <m:d>
                <m:dPr>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func>
                <m:funcPr>
                  <m:ctrlPr>
                    <w:rPr>
                      <w:rFonts w:hint="default" w:ascii="Cambria Math" w:hAnsi="Cambria Math" w:eastAsia="宋体" w:cs="Times New Roman"/>
                      <w:color w:val="000000" w:themeColor="text1"/>
                      <w14:textFill>
                        <w14:solidFill>
                          <w14:schemeClr w14:val="tx1"/>
                        </w14:solidFill>
                      </w14:textFill>
                    </w:rPr>
                  </m:ctrlPr>
                </m:funcPr>
                <m:fName>
                  <m:limLow>
                    <m:limLowPr>
                      <m:ctrlPr>
                        <w:rPr>
                          <w:rFonts w:hint="default" w:ascii="Cambria Math" w:hAnsi="Cambria Math" w:eastAsia="宋体" w:cs="Times New Roman"/>
                          <w:color w:val="000000" w:themeColor="text1"/>
                          <w14:textFill>
                            <w14:solidFill>
                              <w14:schemeClr w14:val="tx1"/>
                            </w14:solidFill>
                          </w14:textFill>
                        </w:rPr>
                      </m:ctrlPr>
                    </m:limLowPr>
                    <m:e>
                      <m:r>
                        <m:rPr>
                          <m:nor/>
                          <m:sty m:val="p"/>
                        </m:rPr>
                        <w:rPr>
                          <w:rFonts w:hint="default" w:ascii="Times New Roman" w:hAnsi="Times New Roman" w:eastAsia="宋体" w:cs="Times New Roman"/>
                          <w:b w:val="0"/>
                          <w:i w:val="0"/>
                          <w:color w:val="000000" w:themeColor="text1"/>
                          <w14:textFill>
                            <w14:solidFill>
                              <w14:schemeClr w14:val="tx1"/>
                            </w14:solidFill>
                          </w14:textFill>
                        </w:rPr>
                        <m:t>min</m:t>
                      </m:r>
                      <m:ctrlPr>
                        <w:rPr>
                          <w:rFonts w:hint="default" w:ascii="Cambria Math" w:hAnsi="Cambria Math" w:eastAsia="宋体" w:cs="Times New Roman"/>
                          <w:color w:val="000000" w:themeColor="text1"/>
                          <w14:textFill>
                            <w14:solidFill>
                              <w14:schemeClr w14:val="tx1"/>
                            </w14:solidFill>
                          </w14:textFill>
                        </w:rPr>
                      </m:ctrlPr>
                    </m:e>
                    <m:lim>
                      <m:r>
                        <m:rPr>
                          <m:nor/>
                          <m:sty m:val="p"/>
                        </m:rPr>
                        <w:rPr>
                          <w:rFonts w:hint="default" w:ascii="Times New Roman" w:hAnsi="Times New Roman" w:eastAsia="宋体" w:cs="Times New Roman"/>
                          <w:b w:val="0"/>
                          <w:i w:val="0"/>
                          <w:color w:val="000000" w:themeColor="text1"/>
                          <w14:textFill>
                            <w14:solidFill>
                              <w14:schemeClr w14:val="tx1"/>
                            </w14:solidFill>
                          </w14:textFill>
                        </w:rPr>
                        <m:t>k=1,...,K</m:t>
                      </m:r>
                      <m:ctrlPr>
                        <w:rPr>
                          <w:rFonts w:hint="default" w:ascii="Cambria Math" w:hAnsi="Cambria Math" w:eastAsia="宋体" w:cs="Times New Roman"/>
                          <w:color w:val="000000" w:themeColor="text1"/>
                          <w14:textFill>
                            <w14:solidFill>
                              <w14:schemeClr w14:val="tx1"/>
                            </w14:solidFill>
                          </w14:textFill>
                        </w:rPr>
                      </m:ctrlPr>
                    </m:lim>
                  </m:limLow>
                  <m:ctrlPr>
                    <w:rPr>
                      <w:rFonts w:hint="default" w:ascii="Cambria Math" w:hAnsi="Cambria Math" w:eastAsia="宋体" w:cs="Times New Roman"/>
                      <w:color w:val="000000" w:themeColor="text1"/>
                      <w14:textFill>
                        <w14:solidFill>
                          <w14:schemeClr w14:val="tx1"/>
                        </w14:solidFill>
                      </w14:textFill>
                    </w:rPr>
                  </m:ctrlPr>
                </m:fName>
                <m:e>
                  <m:sSub>
                    <m:sSubPr>
                      <m:ctrlPr>
                        <w:rPr>
                          <w:rFonts w:hint="default" w:ascii="Cambria Math" w:hAnsi="Cambria Math" w:eastAsia="宋体" w:cs="Times New Roman"/>
                          <w:color w:val="000000" w:themeColor="text1"/>
                          <w14:textFill>
                            <w14:solidFill>
                              <w14:schemeClr w14:val="tx1"/>
                            </w14:solidFill>
                          </w14:textFill>
                        </w:rPr>
                      </m:ctrlPr>
                    </m:sSubPr>
                    <m:e>
                      <m:d>
                        <m:dPr>
                          <m:begChr m:val="‖"/>
                          <m:endChr m:val=""/>
                          <m:ctrlPr>
                            <w:rPr>
                              <w:rFonts w:hint="default" w:ascii="Cambria Math" w:hAnsi="Cambria Math" w:eastAsia="宋体" w:cs="Times New Roman"/>
                              <w:color w:val="000000" w:themeColor="text1"/>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sty m:val="p"/>
                                    </m:rPr>
                                    <w:rPr>
                                      <w:rFonts w:hint="default" w:ascii="Times New Roman" w:hAnsi="Times New Roman"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func>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(9)</m:t>
              </m:r>
              <m:ctrlPr>
                <w:rPr>
                  <w:rFonts w:hint="default" w:ascii="Cambria Math" w:hAnsi="Cambria Math" w:eastAsia="宋体" w:cs="Times New Roman"/>
                  <w:color w:val="000000" w:themeColor="text1"/>
                  <w14:textFill>
                    <w14:solidFill>
                      <w14:schemeClr w14:val="tx1"/>
                    </w14:solidFill>
                  </w14:textFill>
                </w:rPr>
              </m:ctrlPr>
            </m:e>
          </m:eqArr>
        </m:oMath>
      </m:oMathPara>
    </w:p>
    <w:p w14:paraId="007B080C">
      <w:p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features of the query sample, C is the set of prototypes in a category. This minimum distance strategy can effectively capture the nearest local features within a category, thus improving the accuracy of classification.</w:t>
      </w:r>
    </w:p>
    <w:p w14:paraId="26281236">
      <w:pPr>
        <w:spacing w:line="480" w:lineRule="auto"/>
        <w:rPr>
          <w:rFonts w:hint="default" w:ascii="Times New Roman" w:hAnsi="Times New Roman" w:cs="Times New Roman"/>
          <w:b/>
          <w:bCs/>
          <w:sz w:val="28"/>
          <w:szCs w:val="28"/>
        </w:rPr>
      </w:pPr>
    </w:p>
    <w:p w14:paraId="5E9A843C">
      <w:pPr>
        <w:spacing w:line="480" w:lineRule="auto"/>
        <w:rPr>
          <w:rFonts w:hint="default" w:ascii="Times New Roman" w:hAnsi="Times New Roman" w:cs="Times New Roman"/>
          <w:b/>
          <w:bCs/>
          <w:sz w:val="28"/>
          <w:szCs w:val="28"/>
        </w:rPr>
      </w:pPr>
    </w:p>
    <w:p w14:paraId="1EEB5121">
      <w:pPr>
        <w:spacing w:line="480" w:lineRule="auto"/>
        <w:rPr>
          <w:rFonts w:hint="default" w:ascii="Times New Roman" w:hAnsi="Times New Roman" w:cs="Times New Roman"/>
          <w:b/>
          <w:bCs/>
          <w:sz w:val="28"/>
          <w:szCs w:val="28"/>
        </w:rPr>
      </w:pPr>
    </w:p>
    <w:p w14:paraId="3012E52F">
      <w:pPr>
        <w:spacing w:line="480" w:lineRule="auto"/>
        <w:rPr>
          <w:rFonts w:hint="default" w:ascii="Times New Roman" w:hAnsi="Times New Roman" w:cs="Times New Roman"/>
          <w:b/>
          <w:bCs/>
          <w:sz w:val="28"/>
          <w:szCs w:val="28"/>
        </w:rPr>
      </w:pPr>
    </w:p>
    <w:p w14:paraId="1D920529">
      <w:pPr>
        <w:spacing w:line="480" w:lineRule="auto"/>
        <w:rPr>
          <w:rFonts w:hint="default" w:ascii="Times New Roman" w:hAnsi="Times New Roman" w:cs="Times New Roman"/>
          <w:b/>
          <w:bCs/>
          <w:sz w:val="28"/>
          <w:szCs w:val="28"/>
        </w:rPr>
      </w:pPr>
    </w:p>
    <w:p w14:paraId="334BB075">
      <w:pPr>
        <w:spacing w:line="480" w:lineRule="auto"/>
        <w:rPr>
          <w:rFonts w:hint="default" w:ascii="Times New Roman" w:hAnsi="Times New Roman" w:cs="Times New Roman"/>
          <w:b/>
          <w:bCs/>
          <w:sz w:val="28"/>
          <w:szCs w:val="28"/>
        </w:rPr>
      </w:pPr>
    </w:p>
    <w:p w14:paraId="51999D59">
      <w:pPr>
        <w:spacing w:line="480" w:lineRule="auto"/>
        <w:rPr>
          <w:rFonts w:hint="default" w:ascii="Times New Roman" w:hAnsi="Times New Roman" w:cs="Times New Roman"/>
          <w:b/>
          <w:bCs/>
          <w:sz w:val="28"/>
          <w:szCs w:val="28"/>
        </w:rPr>
      </w:pPr>
    </w:p>
    <w:p w14:paraId="1744EF4A">
      <w:pPr>
        <w:spacing w:line="480" w:lineRule="auto"/>
        <w:rPr>
          <w:rFonts w:hint="default" w:ascii="Times New Roman" w:hAnsi="Times New Roman" w:cs="Times New Roman"/>
          <w:b/>
          <w:bCs/>
          <w:sz w:val="28"/>
          <w:szCs w:val="28"/>
        </w:rPr>
      </w:pPr>
    </w:p>
    <w:p w14:paraId="1D7BEDB6">
      <w:pPr>
        <w:spacing w:line="480" w:lineRule="auto"/>
        <w:rPr>
          <w:rFonts w:hint="default" w:ascii="Times New Roman" w:hAnsi="Times New Roman" w:cs="Times New Roman"/>
          <w:b/>
          <w:bCs/>
          <w:sz w:val="28"/>
          <w:szCs w:val="28"/>
        </w:rPr>
      </w:pPr>
    </w:p>
    <w:p w14:paraId="424B27D3">
      <w:pPr>
        <w:spacing w:line="480" w:lineRule="auto"/>
        <w:rPr>
          <w:rFonts w:hint="default" w:ascii="Times New Roman" w:hAnsi="Times New Roman" w:cs="Times New Roman"/>
          <w:b/>
          <w:bCs/>
          <w:sz w:val="28"/>
          <w:szCs w:val="28"/>
        </w:rPr>
      </w:pPr>
    </w:p>
    <w:p w14:paraId="0DD88C67">
      <w:pPr>
        <w:spacing w:line="480" w:lineRule="auto"/>
        <w:rPr>
          <w:rFonts w:hint="default" w:ascii="Times New Roman" w:hAnsi="Times New Roman" w:cs="Times New Roman"/>
          <w:b/>
          <w:bCs/>
          <w:sz w:val="28"/>
          <w:szCs w:val="28"/>
        </w:rPr>
      </w:pPr>
    </w:p>
    <w:p w14:paraId="01FD4D13">
      <w:pPr>
        <w:spacing w:line="480" w:lineRule="auto"/>
        <w:rPr>
          <w:rFonts w:hint="default" w:ascii="Times New Roman" w:hAnsi="Times New Roman" w:cs="Times New Roman"/>
          <w:b/>
          <w:bCs/>
          <w:sz w:val="28"/>
          <w:szCs w:val="28"/>
        </w:rPr>
      </w:pPr>
    </w:p>
    <w:p w14:paraId="1DB695B4">
      <w:pPr>
        <w:spacing w:line="480" w:lineRule="auto"/>
        <w:rPr>
          <w:rFonts w:hint="default" w:ascii="Times New Roman" w:hAnsi="Times New Roman" w:cs="Times New Roman"/>
          <w:b/>
          <w:bCs/>
          <w:sz w:val="28"/>
          <w:szCs w:val="28"/>
        </w:rPr>
      </w:pPr>
    </w:p>
    <w:p w14:paraId="5E076B69">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 Appendix. </w:t>
      </w:r>
      <w:r>
        <w:rPr>
          <w:rFonts w:hint="default" w:ascii="Times New Roman" w:hAnsi="Times New Roman" w:cs="Times New Roman"/>
          <w:b/>
          <w:bCs/>
          <w:sz w:val="24"/>
          <w:szCs w:val="24"/>
        </w:rPr>
        <w:t>Loss Function Design</w:t>
      </w:r>
    </w:p>
    <w:p w14:paraId="529F2913">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S7.1 </w:t>
      </w:r>
      <w:r>
        <w:rPr>
          <w:rFonts w:hint="default" w:ascii="Times New Roman" w:hAnsi="Times New Roman" w:cs="Times New Roman"/>
          <w:b/>
          <w:bCs/>
          <w:sz w:val="24"/>
          <w:szCs w:val="24"/>
        </w:rPr>
        <w:t>Multi-prototype Classification Loss</w:t>
      </w:r>
    </w:p>
    <w:p w14:paraId="613F778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In order to overcome the shortcoming of traditional prototype networks that cannot adequately express the diversity within the categories with only a single center, we generate K=3 prototypes for each category by KMeans on the support set </w:t>
      </w:r>
      <m:oMath>
        <m:sSubSup>
          <m:sSubSupPr>
            <m:ctrlPr>
              <w:rPr>
                <w:rFonts w:hint="default" w:ascii="Cambria Math" w:hAnsi="Cambria Math" w:eastAsia="宋体" w:cs="Times New Roman"/>
              </w:rPr>
            </m:ctrlPr>
          </m:sSubSup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k=1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3</m:t>
            </m:r>
            <m:ctrlPr>
              <w:rPr>
                <w:rFonts w:hint="default" w:ascii="Cambria Math" w:hAnsi="Cambria Math" w:eastAsia="宋体" w:cs="Times New Roman"/>
              </w:rPr>
            </m:ctrlPr>
          </m:sup>
        </m:sSubSup>
      </m:oMath>
      <w:r>
        <w:rPr>
          <w:rFonts w:hint="default" w:ascii="Times New Roman" w:hAnsi="Times New Roman" w:eastAsia="宋体" w:cs="Times New Roman"/>
        </w:rPr>
        <w:t xml:space="preserve"> and adopt the “minimum distance” criterion in the query stage for classification. Specifically, let the query sample be characterized as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oMath>
      <w:r>
        <w:rPr>
          <w:rFonts w:hint="default" w:ascii="Times New Roman" w:hAnsi="Times New Roman" w:eastAsia="宋体" w:cs="Times New Roman"/>
        </w:rPr>
        <w:t xml:space="preserve"> , and its distance to category c is defined as:</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func>
                <m:funcPr>
                  <m:ctrlPr>
                    <w:rPr>
                      <w:rFonts w:hint="default" w:ascii="Cambria Math" w:hAnsi="Cambria Math" w:eastAsia="宋体" w:cs="Times New Roman"/>
                    </w:rPr>
                  </m:ctrlPr>
                </m:funcPr>
                <m:fName>
                  <m:limLow>
                    <m:limLowPr>
                      <m:ctrlPr>
                        <w:rPr>
                          <w:rFonts w:hint="default" w:ascii="Cambria Math" w:hAnsi="Cambria Math" w:eastAsia="宋体" w:cs="Times New Roman"/>
                        </w:rPr>
                      </m:ctrlPr>
                    </m:limLowPr>
                    <m:e>
                      <m:r>
                        <m:rPr>
                          <m:nor/>
                          <m:sty m:val="p"/>
                        </m:rPr>
                        <w:rPr>
                          <w:rFonts w:hint="default" w:ascii="Times New Roman" w:hAnsi="Times New Roman" w:eastAsia="宋体" w:cs="Times New Roman"/>
                          <w:b w:val="0"/>
                          <w:i w:val="0"/>
                        </w:rPr>
                        <m:t>min</m:t>
                      </m:r>
                      <m:ctrlPr>
                        <w:rPr>
                          <w:rFonts w:hint="default" w:ascii="Cambria Math" w:hAnsi="Cambria Math" w:eastAsia="宋体" w:cs="Times New Roman"/>
                        </w:rPr>
                      </m:ctrlPr>
                    </m:e>
                    <m:lim>
                      <m:r>
                        <m:rPr>
                          <m:nor/>
                          <m:sty m:val="p"/>
                        </m:rPr>
                        <w:rPr>
                          <w:rFonts w:hint="default" w:ascii="Times New Roman" w:hAnsi="Times New Roman" w:eastAsia="宋体" w:cs="Times New Roman"/>
                          <w:b w:val="0"/>
                          <w:i w:val="0"/>
                        </w:rPr>
                        <m:t>1≤k≤3</m:t>
                      </m:r>
                      <m:ctrlPr>
                        <w:rPr>
                          <w:rFonts w:hint="default" w:ascii="Cambria Math" w:hAnsi="Cambria Math" w:eastAsia="宋体" w:cs="Times New Roman"/>
                        </w:rPr>
                      </m:ctrlPr>
                    </m:lim>
                  </m:limLow>
                  <m:ctrlPr>
                    <w:rPr>
                      <w:rFonts w:hint="default" w:ascii="Cambria Math" w:hAnsi="Cambria Math" w:eastAsia="宋体" w:cs="Times New Roman"/>
                    </w:rPr>
                  </m:ctrlPr>
                </m:fName>
                <m:e>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ctrlPr>
                    <w:rPr>
                      <w:rFonts w:hint="default" w:ascii="Cambria Math" w:hAnsi="Cambria Math" w:eastAsia="宋体" w:cs="Times New Roman"/>
                    </w:rPr>
                  </m:ctrlPr>
                </m:e>
              </m:func>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(10)</m:t>
              </m:r>
              <m:ctrlPr>
                <w:rPr>
                  <w:rFonts w:hint="default" w:ascii="Cambria Math" w:hAnsi="Cambria Math" w:eastAsia="宋体" w:cs="Times New Roman"/>
                </w:rPr>
              </m:ctrlPr>
            </m:e>
          </m:eqArr>
          <m:r>
            <m:rPr>
              <m:nor/>
              <m:sty m:val="p"/>
            </m:rPr>
            <w:rPr>
              <w:rFonts w:hint="default" w:ascii="Times New Roman" w:hAnsi="Times New Roman" w:eastAsia="宋体" w:cs="Times New Roman"/>
              <w:b w:val="0"/>
              <w:i w:val="0"/>
            </w:rPr>
            <w:br w:type="textWrapping"/>
          </m:r>
        </m:oMath>
      </m:oMathPara>
      <w:r>
        <w:rPr>
          <w:rFonts w:hint="default" w:ascii="Times New Roman" w:hAnsi="Times New Roman" w:eastAsia="宋体" w:cs="Times New Roman"/>
        </w:rPr>
        <w:t>and use negative distances as categorical logits:</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(11)</m:t>
              </m:r>
              <m:ctrlPr>
                <w:rPr>
                  <w:rFonts w:hint="default" w:ascii="Cambria Math" w:hAnsi="Cambria Math" w:eastAsia="宋体" w:cs="Times New Roman"/>
                </w:rPr>
              </m:ctrlPr>
            </m:e>
          </m:eqArr>
          <m:r>
            <m:rPr>
              <m:nor/>
              <m:sty m:val="p"/>
            </m:rPr>
            <w:rPr>
              <w:rFonts w:hint="default" w:ascii="Times New Roman" w:hAnsi="Times New Roman" w:eastAsia="宋体" w:cs="Times New Roman"/>
              <w:b w:val="0"/>
              <w:i w:val="0"/>
            </w:rPr>
            <w:br w:type="textWrapping"/>
          </m:r>
        </m:oMath>
      </m:oMathPara>
      <w:r>
        <w:rPr>
          <w:rFonts w:hint="default" w:ascii="Times New Roman" w:hAnsi="Times New Roman" w:eastAsia="宋体" w:cs="Times New Roman"/>
        </w:rPr>
        <w:t>Weighted cross-entropy was used for the final loss:</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proto</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c=1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ω</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1</m:t>
                  </m:r>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e>
                  </m:d>
                  <m:ctrlPr>
                    <w:rPr>
                      <w:rFonts w:hint="default" w:ascii="Cambria Math" w:hAnsi="Cambria Math" w:eastAsia="宋体" w:cs="Times New Roman"/>
                    </w:rPr>
                  </m:ctrlPr>
                </m:e>
              </m:nary>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func>
                    <m:funcPr>
                      <m:ctrlPr>
                        <w:rPr>
                          <w:rFonts w:hint="default" w:ascii="Cambria Math" w:hAnsi="Cambria Math" w:eastAsia="宋体" w:cs="Times New Roman"/>
                        </w:rPr>
                      </m:ctrlPr>
                    </m:funcPr>
                    <m:fName>
                      <m:r>
                        <m:rPr>
                          <m:nor/>
                          <m:sty m:val="p"/>
                        </m:rPr>
                        <w:rPr>
                          <w:rFonts w:hint="default" w:ascii="Times New Roman" w:hAnsi="Times New Roman" w:eastAsia="宋体" w:cs="Times New Roman"/>
                          <w:b w:val="0"/>
                          <w:i w:val="0"/>
                        </w:rPr>
                        <m:t>log</m:t>
                      </m:r>
                      <m:ctrlPr>
                        <w:rPr>
                          <w:rFonts w:hint="default" w:ascii="Cambria Math" w:hAnsi="Cambria Math" w:eastAsia="宋体" w:cs="Times New Roman"/>
                        </w:rPr>
                      </m:ctrlPr>
                    </m:fName>
                    <m:e>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j=1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p>
                        <m:e>
                          <m:sSup>
                            <m:sSupPr>
                              <m:ctrlPr>
                                <w:rPr>
                                  <w:rFonts w:hint="default" w:ascii="Cambria Math" w:hAnsi="Cambria Math" w:eastAsia="宋体" w:cs="Times New Roman"/>
                                </w:rPr>
                              </m:ctrlPr>
                            </m:sSup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p>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sup>
                          </m:sSup>
                          <m:ctrlPr>
                            <w:rPr>
                              <w:rFonts w:hint="default" w:ascii="Cambria Math" w:hAnsi="Cambria Math" w:eastAsia="宋体" w:cs="Times New Roman"/>
                            </w:rPr>
                          </m:ctrlPr>
                        </m:e>
                      </m:nary>
                      <m:ctrlPr>
                        <w:rPr>
                          <w:rFonts w:hint="default" w:ascii="Cambria Math" w:hAnsi="Cambria Math" w:eastAsia="宋体" w:cs="Times New Roman"/>
                        </w:rPr>
                      </m:ctrlPr>
                    </m:e>
                  </m:func>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(12)</m:t>
              </m:r>
              <m:ctrlPr>
                <w:rPr>
                  <w:rFonts w:hint="default" w:ascii="Cambria Math" w:hAnsi="Cambria Math" w:eastAsia="宋体" w:cs="Times New Roman"/>
                </w:rPr>
              </m:ctrlPr>
            </m:e>
          </m:eqArr>
        </m:oMath>
      </m:oMathPara>
    </w:p>
    <w:p w14:paraId="480D3DAA">
      <w:pPr>
        <w:spacing w:line="480" w:lineRule="auto"/>
        <w:rPr>
          <w:rFonts w:hint="default" w:ascii="Times New Roman" w:hAnsi="Times New Roman" w:eastAsia="宋体" w:cs="Times New Roman"/>
        </w:rPr>
      </w:pPr>
      <w:r>
        <w:rPr>
          <w:rFonts w:hint="default" w:ascii="Times New Roman" w:hAnsi="Times New Roman" w:eastAsia="宋体" w:cs="Times New Roman"/>
        </w:rPr>
        <w:t xml:space="preserve">where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ω</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oMath>
      <w:r>
        <w:rPr>
          <w:rFonts w:hint="default" w:ascii="Times New Roman" w:hAnsi="Times New Roman" w:eastAsia="宋体" w:cs="Times New Roman"/>
        </w:rPr>
        <w:t xml:space="preserve"> is set based on category frequency to mitigate positive and negative category imbalances.</w:t>
      </w:r>
    </w:p>
    <w:p w14:paraId="20F9974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In principle, the multi-prototype approach is equivalent to a multi-peak (Mixture) approximation of the class-conditional distribution </w:t>
      </w:r>
      <m:oMath>
        <m:r>
          <m:rPr>
            <m:nor/>
            <m:sty m:val="p"/>
          </m:rPr>
          <w:rPr>
            <w:rFonts w:hint="default" w:ascii="Times New Roman" w:hAnsi="Times New Roman" w:eastAsia="宋体" w:cs="Times New Roman"/>
            <w:b w:val="0"/>
            <w:i w:val="0"/>
          </w:rPr>
          <m:t>p</m:t>
        </m:r>
        <m:d>
          <m:dPr>
            <m:ctrlPr>
              <w:rPr>
                <w:rFonts w:hint="default" w:ascii="Cambria Math" w:hAnsi="Cambria Math" w:eastAsia="宋体" w:cs="Times New Roman"/>
              </w:rPr>
            </m:ctrlPr>
          </m:d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e>
            <m:r>
              <m:rPr>
                <m:nor/>
                <m:sty m:val="p"/>
              </m:rPr>
              <w:rPr>
                <w:rFonts w:hint="default" w:ascii="Times New Roman" w:hAnsi="Times New Roman" w:eastAsia="宋体" w:cs="Times New Roman"/>
                <w:b w:val="0"/>
                <w:i w:val="0"/>
              </w:rPr>
              <m:t>y=c</m:t>
            </m:r>
            <m:ctrlPr>
              <w:rPr>
                <w:rFonts w:hint="default" w:ascii="Cambria Math" w:hAnsi="Cambria Math" w:eastAsia="宋体" w:cs="Times New Roman"/>
              </w:rPr>
            </m:ctrlPr>
          </m:e>
        </m:d>
      </m:oMath>
      <w:r>
        <w:rPr>
          <w:rFonts w:hint="default" w:ascii="Times New Roman" w:hAnsi="Times New Roman" w:eastAsia="宋体" w:cs="Times New Roman"/>
        </w:rPr>
        <w:t xml:space="preserve"> for each category, i.e., each prototype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oMath>
      <w:r>
        <w:rPr>
          <w:rFonts w:hint="default" w:ascii="Times New Roman" w:hAnsi="Times New Roman" w:eastAsia="宋体" w:cs="Times New Roman"/>
        </w:rPr>
        <w:t xml:space="preserve"> corresponds to a high-density subgroup. Selecting the center of the nearest subpopulation when querying is able to capture the multimodal structure within the category, which in turn forms a segmented decision boundary consisting of Voronoi regions; at the same time, using the minimum distance instead of the mean distance effectively reduces the sensitivity to outliers and noise.</w:t>
      </w:r>
    </w:p>
    <w:p w14:paraId="589D785C">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S7.2 </w:t>
      </w:r>
      <w:r>
        <w:rPr>
          <w:rFonts w:hint="default" w:ascii="Times New Roman" w:hAnsi="Times New Roman" w:cs="Times New Roman"/>
          <w:b/>
          <w:bCs/>
          <w:sz w:val="24"/>
          <w:szCs w:val="24"/>
        </w:rPr>
        <w:t>Anchor Alignment Loss</w:t>
      </w:r>
    </w:p>
    <w:p w14:paraId="1FE11BCA">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Although AnchorFeatureGenerator is capable of generating diverse pseudo-samples, if its features are semantically offset from the true category center (Anchor), it introduces noise and weakens subsequent prototype learning. For this reason, we introduce an Anchor alignment loss in training by constraining the cosine similarity of each pseudo-sample feature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oMath>
      <w:r>
        <w:rPr>
          <w:rFonts w:hint="default" w:ascii="Times New Roman" w:hAnsi="Times New Roman" w:eastAsia="宋体" w:cs="Times New Roman"/>
        </w:rPr>
        <w:t xml:space="preserve"> to its corresponding SwAV pre-trained Anchor vector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ji</m:t>
            </m:r>
            <m:ctrlPr>
              <w:rPr>
                <w:rFonts w:hint="default" w:ascii="Cambria Math" w:hAnsi="Cambria Math" w:eastAsia="宋体" w:cs="Times New Roman"/>
              </w:rPr>
            </m:ctrlPr>
          </m:sub>
        </m:sSub>
      </m:oMath>
      <w:r>
        <w:rPr>
          <w:rFonts w:hint="default" w:ascii="Times New Roman" w:hAnsi="Times New Roman" w:eastAsia="宋体" w:cs="Times New Roman"/>
        </w:rPr>
        <w:t>:</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align</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=1</m:t>
              </m:r>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N</m:t>
                  </m:r>
                  <m:ctrlPr>
                    <w:rPr>
                      <w:rFonts w:hint="default" w:ascii="Cambria Math" w:hAnsi="Cambria Math" w:eastAsia="宋体" w:cs="Times New Roman"/>
                    </w:rPr>
                  </m:ctrlPr>
                </m:den>
              </m:f>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i=1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m:t>
                  </m:r>
                  <m:ctrlPr>
                    <w:rPr>
                      <w:rFonts w:hint="default" w:ascii="Cambria Math" w:hAnsi="Cambria Math" w:eastAsia="宋体" w:cs="Times New Roman"/>
                    </w:rPr>
                  </m:ctrlPr>
                </m:sup>
                <m:e>
                  <m:f>
                    <m:fPr>
                      <m:ctrlPr>
                        <w:rPr>
                          <w:rFonts w:hint="default" w:ascii="Cambria Math" w:hAnsi="Cambria Math" w:eastAsia="宋体" w:cs="Times New Roman"/>
                        </w:rPr>
                      </m:ctrlPr>
                    </m:fPr>
                    <m:num>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sub>
                      </m:sSub>
                      <m:ctrlPr>
                        <w:rPr>
                          <w:rFonts w:hint="default" w:ascii="Cambria Math" w:hAnsi="Cambria Math" w:eastAsia="宋体" w:cs="Times New Roman"/>
                        </w:rPr>
                      </m:ctrlPr>
                    </m:num>
                    <m:den>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ctrlPr>
                        <w:rPr>
                          <w:rFonts w:hint="default" w:ascii="Cambria Math" w:hAnsi="Cambria Math" w:eastAsia="宋体" w:cs="Times New Roman"/>
                        </w:rPr>
                      </m:ctrlPr>
                    </m:den>
                  </m:f>
                  <m:ctrlPr>
                    <w:rPr>
                      <w:rFonts w:hint="default" w:ascii="Cambria Math" w:hAnsi="Cambria Math" w:eastAsia="宋体" w:cs="Times New Roman"/>
                    </w:rPr>
                  </m:ctrlPr>
                </m:e>
              </m:nary>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(13)</m:t>
              </m:r>
              <m:ctrlPr>
                <w:rPr>
                  <w:rFonts w:hint="default" w:ascii="Cambria Math" w:hAnsi="Cambria Math" w:eastAsia="宋体" w:cs="Times New Roman"/>
                </w:rPr>
              </m:ctrlPr>
            </m:e>
          </m:eqArr>
        </m:oMath>
      </m:oMathPara>
    </w:p>
    <w:p w14:paraId="227E77A9">
      <w:pPr>
        <w:spacing w:line="480" w:lineRule="auto"/>
        <w:rPr>
          <w:rFonts w:hint="default" w:ascii="Times New Roman" w:hAnsi="Times New Roman" w:eastAsia="宋体" w:cs="Times New Roman"/>
        </w:rPr>
      </w:pPr>
      <w:r>
        <w:rPr>
          <w:rFonts w:hint="default" w:ascii="Times New Roman" w:hAnsi="Times New Roman" w:eastAsia="宋体" w:cs="Times New Roman"/>
        </w:rPr>
        <w:t xml:space="preserve">where N is the total number of pseudo-samples and label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oMath>
      <w:r>
        <w:rPr>
          <w:rFonts w:hint="default" w:ascii="Times New Roman" w:hAnsi="Times New Roman" w:eastAsia="宋体" w:cs="Times New Roman"/>
        </w:rPr>
        <w:t xml:space="preserve"> corresponds to the center of the category in which they should be clustered. This alignment strategy imposes semantic consistency constraints on the generated samples directly in the feature space, which significantly reduces the drift between pseudo-samples and the true distribution and improves the validity of pseudo-samples in subsequent prototype construction.Compared to adversarial domain-alignment methods, our approach is computationally simpler, integrates seamlessly with multi-prototype classification, and directly preserves angular feature relationships via cosine-similarity optimization, thereby enhancing the discriminative power of the embeddings.</w:t>
      </w:r>
    </w:p>
    <w:p w14:paraId="7F5DED2D">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S7.3 </w:t>
      </w:r>
      <w:r>
        <w:rPr>
          <w:rFonts w:hint="default" w:ascii="Times New Roman" w:hAnsi="Times New Roman" w:cs="Times New Roman"/>
          <w:b/>
          <w:bCs/>
          <w:sz w:val="24"/>
          <w:szCs w:val="24"/>
        </w:rPr>
        <w:t>Batch-Hard Triplet Loss</w:t>
      </w:r>
    </w:p>
    <w:p w14:paraId="45267C56">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further tighten the category boundaries of the feature space, we use the "Batch-Hard" triad loss, which automatically picks only the most discriminative positive/negative pairings of samples inside each mini_batch for optimization. First, we calculate the Euclidean distance matrix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ij</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e>
            </m:d>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oMath>
      <w:r>
        <w:rPr>
          <w:rFonts w:hint="default" w:ascii="Times New Roman" w:hAnsi="Times New Roman" w:eastAsia="宋体" w:cs="Times New Roman"/>
        </w:rPr>
        <w:t>) between all embedding vectors inside a batch, and then for each sample, we select the "hardest positive sample (</w:t>
      </w:r>
      <m:oMath>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pos</m:t>
            </m:r>
            <m:ctrlPr>
              <w:rPr>
                <w:rFonts w:hint="default" w:ascii="Cambria Math" w:hAnsi="Cambria Math" w:eastAsia="宋体" w:cs="Times New Roman"/>
              </w:rPr>
            </m:ctrlPr>
          </m:sup>
        </m:sSubSup>
      </m:oMath>
      <w:r>
        <w:rPr>
          <w:rFonts w:hint="default" w:ascii="Times New Roman" w:hAnsi="Times New Roman" w:eastAsia="宋体" w:cs="Times New Roman"/>
        </w:rPr>
        <w:t>)" with the biggest distance among the same-labeled samples i, and the "hardest negative sample (</w:t>
      </w:r>
      <m:oMath>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neg</m:t>
            </m:r>
            <m:ctrlPr>
              <w:rPr>
                <w:rFonts w:hint="default" w:ascii="Cambria Math" w:hAnsi="Cambria Math" w:eastAsia="宋体" w:cs="Times New Roman"/>
              </w:rPr>
            </m:ctrlPr>
          </m:sup>
        </m:sSubSup>
      </m:oMath>
      <w:r>
        <w:rPr>
          <w:rFonts w:hint="default" w:ascii="Times New Roman" w:hAnsi="Times New Roman" w:eastAsia="宋体" w:cs="Times New Roman"/>
        </w:rPr>
        <w:t>)"and:</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triplet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B</m:t>
                  </m:r>
                  <m:ctrlPr>
                    <w:rPr>
                      <w:rFonts w:hint="default" w:ascii="Cambria Math" w:hAnsi="Cambria Math" w:eastAsia="宋体" w:cs="Times New Roman"/>
                    </w:rPr>
                  </m:ctrlPr>
                </m:den>
              </m:f>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i=1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B</m:t>
                  </m:r>
                  <m:ctrlPr>
                    <w:rPr>
                      <w:rFonts w:hint="default" w:ascii="Cambria Math" w:hAnsi="Cambria Math" w:eastAsia="宋体" w:cs="Times New Roman"/>
                    </w:rPr>
                  </m:ctrlPr>
                </m:sup>
                <m:e>
                  <m:r>
                    <m:rPr>
                      <m:nor/>
                      <m:sty m:val="p"/>
                    </m:rPr>
                    <w:rPr>
                      <w:rFonts w:hint="default" w:ascii="Times New Roman" w:hAnsi="Times New Roman" w:eastAsia="宋体" w:cs="Times New Roman"/>
                      <w:b w:val="0"/>
                      <w:i w:val="0"/>
                    </w:rPr>
                    <m:t>max</m:t>
                  </m:r>
                  <m:ctrlPr>
                    <w:rPr>
                      <w:rFonts w:hint="default" w:ascii="Cambria Math" w:hAnsi="Cambria Math" w:eastAsia="宋体" w:cs="Times New Roman"/>
                    </w:rPr>
                  </m:ctrlPr>
                </m:e>
              </m:nary>
              <m:d>
                <m:dPr>
                  <m:ctrlPr>
                    <w:rPr>
                      <w:rFonts w:hint="default" w:ascii="Cambria Math" w:hAnsi="Cambria Math" w:eastAsia="宋体" w:cs="Times New Roman"/>
                    </w:rPr>
                  </m:ctrlPr>
                </m:dPr>
                <m:e>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pos</m:t>
                      </m:r>
                      <m:ctrlPr>
                        <w:rPr>
                          <w:rFonts w:hint="default" w:ascii="Cambria Math" w:hAnsi="Cambria Math" w:eastAsia="宋体" w:cs="Times New Roman"/>
                        </w:rPr>
                      </m:ctrlPr>
                    </m:sup>
                  </m:sSubSup>
                  <m:r>
                    <m:rPr>
                      <m:nor/>
                      <m:sty m:val="p"/>
                    </m:rPr>
                    <w:rPr>
                      <w:rFonts w:hint="default" w:ascii="Times New Roman" w:hAnsi="Times New Roman" w:eastAsia="宋体" w:cs="Times New Roman"/>
                      <w:b w:val="0"/>
                      <w:i w:val="0"/>
                    </w:rPr>
                    <m:t>-</m:t>
                  </m:r>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neg</m:t>
                      </m:r>
                      <m:ctrlPr>
                        <w:rPr>
                          <w:rFonts w:hint="default" w:ascii="Cambria Math" w:hAnsi="Cambria Math" w:eastAsia="宋体" w:cs="Times New Roman"/>
                        </w:rPr>
                      </m:ctrlPr>
                    </m:sup>
                  </m:sSubSup>
                  <m:r>
                    <m:rPr>
                      <m:nor/>
                      <m:sty m:val="p"/>
                    </m:rPr>
                    <w:rPr>
                      <w:rFonts w:hint="default" w:ascii="Times New Roman" w:hAnsi="Times New Roman" w:eastAsia="宋体" w:cs="Times New Roman"/>
                      <w:b w:val="0"/>
                      <w:i w:val="0"/>
                    </w:rPr>
                    <m:t>+m,0</m:t>
                  </m:r>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(14)</m:t>
              </m:r>
              <m:ctrlPr>
                <w:rPr>
                  <w:rFonts w:hint="default" w:ascii="Cambria Math" w:hAnsi="Cambria Math" w:eastAsia="宋体" w:cs="Times New Roman"/>
                </w:rPr>
              </m:ctrlPr>
            </m:e>
          </m:eqArr>
        </m:oMath>
      </m:oMathPara>
    </w:p>
    <w:p w14:paraId="3198994F">
      <w:pPr>
        <w:spacing w:line="480" w:lineRule="auto"/>
        <w:rPr>
          <w:rFonts w:hint="default" w:ascii="Times New Roman" w:hAnsi="Times New Roman" w:eastAsia="宋体" w:cs="Times New Roman"/>
        </w:rPr>
      </w:pPr>
      <w:r>
        <w:rPr>
          <w:rFonts w:hint="default" w:ascii="Times New Roman" w:hAnsi="Times New Roman" w:eastAsia="宋体" w:cs="Times New Roman"/>
        </w:rPr>
        <w:t>Optimization (bounded hyperparameter, m=0.5) Compared to random sampling, Batch-Hard focuses only on the most difficult pairs of samples, which not only avoids the redundant gradient caused by easy-to-classify samples, but also significantly accelerates model convergence and strengthens discriminative ability in the case of fewer samples, particularly when negative samples are scarce and unevenly distributed. This module, along with multi-prototype categorization and Anchor alignment loss, creates a more robust and expressive embedding space.</w:t>
      </w:r>
    </w:p>
    <w:p w14:paraId="22E3B6CC">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S7.4 </w:t>
      </w:r>
      <w:r>
        <w:rPr>
          <w:rFonts w:hint="default" w:ascii="Times New Roman" w:hAnsi="Times New Roman" w:cs="Times New Roman"/>
          <w:b/>
          <w:bCs/>
          <w:sz w:val="24"/>
          <w:szCs w:val="24"/>
        </w:rPr>
        <w:t>Weighted Combination of Overall Loss</w:t>
      </w:r>
    </w:p>
    <w:p w14:paraId="72DC49FB">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Finally, we weighted and combined the three sub-losses according to the following formula to form the ultimate training objective:</w:t>
      </w:r>
    </w:p>
    <w:p w14:paraId="5E27291F">
      <w:pPr>
        <w:spacing w:line="480" w:lineRule="auto"/>
        <w:ind w:firstLine="420"/>
        <w:rPr>
          <w:rFonts w:hint="default" w:ascii="Times New Roman" w:hAnsi="Times New Roman" w:eastAsia="宋体" w:cs="Times New Roman"/>
        </w:rPr>
      </w:pPr>
      <m:oMathPara>
        <m:oMath>
          <m:eqArr>
            <m:eqArrPr>
              <m:maxDist m:val="1"/>
              <m:ctrlPr>
                <w:rPr>
                  <w:rFonts w:hint="default" w:ascii="Cambria Math" w:hAnsi="Cambria Math" w:eastAsia="宋体" w:cs="Times New Roman"/>
                </w:rPr>
              </m:ctrlPr>
            </m:eqArrPr>
            <m:e>
              <m:r>
                <m:rPr>
                  <m:nor/>
                  <m:sty m:val="p"/>
                </m:rPr>
                <w:rPr>
                  <w:rFonts w:hint="default" w:ascii="Times New Roman" w:hAnsi="Times New Roman" w:eastAsia="MS Mincho" w:cs="Times New Roman"/>
                  <w:b w:val="0"/>
                  <w:i w:val="0"/>
                </w:rPr>
                <m:t>L</m:t>
              </m:r>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proto</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sSub>
                <m:sSubPr>
                  <m:ctrlPr>
                    <w:rPr>
                      <w:rFonts w:hint="default" w:ascii="Cambria Math" w:hAnsi="Cambria Math" w:eastAsia="宋体" w:cs="Times New Roman"/>
                    </w:rPr>
                  </m:ctrlPr>
                </m:sSubPr>
                <m:e>
                  <m:r>
                    <m:rPr>
                      <m:nor/>
                      <m:sty m:val="p"/>
                    </m:rPr>
                    <w:rPr>
                      <w:rFonts w:hint="default" w:ascii="Times New Roman" w:hAnsi="Times New Roman" w:cs="Times New Roman"/>
                      <w:b w:val="0"/>
                      <w:i w:val="0"/>
                    </w:rPr>
                    <m:t>α</m:t>
                  </m:r>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align</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cs="Times New Roman"/>
                  <w:b w:val="0"/>
                  <w:i w:val="0"/>
                </w:rPr>
                <m:t>β</m:t>
              </m:r>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triplet</m:t>
                  </m:r>
                  <m:ctrlPr>
                    <w:rPr>
                      <w:rFonts w:hint="default" w:ascii="Cambria Math" w:hAnsi="Cambria Math" w:eastAsia="宋体" w:cs="Times New Roman"/>
                    </w:rPr>
                  </m:ctrlPr>
                </m:sub>
              </m:sSub>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(15)</m:t>
              </m:r>
              <m:ctrlPr>
                <w:rPr>
                  <w:rFonts w:hint="default" w:ascii="Cambria Math" w:hAnsi="Cambria Math" w:eastAsia="宋体" w:cs="Times New Roman"/>
                </w:rPr>
              </m:ctrlPr>
            </m:e>
          </m:eqArr>
        </m:oMath>
      </m:oMathPara>
    </w:p>
    <w:p w14:paraId="50907CA6">
      <w:pPr>
        <w:spacing w:line="480" w:lineRule="auto"/>
        <w:ind w:firstLine="420"/>
        <w:rPr>
          <w:rFonts w:hint="default" w:ascii="Times New Roman" w:hAnsi="Times New Roman" w:cs="Times New Roman"/>
          <w:b/>
          <w:bCs/>
          <w:sz w:val="28"/>
          <w:szCs w:val="28"/>
        </w:rPr>
      </w:pPr>
      <w:r>
        <w:rPr>
          <w:rFonts w:hint="default" w:ascii="Times New Roman" w:hAnsi="Times New Roman" w:eastAsia="宋体" w:cs="Times New Roman"/>
        </w:rPr>
        <w:t>The weighting design (</w:t>
      </w:r>
      <m:oMath>
        <m:r>
          <m:rPr>
            <m:nor/>
            <m:sty m:val="p"/>
          </m:rPr>
          <w:rPr>
            <w:rFonts w:hint="default" w:ascii="Times New Roman" w:hAnsi="Times New Roman" w:eastAsia="宋体" w:cs="Times New Roman"/>
            <w:b w:val="0"/>
            <w:i w:val="0"/>
          </w:rPr>
          <m:t>α=0.2 , β=0.5</m:t>
        </m:r>
      </m:oMath>
      <w:r>
        <w:rPr>
          <w:rFonts w:hint="default" w:ascii="Times New Roman" w:hAnsi="Times New Roman" w:eastAsia="宋体" w:cs="Times New Roman"/>
        </w:rPr>
        <w:t>) ensures the multi-prototype classification loss dominates the main task while balancing the constraints of the Anchor alignment loss on pseudo-sample semantic consistency and the Batch-Hard triplet loss's reinforcement of embedding space boundaries through smaller weights. This scheme references Kim et al.'s weight allocation method for sample fusion in class-imbalanced tasks while incorporating Li et al.'s loss balancing experience from tabular data augmentation scenarios. Through this synergistic multi-objective loss optimization, the current framework achieves accurate classification decisions in small-sample multimodal scenarios while maintaining clear feature space organization, providing robust support for subsequent model generalization and robustness.</w:t>
      </w:r>
      <w:bookmarkStart w:id="0" w:name="_GoBack"/>
      <w:bookmarkEnd w:id="0"/>
    </w:p>
    <w:p w14:paraId="0741327E">
      <w:pPr>
        <w:spacing w:line="480" w:lineRule="auto"/>
        <w:rPr>
          <w:rFonts w:hint="default" w:ascii="Times New Roman" w:hAnsi="Times New Roman" w:cs="Times New Roman"/>
          <w:b/>
          <w:bCs/>
          <w:sz w:val="28"/>
          <w:szCs w:val="28"/>
        </w:rPr>
      </w:pPr>
    </w:p>
    <w:p w14:paraId="21620FCA">
      <w:pPr>
        <w:spacing w:line="480" w:lineRule="auto"/>
        <w:rPr>
          <w:rFonts w:hint="default" w:ascii="Times New Roman" w:hAnsi="Times New Roman" w:cs="Times New Roman"/>
          <w:b/>
          <w:bCs/>
          <w:sz w:val="28"/>
          <w:szCs w:val="28"/>
        </w:rPr>
      </w:pPr>
    </w:p>
    <w:p w14:paraId="5DB382B5">
      <w:pPr>
        <w:spacing w:line="480" w:lineRule="auto"/>
        <w:rPr>
          <w:rFonts w:hint="default" w:ascii="Times New Roman" w:hAnsi="Times New Roman" w:cs="Times New Roman"/>
          <w:b/>
          <w:bCs/>
          <w:sz w:val="28"/>
          <w:szCs w:val="28"/>
        </w:rPr>
      </w:pPr>
    </w:p>
    <w:p w14:paraId="150D4F07">
      <w:pPr>
        <w:spacing w:line="480" w:lineRule="auto"/>
        <w:rPr>
          <w:rFonts w:hint="default" w:ascii="Times New Roman" w:hAnsi="Times New Roman" w:cs="Times New Roman"/>
          <w:b w:val="0"/>
          <w:bCs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405BB"/>
    <w:multiLevelType w:val="singleLevel"/>
    <w:tmpl w:val="860405BB"/>
    <w:lvl w:ilvl="0" w:tentative="0">
      <w:start w:val="1"/>
      <w:numFmt w:val="bullet"/>
      <w:lvlText w:val=""/>
      <w:lvlJc w:val="left"/>
      <w:pPr>
        <w:ind w:left="420" w:hanging="420"/>
      </w:pPr>
      <w:rPr>
        <w:rFonts w:hint="default" w:ascii="Wingdings" w:hAnsi="Wingdings"/>
        <w:sz w:val="16"/>
        <w:szCs w:val="16"/>
      </w:rPr>
    </w:lvl>
  </w:abstractNum>
  <w:abstractNum w:abstractNumId="1">
    <w:nsid w:val="B4DD7FC3"/>
    <w:multiLevelType w:val="singleLevel"/>
    <w:tmpl w:val="B4DD7FC3"/>
    <w:lvl w:ilvl="0" w:tentative="0">
      <w:start w:val="1"/>
      <w:numFmt w:val="bullet"/>
      <w:lvlText w:val=""/>
      <w:lvlJc w:val="left"/>
      <w:pPr>
        <w:ind w:left="420" w:hanging="420"/>
      </w:pPr>
      <w:rPr>
        <w:rFonts w:hint="default" w:ascii="Wingdings" w:hAnsi="Wingdings"/>
        <w:sz w:val="16"/>
        <w:szCs w:val="16"/>
      </w:rPr>
    </w:lvl>
  </w:abstractNum>
  <w:abstractNum w:abstractNumId="2">
    <w:nsid w:val="7996CF35"/>
    <w:multiLevelType w:val="singleLevel"/>
    <w:tmpl w:val="7996CF35"/>
    <w:lvl w:ilvl="0" w:tentative="0">
      <w:start w:val="1"/>
      <w:numFmt w:val="bullet"/>
      <w:lvlText w:val=""/>
      <w:lvlJc w:val="left"/>
      <w:pPr>
        <w:ind w:left="420" w:hanging="420"/>
      </w:pPr>
      <w:rPr>
        <w:rFonts w:hint="default" w:ascii="Wingdings" w:hAnsi="Wingdings"/>
        <w:sz w:val="21"/>
        <w:szCs w:val="21"/>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2155D"/>
    <w:rsid w:val="022D3B7B"/>
    <w:rsid w:val="04911272"/>
    <w:rsid w:val="07027CB2"/>
    <w:rsid w:val="0D69025C"/>
    <w:rsid w:val="13392CAD"/>
    <w:rsid w:val="145A2A8B"/>
    <w:rsid w:val="14CE7BA3"/>
    <w:rsid w:val="180C06D7"/>
    <w:rsid w:val="1E44539C"/>
    <w:rsid w:val="1FD00000"/>
    <w:rsid w:val="2002489E"/>
    <w:rsid w:val="30C10112"/>
    <w:rsid w:val="37E4564A"/>
    <w:rsid w:val="39355B41"/>
    <w:rsid w:val="3ADD7E34"/>
    <w:rsid w:val="3B675D5A"/>
    <w:rsid w:val="3C3742B1"/>
    <w:rsid w:val="3D166483"/>
    <w:rsid w:val="3E187A1E"/>
    <w:rsid w:val="3E520CB4"/>
    <w:rsid w:val="3F9E7FCA"/>
    <w:rsid w:val="3FD03432"/>
    <w:rsid w:val="3FD05DB3"/>
    <w:rsid w:val="414C56AB"/>
    <w:rsid w:val="41C470D5"/>
    <w:rsid w:val="482B07DA"/>
    <w:rsid w:val="4CC76658"/>
    <w:rsid w:val="5748483A"/>
    <w:rsid w:val="59A85CAB"/>
    <w:rsid w:val="5AAE70AA"/>
    <w:rsid w:val="5B7531AB"/>
    <w:rsid w:val="5CBF35E6"/>
    <w:rsid w:val="5EF325EE"/>
    <w:rsid w:val="65320525"/>
    <w:rsid w:val="684F6624"/>
    <w:rsid w:val="69EA32AA"/>
    <w:rsid w:val="6BF6440D"/>
    <w:rsid w:val="78B039E4"/>
    <w:rsid w:val="7B152B01"/>
    <w:rsid w:val="7B5D0004"/>
    <w:rsid w:val="7FC137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宋体" w:eastAsiaTheme="minorEastAsia"/>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1969</Words>
  <Characters>12730</Characters>
  <Lines>0</Lines>
  <Paragraphs>0</Paragraphs>
  <TotalTime>3</TotalTime>
  <ScaleCrop>false</ScaleCrop>
  <LinksUpToDate>false</LinksUpToDate>
  <CharactersWithSpaces>14611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2024-09-07T01:40:00Z</dcterms:created>
  <dc:creator>18157</dc:creator>
  <cp:lastModifiedBy>．</cp:lastModifiedBy>
  <dcterms:modified xsi:type="dcterms:W3CDTF">2025-10-29T05:52:19Z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22DA8D6901324B1FAFADAED2CAF73C2A_12</vt:lpwstr>
  </property>
  <property fmtid="{D5CDD505-2E9C-101B-9397-08002B2CF9AE}" pid="4" name="KSOTemplateDocerSaveRecord">
    <vt:lpwstr>eyJoZGlkIjoiMTQ0OGI2NjFiNzFjZWIzOGYwNDk2OWNkNTNmMzRlNDYiLCJ1c2VySWQiOiI2MzI0NjUyMTAifQ==</vt:lpwstr>
  </property>
</Properties>
</file>