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9CEBD">
      <w:pPr>
        <w:spacing w:before="880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0891B2"/>
          <w:sz w:val="20"/>
        </w:rPr>
        <w:t>无需安装 Skill</w:t>
      </w:r>
    </w:p>
    <w:p w14:paraId="7408604D">
      <w:pPr>
        <w:pStyle w:val="31"/>
        <w:jc w:val="center"/>
      </w:pPr>
      <w:r>
        <w:rPr>
          <w:rFonts w:ascii="微软雅黑" w:hAnsi="微软雅黑" w:eastAsia="微软雅黑"/>
          <w:b/>
          <w:color w:val="164E63"/>
          <w:sz w:val="54"/>
        </w:rPr>
        <w:t>数学建模论文 AI 痕迹自查指南</w:t>
      </w:r>
    </w:p>
    <w:p w14:paraId="386449DC">
      <w:pPr>
        <w:spacing w:after="360" w:line="300" w:lineRule="auto"/>
        <w:jc w:val="center"/>
      </w:pPr>
      <w:r>
        <w:rPr>
          <w:rFonts w:ascii="微软雅黑" w:hAnsi="微软雅黑" w:eastAsia="微软雅黑"/>
          <w:b w:val="0"/>
          <w:color w:val="526875"/>
          <w:sz w:val="24"/>
        </w:rPr>
        <w:t>上传本 Word 文档与待审论文，即可让 AI 按统一规则完成审计并生成 HTML 报告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430"/>
        <w:gridCol w:w="3430"/>
      </w:tblGrid>
      <w:tr w14:paraId="1FFAC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shd w:val="clear" w:color="auto" w:fill="164E63"/>
          </w:tcPr>
          <w:p w14:paraId="3A5858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适用对象</w:t>
            </w:r>
          </w:p>
        </w:tc>
        <w:tc>
          <w:tcPr>
            <w:tcW w:w="3430" w:type="dxa"/>
            <w:shd w:val="clear" w:color="auto" w:fill="164E63"/>
          </w:tcPr>
          <w:p w14:paraId="76374B9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输入材料</w:t>
            </w:r>
          </w:p>
        </w:tc>
        <w:tc>
          <w:tcPr>
            <w:tcW w:w="3430" w:type="dxa"/>
            <w:shd w:val="clear" w:color="auto" w:fill="164E63"/>
          </w:tcPr>
          <w:p w14:paraId="1372267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最终输出</w:t>
            </w:r>
          </w:p>
        </w:tc>
      </w:tr>
      <w:tr w14:paraId="17C58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dxa"/>
            <w:vAlign w:val="center"/>
          </w:tcPr>
          <w:p w14:paraId="0FF8714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无法直接安装或调用 Skill 的用户</w:t>
            </w:r>
          </w:p>
        </w:tc>
        <w:tc>
          <w:tcPr>
            <w:tcW w:w="3430" w:type="dxa"/>
            <w:vAlign w:val="center"/>
          </w:tcPr>
          <w:p w14:paraId="225DF72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最低：完整论文；建议补充赛题、代码、数据与结果文件</w:t>
            </w:r>
          </w:p>
        </w:tc>
        <w:tc>
          <w:tcPr>
            <w:tcW w:w="3430" w:type="dxa"/>
            <w:vAlign w:val="center"/>
          </w:tcPr>
          <w:p w14:paraId="13F3916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带证据、页码、风险区间和修改建议的独立 HTML 报告</w:t>
            </w:r>
          </w:p>
        </w:tc>
      </w:tr>
    </w:tbl>
    <w:p w14:paraId="7DF77C50">
      <w:pPr>
        <w:spacing w:after="80" w:line="300" w:lineRule="auto"/>
      </w:pPr>
      <w:r>
        <w:rPr>
          <w:rFonts w:ascii="微软雅黑" w:hAnsi="微软雅黑" w:eastAsia="微软雅黑"/>
          <w:b/>
          <w:color w:val="A83232"/>
          <w:sz w:val="23"/>
        </w:rPr>
        <w:t>重要边界</w:t>
      </w:r>
    </w:p>
    <w:p w14:paraId="17971426">
      <w:pPr>
        <w:spacing w:after="100" w:line="300" w:lineRule="auto"/>
      </w:pPr>
      <w:r>
        <w:rPr>
          <w:rFonts w:ascii="微软雅黑" w:hAnsi="微软雅黑" w:eastAsia="微软雅黑"/>
          <w:b w:val="0"/>
          <w:color w:val="A83232"/>
          <w:sz w:val="19"/>
        </w:rPr>
        <w:t>本指南评估的是论文呈现出的“AI风格风险”和“未经人工核验风险”，不是作者身份概率，也不替代知网、维普、Turnitin或其他正式检测。不得将结果用于规避竞赛披露与学术诚信要求。</w:t>
      </w:r>
    </w:p>
    <w:p w14:paraId="33927BA2">
      <w:pPr>
        <w:pStyle w:val="3"/>
      </w:pPr>
      <w:r>
        <w:t>一、最快使用方法</w:t>
      </w:r>
    </w:p>
    <w:p w14:paraId="6AEB9DE8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将本 Word 文档与完整论文一并上传给 AI。PDF/Word 均可，必须要求其完整阅读，不能只抽查摘要。</w:t>
      </w:r>
    </w:p>
    <w:p w14:paraId="257E9F34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如有条件，再上传完整赛题、附件说明、代码、结果文件及真实 AI 使用记录，可显著提高判断置信度。</w:t>
      </w:r>
    </w:p>
    <w:p w14:paraId="24DEBAC5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复制下方固定指令发送。要求 AI 最终生成可下载、可打印、无需联网即可打开的 HTML 文件。</w:t>
      </w:r>
    </w:p>
    <w:p w14:paraId="19BC0188">
      <w:pPr>
        <w:spacing w:after="100" w:line="300" w:lineRule="auto"/>
      </w:pPr>
      <w:r>
        <w:rPr>
          <w:rFonts w:ascii="微软雅黑" w:hAnsi="微软雅黑" w:eastAsia="微软雅黑"/>
          <w:b/>
          <w:color w:val="0891B2"/>
          <w:sz w:val="22"/>
        </w:rPr>
        <w:t>推荐直接复制的指令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758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164E63"/>
          </w:tcPr>
          <w:p w14:paraId="3F121D2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固定提示词</w:t>
            </w:r>
          </w:p>
        </w:tc>
      </w:tr>
      <w:tr w14:paraId="28627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vAlign w:val="center"/>
          </w:tcPr>
          <w:p w14:paraId="4DA3D69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请完整阅读我上传的数学建模论文和《BZD数模论文AI痕迹自查指南.docx》。严格执行指南中的边界、评分框架、模型分类、逐章检查和输出规范；不得把结果称为真实AI生成率。请逐页、逐章列出证据和页码，优先检查题目条件—变量—模型—算法—结果—检验是否闭环。最终生成一个可下载、可打印、离线可打开的独立HTML报告，必须加入“BZD数模社 https://bzdshumo.com/”水印和页脚。若材料不足，请降低置信度并列入无法核验事项，不得补造证据。</w:t>
            </w:r>
          </w:p>
        </w:tc>
      </w:tr>
    </w:tbl>
    <w:p w14:paraId="7B2E8755">
      <w:pPr>
        <w:pStyle w:val="3"/>
      </w:pPr>
      <w:r>
        <w:t>二、AI 必须遵守的判断边界</w:t>
      </w:r>
    </w:p>
    <w:p w14:paraId="5EE8BAF7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只能输出“AI风格风险估计区间、风险等级、置信度”，不能声称确定由AI生成。</w:t>
      </w:r>
    </w:p>
    <w:p w14:paraId="181576AD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规范句式、模型名称与专业术语天然可能重复，不能仅凭“针对问题一”“结果表明”“综上所述”等单句定性。</w:t>
      </w:r>
    </w:p>
    <w:p w14:paraId="10009060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修改必须保留事实、数据、公式、引用、限制条件和作者真实贡献；禁止故意加入错别字、病句、虚假经历或虚构文献。</w:t>
      </w:r>
    </w:p>
    <w:p w14:paraId="18153848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先修复事实、约束、数学逻辑和复现链，再处理语言模板化；机械同义改写不视为有效修改。</w:t>
      </w:r>
    </w:p>
    <w:p w14:paraId="382C6EC1">
      <w:pPr>
        <w:pStyle w:val="3"/>
      </w:pPr>
      <w:r>
        <w:t>三、五维 100 分风险框架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600"/>
        <w:gridCol w:w="6060"/>
      </w:tblGrid>
      <w:tr w14:paraId="1A0E3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164E63"/>
          </w:tcPr>
          <w:p w14:paraId="3B53F98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900" w:type="dxa"/>
            <w:shd w:val="clear" w:color="auto" w:fill="164E63"/>
          </w:tcPr>
          <w:p w14:paraId="747BA7C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w="6660" w:type="dxa"/>
            <w:gridSpan w:val="2"/>
            <w:shd w:val="clear" w:color="auto" w:fill="164E63"/>
          </w:tcPr>
          <w:p w14:paraId="0EDC0B9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重点核查</w:t>
            </w:r>
          </w:p>
        </w:tc>
      </w:tr>
      <w:tr w14:paraId="101C2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0526AC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语言模板化</w:t>
            </w:r>
          </w:p>
        </w:tc>
        <w:tc>
          <w:tcPr>
            <w:tcW w:w="900" w:type="dxa"/>
            <w:vAlign w:val="center"/>
          </w:tcPr>
          <w:p w14:paraId="63861BE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25</w:t>
            </w:r>
          </w:p>
        </w:tc>
        <w:tc>
          <w:tcPr>
            <w:tcW w:w="6660" w:type="dxa"/>
            <w:gridSpan w:val="2"/>
            <w:vAlign w:val="center"/>
          </w:tcPr>
          <w:p w14:paraId="7836BED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高频套话、机械连接、同构句式、空泛结论、提示词残留</w:t>
            </w:r>
          </w:p>
        </w:tc>
      </w:tr>
      <w:tr w14:paraId="5F0AE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5AB88BE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结构与论证模板化</w:t>
            </w:r>
          </w:p>
        </w:tc>
        <w:tc>
          <w:tcPr>
            <w:tcW w:w="900" w:type="dxa"/>
            <w:shd w:val="clear" w:color="auto" w:fill="F4FAFC"/>
            <w:vAlign w:val="center"/>
          </w:tcPr>
          <w:p w14:paraId="3C3DA23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15</w:t>
            </w:r>
          </w:p>
        </w:tc>
        <w:tc>
          <w:tcPr>
            <w:tcW w:w="6660" w:type="dxa"/>
            <w:gridSpan w:val="2"/>
            <w:shd w:val="clear" w:color="auto" w:fill="F4FAFC"/>
            <w:vAlign w:val="center"/>
          </w:tcPr>
          <w:p w14:paraId="2DB262D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章节齐全但功能重复；主张、证据与结论不对应</w:t>
            </w:r>
          </w:p>
        </w:tc>
      </w:tr>
      <w:tr w14:paraId="143D1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B65169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建模专属性</w:t>
            </w:r>
          </w:p>
        </w:tc>
        <w:tc>
          <w:tcPr>
            <w:tcW w:w="900" w:type="dxa"/>
            <w:vAlign w:val="center"/>
          </w:tcPr>
          <w:p w14:paraId="799F3A3E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30</w:t>
            </w:r>
          </w:p>
        </w:tc>
        <w:tc>
          <w:tcPr>
            <w:tcW w:w="6660" w:type="dxa"/>
            <w:gridSpan w:val="2"/>
            <w:vAlign w:val="center"/>
          </w:tcPr>
          <w:p w14:paraId="1A8E6D46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赛题对象、数据字段、变量、单位、目标与约束是否落地</w:t>
            </w:r>
          </w:p>
        </w:tc>
      </w:tr>
      <w:tr w14:paraId="1AAE8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4E2A7FE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求解与验证闭环</w:t>
            </w:r>
          </w:p>
        </w:tc>
        <w:tc>
          <w:tcPr>
            <w:tcW w:w="900" w:type="dxa"/>
            <w:shd w:val="clear" w:color="auto" w:fill="F4FAFC"/>
            <w:vAlign w:val="center"/>
          </w:tcPr>
          <w:p w14:paraId="75BC97A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20</w:t>
            </w:r>
          </w:p>
        </w:tc>
        <w:tc>
          <w:tcPr>
            <w:tcW w:w="6660" w:type="dxa"/>
            <w:gridSpan w:val="2"/>
            <w:shd w:val="clear" w:color="auto" w:fill="F4FAFC"/>
            <w:vAlign w:val="center"/>
          </w:tcPr>
          <w:p w14:paraId="667D036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参数、算法、结果与检验是否可追踪、可复现、一致</w:t>
            </w:r>
          </w:p>
        </w:tc>
      </w:tr>
      <w:tr w14:paraId="49BB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52CCAC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来源与一致性</w:t>
            </w:r>
          </w:p>
        </w:tc>
        <w:tc>
          <w:tcPr>
            <w:tcW w:w="900" w:type="dxa"/>
            <w:vAlign w:val="center"/>
          </w:tcPr>
          <w:p w14:paraId="22A3695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10</w:t>
            </w:r>
          </w:p>
        </w:tc>
        <w:tc>
          <w:tcPr>
            <w:tcW w:w="6660" w:type="dxa"/>
            <w:gridSpan w:val="2"/>
            <w:vAlign w:val="center"/>
          </w:tcPr>
          <w:p w14:paraId="31EFDDB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引用、数据、代码、图表、术语和数值是否冲突或疑似幻觉</w:t>
            </w:r>
          </w:p>
        </w:tc>
      </w:tr>
      <w:tr w14:paraId="7E8C9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164E63"/>
          </w:tcPr>
          <w:p w14:paraId="243AB99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加权风险分</w:t>
            </w:r>
          </w:p>
        </w:tc>
        <w:tc>
          <w:tcPr>
            <w:tcW w:w="1500" w:type="dxa"/>
            <w:gridSpan w:val="2"/>
            <w:shd w:val="clear" w:color="auto" w:fill="164E63"/>
          </w:tcPr>
          <w:p w14:paraId="784EDE7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6060" w:type="dxa"/>
            <w:shd w:val="clear" w:color="auto" w:fill="164E63"/>
          </w:tcPr>
          <w:p w14:paraId="18C7410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解释</w:t>
            </w:r>
          </w:p>
        </w:tc>
      </w:tr>
      <w:tr w14:paraId="7A6FB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CA1D6BC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0—19</w:t>
            </w:r>
          </w:p>
        </w:tc>
        <w:tc>
          <w:tcPr>
            <w:tcW w:w="1500" w:type="dxa"/>
            <w:gridSpan w:val="2"/>
            <w:vAlign w:val="center"/>
          </w:tcPr>
          <w:p w14:paraId="65743AA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低</w:t>
            </w:r>
          </w:p>
        </w:tc>
        <w:tc>
          <w:tcPr>
            <w:tcW w:w="6060" w:type="dxa"/>
            <w:vAlign w:val="center"/>
          </w:tcPr>
          <w:p w14:paraId="5779BBF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主要为正常科技论文表达，未见系统性模板问题</w:t>
            </w:r>
          </w:p>
        </w:tc>
      </w:tr>
      <w:tr w14:paraId="03CF7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01C6790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20—34</w:t>
            </w:r>
          </w:p>
        </w:tc>
        <w:tc>
          <w:tcPr>
            <w:tcW w:w="1500" w:type="dxa"/>
            <w:gridSpan w:val="2"/>
            <w:shd w:val="clear" w:color="auto" w:fill="F4FAFC"/>
            <w:vAlign w:val="center"/>
          </w:tcPr>
          <w:p w14:paraId="1841C1F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中低</w:t>
            </w:r>
          </w:p>
        </w:tc>
        <w:tc>
          <w:tcPr>
            <w:tcW w:w="6060" w:type="dxa"/>
            <w:shd w:val="clear" w:color="auto" w:fill="F4FAFC"/>
            <w:vAlign w:val="center"/>
          </w:tcPr>
          <w:p w14:paraId="6349EE3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存在局部套话或模板段落，核心建模仍具体</w:t>
            </w:r>
          </w:p>
        </w:tc>
      </w:tr>
      <w:tr w14:paraId="4BB00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D45146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35—54</w:t>
            </w:r>
          </w:p>
        </w:tc>
        <w:tc>
          <w:tcPr>
            <w:tcW w:w="1500" w:type="dxa"/>
            <w:gridSpan w:val="2"/>
            <w:vAlign w:val="center"/>
          </w:tcPr>
          <w:p w14:paraId="04372F1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中</w:t>
            </w:r>
          </w:p>
        </w:tc>
        <w:tc>
          <w:tcPr>
            <w:tcW w:w="6060" w:type="dxa"/>
            <w:vAlign w:val="center"/>
          </w:tcPr>
          <w:p w14:paraId="3F096F4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多个章节存在AI风格，仍可观察到实质建模工作</w:t>
            </w:r>
          </w:p>
        </w:tc>
      </w:tr>
      <w:tr w14:paraId="74BA2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61ED9CB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55—74</w:t>
            </w:r>
          </w:p>
        </w:tc>
        <w:tc>
          <w:tcPr>
            <w:tcW w:w="1500" w:type="dxa"/>
            <w:gridSpan w:val="2"/>
            <w:shd w:val="clear" w:color="auto" w:fill="F4FAFC"/>
            <w:vAlign w:val="center"/>
          </w:tcPr>
          <w:p w14:paraId="2E10FF7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中高</w:t>
            </w:r>
          </w:p>
        </w:tc>
        <w:tc>
          <w:tcPr>
            <w:tcW w:w="6060" w:type="dxa"/>
            <w:shd w:val="clear" w:color="auto" w:fill="F4FAFC"/>
            <w:vAlign w:val="center"/>
          </w:tcPr>
          <w:p w14:paraId="55F4296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语言与建模明显模板化，人工核验链不足</w:t>
            </w:r>
          </w:p>
        </w:tc>
      </w:tr>
      <w:tr w14:paraId="42FCC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6E966BA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75—100</w:t>
            </w:r>
          </w:p>
        </w:tc>
        <w:tc>
          <w:tcPr>
            <w:tcW w:w="1500" w:type="dxa"/>
            <w:gridSpan w:val="2"/>
            <w:vAlign w:val="center"/>
          </w:tcPr>
          <w:p w14:paraId="6723FCC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高</w:t>
            </w:r>
          </w:p>
        </w:tc>
        <w:tc>
          <w:tcPr>
            <w:tcW w:w="6060" w:type="dxa"/>
            <w:vAlign w:val="center"/>
          </w:tcPr>
          <w:p w14:paraId="6599402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大量空泛、拼装、断链或不可复现内容，需整体重构</w:t>
            </w:r>
          </w:p>
        </w:tc>
      </w:tr>
    </w:tbl>
    <w:p w14:paraId="51486139">
      <w:pPr>
        <w:spacing w:after="100" w:line="300" w:lineRule="auto"/>
      </w:pPr>
      <w:r>
        <w:rPr>
          <w:rFonts w:ascii="微软雅黑" w:hAnsi="微软雅黑" w:eastAsia="微软雅黑"/>
          <w:b w:val="0"/>
          <w:color w:val="526875"/>
          <w:sz w:val="19"/>
        </w:rPr>
        <w:t>风险结果必须写成“约 X%—Y%”。只有论文时建议以加权分为中心给出 ±8—12 个百分点，置信度最高为中；论文+赛题建议 ±6—10；再有代码、数据与结果建议 ±5—8。</w:t>
      </w:r>
    </w:p>
    <w:p w14:paraId="49180005">
      <w:pPr>
        <w:pStyle w:val="3"/>
      </w:pPr>
      <w:r>
        <w:t>四、逐板块必查内容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5F78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164E63"/>
          </w:tcPr>
          <w:p w14:paraId="3647AEB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板块</w:t>
            </w:r>
          </w:p>
        </w:tc>
        <w:tc>
          <w:tcPr>
            <w:tcW w:w="7560" w:type="dxa"/>
            <w:shd w:val="clear" w:color="auto" w:fill="164E63"/>
          </w:tcPr>
          <w:p w14:paraId="6DA6F66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重点AI/AIGC风险</w:t>
            </w:r>
          </w:p>
        </w:tc>
      </w:tr>
      <w:tr w14:paraId="2F1F2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FF1963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摘要</w:t>
            </w:r>
          </w:p>
        </w:tc>
        <w:tc>
          <w:tcPr>
            <w:tcW w:w="7560" w:type="dxa"/>
            <w:vAlign w:val="center"/>
          </w:tcPr>
          <w:p w14:paraId="004F6BB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句式同构、只列模型名、数字与正文不一致、无证据的创新或稳定性结论</w:t>
            </w:r>
          </w:p>
        </w:tc>
      </w:tr>
      <w:tr w14:paraId="52197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300DB73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问题重述</w:t>
            </w:r>
          </w:p>
        </w:tc>
        <w:tc>
          <w:tcPr>
            <w:tcW w:w="7560" w:type="dxa"/>
            <w:shd w:val="clear" w:color="auto" w:fill="F4FAFC"/>
            <w:vAlign w:val="center"/>
          </w:tcPr>
          <w:p w14:paraId="02A6C72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照抄题干、擅自新增任务、空泛拔高</w:t>
            </w:r>
          </w:p>
        </w:tc>
      </w:tr>
      <w:tr w14:paraId="211A7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254236C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问题分析</w:t>
            </w:r>
          </w:p>
        </w:tc>
        <w:tc>
          <w:tcPr>
            <w:tcW w:w="7560" w:type="dxa"/>
            <w:vAlign w:val="center"/>
          </w:tcPr>
          <w:p w14:paraId="0DD1A99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可替换到任意题的通用流程；缺数据、约束与跨问关系</w:t>
            </w:r>
          </w:p>
        </w:tc>
      </w:tr>
      <w:tr w14:paraId="0B015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7867029E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模型假设</w:t>
            </w:r>
          </w:p>
        </w:tc>
        <w:tc>
          <w:tcPr>
            <w:tcW w:w="7560" w:type="dxa"/>
            <w:shd w:val="clear" w:color="auto" w:fill="F4FAFC"/>
            <w:vAlign w:val="center"/>
          </w:tcPr>
          <w:p w14:paraId="35BFDCC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自证式假设、未使用假设、与题意冲突</w:t>
            </w:r>
          </w:p>
        </w:tc>
      </w:tr>
      <w:tr w14:paraId="32C89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AA3A27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符号说明</w:t>
            </w:r>
          </w:p>
        </w:tc>
        <w:tc>
          <w:tcPr>
            <w:tcW w:w="7560" w:type="dxa"/>
            <w:vAlign w:val="center"/>
          </w:tcPr>
          <w:p w14:paraId="2C77469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模板遗留符号、单位缺失、正文前后不一致</w:t>
            </w:r>
          </w:p>
        </w:tc>
      </w:tr>
      <w:tr w14:paraId="42A67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160C04B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模型建立</w:t>
            </w:r>
          </w:p>
        </w:tc>
        <w:tc>
          <w:tcPr>
            <w:tcW w:w="7560" w:type="dxa"/>
            <w:shd w:val="clear" w:color="auto" w:fill="F4FAFC"/>
            <w:vAlign w:val="center"/>
          </w:tcPr>
          <w:p w14:paraId="5FD0BFA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模型名堆叠、公式脱离本题、关键约束遗漏、伪改进</w:t>
            </w:r>
          </w:p>
        </w:tc>
      </w:tr>
      <w:tr w14:paraId="337D3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2883C2E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模型求解</w:t>
            </w:r>
          </w:p>
        </w:tc>
        <w:tc>
          <w:tcPr>
            <w:tcW w:w="7560" w:type="dxa"/>
            <w:vAlign w:val="center"/>
          </w:tcPr>
          <w:p w14:paraId="0132C6E5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只写软件名称；缺参数、初值、终止条件、随机种子和复现路径</w:t>
            </w:r>
          </w:p>
        </w:tc>
      </w:tr>
      <w:tr w14:paraId="57AE7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288ED75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结果与检验</w:t>
            </w:r>
          </w:p>
        </w:tc>
        <w:tc>
          <w:tcPr>
            <w:tcW w:w="7560" w:type="dxa"/>
            <w:shd w:val="clear" w:color="auto" w:fill="F4FAFC"/>
            <w:vAlign w:val="center"/>
          </w:tcPr>
          <w:p w14:paraId="2F3374E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只给图表不解释；结果不逐问作答；指标与模型类型错配</w:t>
            </w:r>
          </w:p>
        </w:tc>
      </w:tr>
      <w:tr w14:paraId="570EC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E02806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评价与推广</w:t>
            </w:r>
          </w:p>
        </w:tc>
        <w:tc>
          <w:tcPr>
            <w:tcW w:w="7560" w:type="dxa"/>
            <w:vAlign w:val="center"/>
          </w:tcPr>
          <w:p w14:paraId="2441748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“精度高、鲁棒性强”等套话；无边界的跨领域推广</w:t>
            </w:r>
          </w:p>
        </w:tc>
      </w:tr>
      <w:tr w14:paraId="55995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4FAFC"/>
            <w:vAlign w:val="center"/>
          </w:tcPr>
          <w:p w14:paraId="5C88A56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参考文献与附录</w:t>
            </w:r>
          </w:p>
        </w:tc>
        <w:tc>
          <w:tcPr>
            <w:tcW w:w="7560" w:type="dxa"/>
            <w:shd w:val="clear" w:color="auto" w:fill="F4FAFC"/>
            <w:vAlign w:val="center"/>
          </w:tcPr>
          <w:p w14:paraId="759BE93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文献不存在或不对应；代码变量、结果与正文冲突；对话或本机路径残留</w:t>
            </w:r>
          </w:p>
        </w:tc>
      </w:tr>
    </w:tbl>
    <w:p w14:paraId="50369F00">
      <w:pPr>
        <w:pStyle w:val="3"/>
      </w:pPr>
      <w:r>
        <w:t>五、模型与思路真实性分类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300"/>
        <w:gridCol w:w="2360"/>
      </w:tblGrid>
      <w:tr w14:paraId="62823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164E63"/>
          </w:tcPr>
          <w:p w14:paraId="216F60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5300" w:type="dxa"/>
            <w:shd w:val="clear" w:color="auto" w:fill="164E63"/>
          </w:tcPr>
          <w:p w14:paraId="304D075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判定依据</w:t>
            </w:r>
          </w:p>
        </w:tc>
        <w:tc>
          <w:tcPr>
            <w:tcW w:w="2360" w:type="dxa"/>
            <w:shd w:val="clear" w:color="auto" w:fill="164E63"/>
          </w:tcPr>
          <w:p w14:paraId="6C680B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审计结论</w:t>
            </w:r>
          </w:p>
        </w:tc>
      </w:tr>
      <w:tr w14:paraId="25CF8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18B0F7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常见竞赛模型</w:t>
            </w:r>
          </w:p>
        </w:tc>
        <w:tc>
          <w:tcPr>
            <w:tcW w:w="5300" w:type="dxa"/>
            <w:vAlign w:val="center"/>
          </w:tcPr>
          <w:p w14:paraId="5EABE75F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有公认定义，并完成本题变量、数据、目标与约束映射</w:t>
            </w:r>
          </w:p>
        </w:tc>
        <w:tc>
          <w:tcPr>
            <w:tcW w:w="2360" w:type="dxa"/>
            <w:vAlign w:val="center"/>
          </w:tcPr>
          <w:p w14:paraId="3D509FA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正常；不能因常见直接判AI</w:t>
            </w:r>
          </w:p>
        </w:tc>
      </w:tr>
      <w:tr w14:paraId="13B06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4FAFC"/>
            <w:vAlign w:val="center"/>
          </w:tcPr>
          <w:p w14:paraId="682E056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合理自定义模型</w:t>
            </w:r>
          </w:p>
        </w:tc>
        <w:tc>
          <w:tcPr>
            <w:tcW w:w="5300" w:type="dxa"/>
            <w:shd w:val="clear" w:color="auto" w:fill="F4FAFC"/>
            <w:vAlign w:val="center"/>
          </w:tcPr>
          <w:p w14:paraId="08BDF55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目标、变量、参数、约束与验证完整，名称虽自拟但可复现</w:t>
            </w:r>
          </w:p>
        </w:tc>
        <w:tc>
          <w:tcPr>
            <w:tcW w:w="2360" w:type="dxa"/>
            <w:shd w:val="clear" w:color="auto" w:fill="F4FAFC"/>
            <w:vAlign w:val="center"/>
          </w:tcPr>
          <w:p w14:paraId="5901380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正常或低风险</w:t>
            </w:r>
          </w:p>
        </w:tc>
      </w:tr>
      <w:tr w14:paraId="40DA6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FE82C9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模板套用</w:t>
            </w:r>
          </w:p>
        </w:tc>
        <w:tc>
          <w:tcPr>
            <w:tcW w:w="5300" w:type="dxa"/>
            <w:vAlign w:val="center"/>
          </w:tcPr>
          <w:p w14:paraId="6BEC8D6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主要是百科原理，删去题目背景仍可用于任意论文</w:t>
            </w:r>
          </w:p>
        </w:tc>
        <w:tc>
          <w:tcPr>
            <w:tcW w:w="2360" w:type="dxa"/>
            <w:vAlign w:val="center"/>
          </w:tcPr>
          <w:p w14:paraId="7AAF568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中高风险</w:t>
            </w:r>
          </w:p>
        </w:tc>
      </w:tr>
      <w:tr w14:paraId="51DB8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4FAFC"/>
            <w:vAlign w:val="center"/>
          </w:tcPr>
          <w:p w14:paraId="5265CA8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模型拼装</w:t>
            </w:r>
          </w:p>
        </w:tc>
        <w:tc>
          <w:tcPr>
            <w:tcW w:w="5300" w:type="dxa"/>
            <w:shd w:val="clear" w:color="auto" w:fill="F4FAFC"/>
            <w:vAlign w:val="center"/>
          </w:tcPr>
          <w:p w14:paraId="1F2217F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多个模型名串联，但接口、输入输出与必要性不清</w:t>
            </w:r>
          </w:p>
        </w:tc>
        <w:tc>
          <w:tcPr>
            <w:tcW w:w="2360" w:type="dxa"/>
            <w:shd w:val="clear" w:color="auto" w:fill="F4FAFC"/>
            <w:vAlign w:val="center"/>
          </w:tcPr>
          <w:p w14:paraId="46097C2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高风险</w:t>
            </w:r>
          </w:p>
        </w:tc>
      </w:tr>
      <w:tr w14:paraId="57D92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C5741D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伪改进</w:t>
            </w:r>
          </w:p>
        </w:tc>
        <w:tc>
          <w:tcPr>
            <w:tcW w:w="5300" w:type="dxa"/>
            <w:vAlign w:val="center"/>
          </w:tcPr>
          <w:p w14:paraId="2528F81D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声称改进/融合/动态/自适应，却无公式或算法变化</w:t>
            </w:r>
          </w:p>
        </w:tc>
        <w:tc>
          <w:tcPr>
            <w:tcW w:w="2360" w:type="dxa"/>
            <w:vAlign w:val="center"/>
          </w:tcPr>
          <w:p w14:paraId="2ADC9E6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高风险</w:t>
            </w:r>
          </w:p>
        </w:tc>
      </w:tr>
      <w:tr w14:paraId="54F72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4FAFC"/>
            <w:vAlign w:val="center"/>
          </w:tcPr>
          <w:p w14:paraId="0F688AC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模型错配</w:t>
            </w:r>
          </w:p>
        </w:tc>
        <w:tc>
          <w:tcPr>
            <w:tcW w:w="5300" w:type="dxa"/>
            <w:shd w:val="clear" w:color="auto" w:fill="F4FAFC"/>
            <w:vAlign w:val="center"/>
          </w:tcPr>
          <w:p w14:paraId="59DDB58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数据结构、任务目标或关键假设不满足适用条件</w:t>
            </w:r>
          </w:p>
        </w:tc>
        <w:tc>
          <w:tcPr>
            <w:tcW w:w="2360" w:type="dxa"/>
            <w:shd w:val="clear" w:color="auto" w:fill="F4FAFC"/>
            <w:vAlign w:val="center"/>
          </w:tcPr>
          <w:p w14:paraId="7B1CE4D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16323F"/>
                <w:sz w:val="18"/>
              </w:rPr>
              <w:t>高风险；专业争议不能直接等同AI证据</w:t>
            </w:r>
          </w:p>
        </w:tc>
      </w:tr>
    </w:tbl>
    <w:p w14:paraId="691C1F84">
      <w:pPr>
        <w:spacing w:after="100" w:line="300" w:lineRule="auto"/>
      </w:pPr>
      <w:r>
        <w:rPr>
          <w:rFonts w:ascii="微软雅黑" w:hAnsi="微软雅黑" w:eastAsia="微软雅黑"/>
          <w:b w:val="0"/>
          <w:color w:val="526875"/>
          <w:sz w:val="19"/>
        </w:rPr>
        <w:t>对每个主要模型必须核查：名称/定义、本题映射、变量域、目标函数、约束、参数来源、算法复现、结果作答、匹配的检验，以及所谓“创新”是否存在可观察的数学变化。</w:t>
      </w:r>
    </w:p>
    <w:p w14:paraId="2BF36558">
      <w:pPr>
        <w:pStyle w:val="3"/>
      </w:pPr>
      <w:r>
        <w:t>六、标准审计流程</w:t>
      </w:r>
    </w:p>
    <w:p w14:paraId="23E7975C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1. 识别论文全部章节并建立页码索引。</w:t>
      </w:r>
    </w:p>
    <w:p w14:paraId="4AD1D975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2. 逐章记录高风险证据；相同模式集中归纳，不重复堆砌。</w:t>
      </w:r>
    </w:p>
    <w:p w14:paraId="1445B60C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3. 逐问检查“题目条件→变量→模型→算法→结果→检验”闭环。</w:t>
      </w:r>
    </w:p>
    <w:p w14:paraId="598A0A95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4. 核验跨问联动：上一问具体哪项输出进入下一问的变量、参数、目标或约束。</w:t>
      </w:r>
    </w:p>
    <w:p w14:paraId="7B79E7DA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5. 核验数字、单位、表图、公式、引用、正文与代码的一致性。</w:t>
      </w:r>
    </w:p>
    <w:p w14:paraId="79EC7E81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6. 计算五维风险分，给出区间、等级、置信度与材料限制。</w:t>
      </w:r>
    </w:p>
    <w:p w14:paraId="2025852A">
      <w:pPr>
        <w:spacing w:after="60" w:line="300" w:lineRule="auto"/>
      </w:pPr>
      <w:r>
        <w:rPr>
          <w:rFonts w:ascii="微软雅黑" w:hAnsi="微软雅黑" w:eastAsia="微软雅黑"/>
          <w:b w:val="0"/>
          <w:color w:val="16323F"/>
          <w:sz w:val="20"/>
        </w:rPr>
        <w:t>7. 按P0事实/逻辑、P1复现/验证、P2表达/结构顺序提出修改动作。</w:t>
      </w:r>
    </w:p>
    <w:p w14:paraId="5344ED07">
      <w:pPr>
        <w:pStyle w:val="3"/>
      </w:pPr>
      <w:r>
        <w:t>七、HTML 报告强制结构</w:t>
      </w:r>
    </w:p>
    <w:p w14:paraId="50D72D94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一、结论与边界：风险区间、等级、置信度、材料完整性、非作者身份概率声明。</w:t>
      </w:r>
    </w:p>
    <w:p w14:paraId="54425002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二、五维风险评分：权重、风险分、关键证据。</w:t>
      </w:r>
    </w:p>
    <w:p w14:paraId="0F807B7D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三、逐板块检查：板块、风险等级、页码/位置、证据、修改方向。</w:t>
      </w:r>
    </w:p>
    <w:p w14:paraId="48489BB6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四、模型与思路真实性审计：类型、本题映射、参数与约束来源、求解验证闭环、结论。</w:t>
      </w:r>
    </w:p>
    <w:p w14:paraId="205DC1DA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五、重点句段修改：短原文、问题类型、修改原则、建议版本。</w:t>
      </w:r>
    </w:p>
    <w:p w14:paraId="1E03CCC7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六、逻辑断层与未完成任务；七、最优先修改的五项；八、无法核验事项。</w:t>
      </w:r>
    </w:p>
    <w:p w14:paraId="3095F8B1">
      <w:pPr>
        <w:spacing w:after="100" w:line="300" w:lineRule="auto"/>
      </w:pPr>
      <w:r>
        <w:rPr>
          <w:rFonts w:ascii="微软雅黑" w:hAnsi="微软雅黑" w:eastAsia="微软雅黑"/>
          <w:b/>
          <w:color w:val="0891B2"/>
          <w:sz w:val="22"/>
        </w:rPr>
        <w:t>HTML 样式要求</w:t>
      </w:r>
    </w:p>
    <w:p w14:paraId="4E4EDFEF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单文件、UTF-8、离线打开；CSS 与必要脚本均内嵌，不依赖外部图片或字体。</w:t>
      </w:r>
    </w:p>
    <w:p w14:paraId="211F341F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桌面端与手机端均可阅读；支持A4打印和浏览器“另存为PDF”。</w:t>
      </w:r>
    </w:p>
    <w:p w14:paraId="51C29E92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首页使用结论卡片与风险条；证据用表格展示；避免大段连续文字。</w:t>
      </w:r>
    </w:p>
    <w:p w14:paraId="6756AD14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页面背景加入低透明度重复水印“BZD数模社 https://bzdshumo.com/”，页眉或页脚保留可点击官网链接。</w:t>
      </w:r>
    </w:p>
    <w:p w14:paraId="21580B9F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报告必须区分“事实证据”“合理推断”“无法核验”，不得使用伪精确百分比。</w:t>
      </w:r>
    </w:p>
    <w:p w14:paraId="14CF0EB4">
      <w:pPr>
        <w:pStyle w:val="3"/>
      </w:pPr>
      <w:r>
        <w:t>八、输出前自检清单</w:t>
      </w:r>
    </w:p>
    <w:p w14:paraId="3571BD3D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已完整读取论文，而非只看摘要或随机抽页</w:t>
      </w:r>
    </w:p>
    <w:p w14:paraId="78BE7CE2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每项高风险判断均有页码/章节和上下文证据</w:t>
      </w:r>
    </w:p>
    <w:p w14:paraId="6930BD83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没有把专业术语或单个常用句式直接判为AI</w:t>
      </w:r>
    </w:p>
    <w:p w14:paraId="7AFE70FE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已逐问检查模型落地、算法复现、结果回答与量化检验</w:t>
      </w:r>
    </w:p>
    <w:p w14:paraId="586CC7DE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风险值为区间并给出置信度和材料限制</w:t>
      </w:r>
    </w:p>
    <w:p w14:paraId="5D37D6D6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修改建议未改变事实、数字、公式和作者真实贡献</w:t>
      </w:r>
    </w:p>
    <w:p w14:paraId="18E95A52">
      <w:pPr>
        <w:pStyle w:val="16"/>
        <w:spacing w:after="60" w:line="288" w:lineRule="auto"/>
        <w:ind w:left="547" w:hanging="274"/>
      </w:pPr>
      <w:r>
        <w:rPr>
          <w:rFonts w:ascii="微软雅黑" w:hAnsi="微软雅黑" w:eastAsia="微软雅黑"/>
          <w:b w:val="0"/>
          <w:color w:val="16323F"/>
          <w:sz w:val="20"/>
        </w:rPr>
        <w:t>□ HTML可离线打开、可打印，并含BZD水印与官网链接</w:t>
      </w:r>
    </w:p>
    <w:p w14:paraId="76A2C9F8">
      <w:pPr>
        <w:spacing w:after="40" w:line="300" w:lineRule="auto"/>
        <w:jc w:val="center"/>
      </w:pPr>
      <w:r>
        <w:rPr>
          <w:rFonts w:ascii="微软雅黑" w:hAnsi="微软雅黑" w:eastAsia="微软雅黑"/>
          <w:b/>
          <w:color w:val="164E63"/>
          <w:sz w:val="26"/>
        </w:rPr>
        <w:t>BZD数模社</w:t>
      </w:r>
    </w:p>
    <w:p w14:paraId="6AA2FA0D">
      <w:pPr>
        <w:spacing w:after="0" w:line="300" w:lineRule="auto"/>
        <w:jc w:val="center"/>
      </w:pPr>
      <w:r>
        <w:rPr>
          <w:rFonts w:ascii="微软雅黑" w:hAnsi="微软雅黑" w:eastAsia="微软雅黑"/>
          <w:b/>
          <w:color w:val="0891B2"/>
          <w:sz w:val="22"/>
        </w:rPr>
        <w:t>https://bzdshumo.com/</w:t>
      </w:r>
    </w:p>
    <w:sectPr>
      <w:headerReference r:id="rId5" w:type="default"/>
      <w:footerReference r:id="rId6" w:type="default"/>
      <w:pgSz w:w="11909" w:h="16834"/>
      <w:pgMar w:top="1037" w:right="1181" w:bottom="1037" w:left="1181" w:header="461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F53D2">
    <w:pPr>
      <w:pStyle w:val="24"/>
      <w:jc w:val="center"/>
    </w:pPr>
    <w:r>
      <w:rPr>
        <w:rFonts w:ascii="微软雅黑" w:hAnsi="微软雅黑" w:eastAsia="微软雅黑"/>
        <w:b w:val="0"/>
        <w:color w:val="526875"/>
        <w:sz w:val="16"/>
      </w:rPr>
      <w:t>BZD数模社  |  https://bzdshumo.com/  |  本材料仅供学习与论文自查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5B143">
    <w:pPr>
      <w:pStyle w:val="25"/>
    </w:pPr>
    <w:r>
      <w:rPr>
        <w:rFonts w:ascii="微软雅黑" w:hAnsi="微软雅黑" w:eastAsia="微软雅黑"/>
        <w:b w:val="0"/>
        <w:color w:val="526875"/>
        <w:sz w:val="17"/>
      </w:rPr>
      <w:t xml:space="preserve">  BZD数模社 · 数学建模论文审计工具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D7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16323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00" w:after="140"/>
      <w:outlineLvl w:val="0"/>
    </w:pPr>
    <w:rPr>
      <w:rFonts w:asciiTheme="majorHAnsi" w:hAnsiTheme="majorHAnsi" w:eastAsiaTheme="majorEastAsia" w:cstheme="majorBidi"/>
      <w:b/>
      <w:bCs/>
      <w:color w:val="164E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164E6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64E6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64E63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2454</Words>
  <Characters>2638</Characters>
  <Lines>0</Lines>
  <Paragraphs>0</Paragraphs>
  <TotalTime>0</TotalTime>
  <ScaleCrop>false</ScaleCrop>
  <LinksUpToDate>false</LinksUpToDate>
  <CharactersWithSpaces>2688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BZD数模社</dc:creator>
  <dc:description>generated by python-docx</dc:description>
  <cp:lastModifiedBy>热心的网友李先生</cp:lastModifiedBy>
  <dcterms:modified xsi:type="dcterms:W3CDTF">2026-09-02T15:48:50Z</dcterms:modified>
  <dc:subject>无需安装Skill的数学建模论文AI风格风险审计指南</dc:subject>
  <dc:title>BZD数模论文AI痕迹自查指南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9E8C454E840D4ED0B8A8F021CC2A821E_13</vt:lpwstr>
  </property>
</Properties>
</file>