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4694" w:rsidRPr="0048157F" w:rsidRDefault="002F4694" w:rsidP="0048157F">
      <w:pPr>
        <w:jc w:val="center"/>
        <w:rPr>
          <w:rFonts w:ascii="Times New Roman" w:hAnsi="Times New Roman" w:cs="Times New Roman"/>
          <w:b/>
          <w:bCs/>
          <w:sz w:val="28"/>
          <w:szCs w:val="28"/>
          <w:lang w:val="de-DE"/>
        </w:rPr>
      </w:pPr>
      <w:r w:rsidRPr="0048157F">
        <w:rPr>
          <w:rFonts w:ascii="Times New Roman" w:hAnsi="Times New Roman" w:cs="Times New Roman"/>
          <w:b/>
          <w:bCs/>
          <w:sz w:val="28"/>
          <w:szCs w:val="28"/>
          <w:lang w:val="de-DE"/>
        </w:rPr>
        <w:t>Antrag</w:t>
      </w:r>
      <w:r w:rsidR="00145100" w:rsidRPr="0048157F">
        <w:rPr>
          <w:rFonts w:ascii="Times New Roman" w:hAnsi="Times New Roman" w:cs="Times New Roman"/>
          <w:b/>
          <w:bCs/>
          <w:sz w:val="28"/>
          <w:szCs w:val="28"/>
          <w:lang w:val="de-DE"/>
        </w:rPr>
        <w:t xml:space="preserve"> auf kostenneutrale Verlängerung des Digitalisierungskollegs AICA</w:t>
      </w:r>
    </w:p>
    <w:p w:rsidR="00145100" w:rsidRPr="00E27DE8" w:rsidRDefault="00145100" w:rsidP="00E27DE8">
      <w:pPr>
        <w:jc w:val="both"/>
        <w:rPr>
          <w:rFonts w:ascii="Times New Roman" w:hAnsi="Times New Roman" w:cs="Times New Roman"/>
          <w:b/>
          <w:bCs/>
          <w:lang w:val="de-DE"/>
        </w:rPr>
      </w:pPr>
    </w:p>
    <w:p w:rsidR="00145100" w:rsidRPr="00E27DE8" w:rsidRDefault="00145100" w:rsidP="00E27DE8">
      <w:pPr>
        <w:jc w:val="both"/>
        <w:rPr>
          <w:rFonts w:ascii="Times New Roman" w:hAnsi="Times New Roman" w:cs="Times New Roman"/>
          <w:b/>
          <w:bCs/>
          <w:lang w:val="de-DE"/>
        </w:rPr>
      </w:pPr>
    </w:p>
    <w:p w:rsidR="009F3F52" w:rsidRPr="00E27DE8" w:rsidRDefault="00145100" w:rsidP="00E27DE8">
      <w:pPr>
        <w:jc w:val="both"/>
        <w:rPr>
          <w:rFonts w:ascii="Times New Roman" w:hAnsi="Times New Roman" w:cs="Times New Roman"/>
          <w:lang w:val="de-DE"/>
        </w:rPr>
      </w:pPr>
      <w:r w:rsidRPr="00E27DE8">
        <w:rPr>
          <w:rFonts w:ascii="Times New Roman" w:hAnsi="Times New Roman" w:cs="Times New Roman"/>
          <w:b/>
          <w:bCs/>
          <w:lang w:val="de-DE"/>
        </w:rPr>
        <w:t>Antragsteller:</w:t>
      </w:r>
      <w:r w:rsidRPr="00E27DE8">
        <w:rPr>
          <w:rFonts w:ascii="Times New Roman" w:hAnsi="Times New Roman" w:cs="Times New Roman"/>
          <w:lang w:val="de-DE"/>
        </w:rPr>
        <w:t xml:space="preserve"> </w:t>
      </w:r>
      <w:r w:rsidRPr="00E27DE8">
        <w:rPr>
          <w:rFonts w:ascii="Times New Roman" w:hAnsi="Times New Roman" w:cs="Times New Roman"/>
          <w:lang w:val="de-DE"/>
        </w:rPr>
        <w:br/>
        <w:t xml:space="preserve">Mariya </w:t>
      </w:r>
      <w:proofErr w:type="spellStart"/>
      <w:r w:rsidRPr="00E27DE8">
        <w:rPr>
          <w:rFonts w:ascii="Times New Roman" w:hAnsi="Times New Roman" w:cs="Times New Roman"/>
          <w:lang w:val="de-DE"/>
        </w:rPr>
        <w:t>Dzhimova</w:t>
      </w:r>
      <w:proofErr w:type="spellEnd"/>
      <w:r w:rsidRPr="00E27DE8">
        <w:rPr>
          <w:rFonts w:ascii="Times New Roman" w:hAnsi="Times New Roman" w:cs="Times New Roman"/>
          <w:lang w:val="de-DE"/>
        </w:rPr>
        <w:t>, Institut für Kulturmanagement und Medien, Hochschule für Musik und Theater München</w:t>
      </w:r>
      <w:r w:rsidR="009F3F52" w:rsidRPr="00E27DE8">
        <w:rPr>
          <w:rFonts w:ascii="Times New Roman" w:hAnsi="Times New Roman" w:cs="Times New Roman"/>
          <w:lang w:val="de-DE"/>
        </w:rPr>
        <w:t xml:space="preserve">, </w:t>
      </w:r>
      <w:hyperlink r:id="rId7" w:history="1">
        <w:r w:rsidR="009F3F52" w:rsidRPr="00E27DE8">
          <w:rPr>
            <w:rStyle w:val="Hyperlink"/>
            <w:rFonts w:ascii="Times New Roman" w:hAnsi="Times New Roman" w:cs="Times New Roman"/>
            <w:lang w:val="de-DE"/>
          </w:rPr>
          <w:t>mariya.dzhimova@hmtm.de</w:t>
        </w:r>
      </w:hyperlink>
    </w:p>
    <w:p w:rsidR="00145100" w:rsidRPr="00E27DE8" w:rsidRDefault="00145100" w:rsidP="00E27DE8">
      <w:pPr>
        <w:jc w:val="both"/>
        <w:rPr>
          <w:rFonts w:ascii="Times New Roman" w:hAnsi="Times New Roman" w:cs="Times New Roman"/>
          <w:lang w:val="de-DE"/>
        </w:rPr>
      </w:pPr>
      <w:r w:rsidRPr="00E27DE8">
        <w:rPr>
          <w:rFonts w:ascii="Times New Roman" w:hAnsi="Times New Roman" w:cs="Times New Roman"/>
          <w:lang w:val="de-DE"/>
        </w:rPr>
        <w:t xml:space="preserve">Dr. Benedikt </w:t>
      </w:r>
      <w:proofErr w:type="spellStart"/>
      <w:r w:rsidRPr="00E27DE8">
        <w:rPr>
          <w:rFonts w:ascii="Times New Roman" w:hAnsi="Times New Roman" w:cs="Times New Roman"/>
          <w:lang w:val="de-DE"/>
        </w:rPr>
        <w:t>Zönnchen</w:t>
      </w:r>
      <w:proofErr w:type="spellEnd"/>
      <w:r w:rsidRPr="00E27DE8">
        <w:rPr>
          <w:rFonts w:ascii="Times New Roman" w:hAnsi="Times New Roman" w:cs="Times New Roman"/>
          <w:lang w:val="de-DE"/>
        </w:rPr>
        <w:t xml:space="preserve">, MUC.DAI Munich Center </w:t>
      </w:r>
      <w:proofErr w:type="spellStart"/>
      <w:r w:rsidRPr="00E27DE8">
        <w:rPr>
          <w:rFonts w:ascii="Times New Roman" w:hAnsi="Times New Roman" w:cs="Times New Roman"/>
          <w:lang w:val="de-DE"/>
        </w:rPr>
        <w:t>for</w:t>
      </w:r>
      <w:proofErr w:type="spellEnd"/>
      <w:r w:rsidRPr="00E27DE8">
        <w:rPr>
          <w:rFonts w:ascii="Times New Roman" w:hAnsi="Times New Roman" w:cs="Times New Roman"/>
          <w:lang w:val="de-DE"/>
        </w:rPr>
        <w:t xml:space="preserve"> Digital Sciences and AI, Hochschule München</w:t>
      </w:r>
      <w:r w:rsidR="009F3F52" w:rsidRPr="00E27DE8">
        <w:rPr>
          <w:rFonts w:ascii="Times New Roman" w:hAnsi="Times New Roman" w:cs="Times New Roman"/>
          <w:lang w:val="de-DE"/>
        </w:rPr>
        <w:t xml:space="preserve"> </w:t>
      </w:r>
      <w:hyperlink r:id="rId8" w:history="1">
        <w:r w:rsidR="009F3F52" w:rsidRPr="00E27DE8">
          <w:rPr>
            <w:rStyle w:val="Hyperlink"/>
            <w:rFonts w:ascii="Times New Roman" w:hAnsi="Times New Roman" w:cs="Times New Roman"/>
            <w:lang w:val="de-DE"/>
          </w:rPr>
          <w:t>benedikt.zoennchen@hm.edu</w:t>
        </w:r>
      </w:hyperlink>
    </w:p>
    <w:p w:rsidR="00145100" w:rsidRPr="00E27DE8" w:rsidRDefault="00145100" w:rsidP="00E27DE8">
      <w:pPr>
        <w:jc w:val="both"/>
        <w:rPr>
          <w:rFonts w:ascii="Times New Roman" w:hAnsi="Times New Roman" w:cs="Times New Roman"/>
          <w:lang w:val="de-DE"/>
        </w:rPr>
      </w:pPr>
    </w:p>
    <w:p w:rsidR="00145100" w:rsidRPr="00E27DE8" w:rsidRDefault="00145100" w:rsidP="00E27DE8">
      <w:pPr>
        <w:jc w:val="both"/>
        <w:rPr>
          <w:rFonts w:ascii="Times New Roman" w:hAnsi="Times New Roman" w:cs="Times New Roman"/>
          <w:lang w:val="de-DE"/>
        </w:rPr>
      </w:pPr>
    </w:p>
    <w:p w:rsidR="008D2F95" w:rsidRPr="0048157F" w:rsidRDefault="008D2F95" w:rsidP="00E27DE8">
      <w:pPr>
        <w:pStyle w:val="Listenabsatz"/>
        <w:numPr>
          <w:ilvl w:val="0"/>
          <w:numId w:val="2"/>
        </w:numPr>
        <w:jc w:val="both"/>
        <w:rPr>
          <w:rFonts w:ascii="Times New Roman" w:hAnsi="Times New Roman" w:cs="Times New Roman"/>
          <w:i/>
          <w:iCs/>
          <w:lang w:val="de-DE"/>
        </w:rPr>
      </w:pPr>
      <w:r w:rsidRPr="00E27DE8">
        <w:rPr>
          <w:rFonts w:ascii="Times New Roman" w:eastAsia="Times New Roman" w:hAnsi="Times New Roman" w:cs="Times New Roman"/>
          <w:b/>
          <w:bCs/>
          <w:kern w:val="0"/>
          <w:lang w:val="de-DE" w:eastAsia="de-DE"/>
          <w14:ligatures w14:val="none"/>
        </w:rPr>
        <w:t>Begründung für eine kostenneutrale Verlängerung des Digitalisierungskollegs AICA</w:t>
      </w:r>
    </w:p>
    <w:p w:rsidR="0048157F" w:rsidRDefault="0048157F" w:rsidP="0048157F">
      <w:pPr>
        <w:spacing w:before="100" w:beforeAutospacing="1" w:after="100" w:afterAutospacing="1"/>
        <w:jc w:val="both"/>
        <w:rPr>
          <w:rFonts w:ascii="Times New Roman" w:eastAsia="Times New Roman" w:hAnsi="Times New Roman" w:cs="Times New Roman"/>
          <w:kern w:val="0"/>
          <w:lang w:val="de-DE" w:eastAsia="de-DE"/>
          <w14:ligatures w14:val="none"/>
        </w:rPr>
      </w:pPr>
      <w:r w:rsidRPr="005C5B45">
        <w:rPr>
          <w:rFonts w:ascii="Times New Roman" w:eastAsia="Times New Roman" w:hAnsi="Times New Roman" w:cs="Times New Roman"/>
          <w:kern w:val="0"/>
          <w:lang w:val="de-DE" w:eastAsia="de-DE"/>
          <w14:ligatures w14:val="none"/>
        </w:rPr>
        <w:t>In der bisherigen Förderphase des Digitalisierungskollegs AICA konnten zentrale Projektbestandteile erfolgreich umgesetzt werden, insbesondere das zweisemestrige KI-Labor mit Vortragsreihen, Tech-Crashkursen und anschließenden Projektwerkstätten. Zwei im Antrag vorgesehene strukturelle Bausteine</w:t>
      </w:r>
      <w:r w:rsidR="0030542E">
        <w:rPr>
          <w:rFonts w:ascii="Times New Roman" w:eastAsia="Times New Roman" w:hAnsi="Times New Roman" w:cs="Times New Roman"/>
          <w:kern w:val="0"/>
          <w:lang w:val="de-DE" w:eastAsia="de-DE"/>
          <w14:ligatures w14:val="none"/>
        </w:rPr>
        <w:t xml:space="preserve">, nämlich </w:t>
      </w:r>
      <w:r w:rsidRPr="005C5B45">
        <w:rPr>
          <w:rFonts w:ascii="Times New Roman" w:eastAsia="Times New Roman" w:hAnsi="Times New Roman" w:cs="Times New Roman"/>
          <w:kern w:val="0"/>
          <w:lang w:val="de-DE" w:eastAsia="de-DE"/>
          <w14:ligatures w14:val="none"/>
        </w:rPr>
        <w:t>die digitale Community sowie das Ambassador-Programm</w:t>
      </w:r>
      <w:r w:rsidR="0030542E">
        <w:rPr>
          <w:rFonts w:ascii="Times New Roman" w:eastAsia="Times New Roman" w:hAnsi="Times New Roman" w:cs="Times New Roman"/>
          <w:kern w:val="0"/>
          <w:lang w:val="de-DE" w:eastAsia="de-DE"/>
          <w14:ligatures w14:val="none"/>
        </w:rPr>
        <w:t xml:space="preserve">, </w:t>
      </w:r>
      <w:r w:rsidRPr="005C5B45">
        <w:rPr>
          <w:rFonts w:ascii="Times New Roman" w:eastAsia="Times New Roman" w:hAnsi="Times New Roman" w:cs="Times New Roman"/>
          <w:kern w:val="0"/>
          <w:lang w:val="de-DE" w:eastAsia="de-DE"/>
          <w14:ligatures w14:val="none"/>
        </w:rPr>
        <w:t xml:space="preserve">konnten jedoch nicht im geplanten Umfang realisiert werden. </w:t>
      </w:r>
      <w:r>
        <w:rPr>
          <w:rFonts w:ascii="Times New Roman" w:eastAsia="Times New Roman" w:hAnsi="Times New Roman" w:cs="Times New Roman"/>
          <w:kern w:val="0"/>
          <w:lang w:val="de-DE" w:eastAsia="de-DE"/>
          <w14:ligatures w14:val="none"/>
        </w:rPr>
        <w:t xml:space="preserve"> Hauptgrund hierfür </w:t>
      </w:r>
      <w:r w:rsidRPr="005C5B45">
        <w:rPr>
          <w:rFonts w:ascii="Times New Roman" w:eastAsia="Times New Roman" w:hAnsi="Times New Roman" w:cs="Times New Roman"/>
          <w:kern w:val="0"/>
          <w:lang w:val="de-DE" w:eastAsia="de-DE"/>
          <w14:ligatures w14:val="none"/>
        </w:rPr>
        <w:t>war die verzögerte Besetzung der vorgesehenen Coach-Stellen, die über einen längeren Zeitraum zu erheblichen Kapazitätsengpässen in der Projektkoordination führte. Aufbau und kontinuierliche Betreuung dieser Formate erfordern stabile personelle Ressourcen, die in dieser Phase nicht ausreichend zur Verfügung standen.</w:t>
      </w:r>
      <w:r>
        <w:rPr>
          <w:rFonts w:ascii="Times New Roman" w:eastAsia="Times New Roman" w:hAnsi="Times New Roman" w:cs="Times New Roman"/>
          <w:kern w:val="0"/>
          <w:lang w:val="de-DE" w:eastAsia="de-DE"/>
          <w14:ligatures w14:val="none"/>
        </w:rPr>
        <w:t xml:space="preserve"> </w:t>
      </w:r>
      <w:r w:rsidRPr="005C5B45">
        <w:rPr>
          <w:rFonts w:ascii="Times New Roman" w:eastAsia="Times New Roman" w:hAnsi="Times New Roman" w:cs="Times New Roman"/>
          <w:kern w:val="0"/>
          <w:lang w:val="de-DE" w:eastAsia="de-DE"/>
          <w14:ligatures w14:val="none"/>
        </w:rPr>
        <w:t>Beide Bausteine sind jedoch essenziell für die nachhaltige Verankerung des Kollegs, da sie der langfristigen Vernetzung, Dokumentation und strukturellen Stabilisierung der im KI-Labor entwickelten Ansätze dienen. Ohne ihre Umsetzung bleibt die Wirkung des Projekts weitgehend auf semestergebundene Lehrformate beschränkt.</w:t>
      </w:r>
    </w:p>
    <w:p w:rsidR="0048157F" w:rsidRPr="005C5B45" w:rsidRDefault="0048157F" w:rsidP="0048157F">
      <w:pPr>
        <w:spacing w:before="100" w:beforeAutospacing="1" w:after="100" w:afterAutospacing="1"/>
        <w:jc w:val="both"/>
        <w:rPr>
          <w:rFonts w:ascii="Times New Roman" w:eastAsia="Times New Roman" w:hAnsi="Times New Roman" w:cs="Times New Roman"/>
          <w:kern w:val="0"/>
          <w:lang w:val="de-DE" w:eastAsia="de-DE"/>
          <w14:ligatures w14:val="none"/>
        </w:rPr>
      </w:pPr>
      <w:r w:rsidRPr="005C5B45">
        <w:rPr>
          <w:rFonts w:ascii="Times New Roman" w:eastAsia="Times New Roman" w:hAnsi="Times New Roman" w:cs="Times New Roman"/>
          <w:kern w:val="0"/>
          <w:lang w:val="de-DE" w:eastAsia="de-DE"/>
          <w14:ligatures w14:val="none"/>
        </w:rPr>
        <w:t xml:space="preserve">Vor diesem Hintergrund beantragen wir eine kostenneutrale Verlängerung, um die verbleibenden Mittel gezielt für den Aufbau der digitalen Community sowie des dreiteiligen Ambassador-Programms einzusetzen. Im Wintersemester 2026/27 sollen die konzeptionellen Arbeiten abgeschlossen, die Community-Struktur etabliert und die erste Kohorte der </w:t>
      </w:r>
      <w:proofErr w:type="spellStart"/>
      <w:r w:rsidRPr="005C5B45">
        <w:rPr>
          <w:rFonts w:ascii="Times New Roman" w:eastAsia="Times New Roman" w:hAnsi="Times New Roman" w:cs="Times New Roman"/>
          <w:kern w:val="0"/>
          <w:lang w:val="de-DE" w:eastAsia="de-DE"/>
          <w14:ligatures w14:val="none"/>
        </w:rPr>
        <w:t>Interdisciplinary</w:t>
      </w:r>
      <w:proofErr w:type="spellEnd"/>
      <w:r w:rsidRPr="005C5B45">
        <w:rPr>
          <w:rFonts w:ascii="Times New Roman" w:eastAsia="Times New Roman" w:hAnsi="Times New Roman" w:cs="Times New Roman"/>
          <w:kern w:val="0"/>
          <w:lang w:val="de-DE" w:eastAsia="de-DE"/>
          <w14:ligatures w14:val="none"/>
        </w:rPr>
        <w:t xml:space="preserve">, </w:t>
      </w:r>
      <w:proofErr w:type="spellStart"/>
      <w:r w:rsidRPr="005C5B45">
        <w:rPr>
          <w:rFonts w:ascii="Times New Roman" w:eastAsia="Times New Roman" w:hAnsi="Times New Roman" w:cs="Times New Roman"/>
          <w:kern w:val="0"/>
          <w:lang w:val="de-DE" w:eastAsia="de-DE"/>
          <w14:ligatures w14:val="none"/>
        </w:rPr>
        <w:t>Institutional</w:t>
      </w:r>
      <w:proofErr w:type="spellEnd"/>
      <w:r w:rsidRPr="005C5B45">
        <w:rPr>
          <w:rFonts w:ascii="Times New Roman" w:eastAsia="Times New Roman" w:hAnsi="Times New Roman" w:cs="Times New Roman"/>
          <w:kern w:val="0"/>
          <w:lang w:val="de-DE" w:eastAsia="de-DE"/>
          <w14:ligatures w14:val="none"/>
        </w:rPr>
        <w:t xml:space="preserve"> und Alumni </w:t>
      </w:r>
      <w:proofErr w:type="spellStart"/>
      <w:r w:rsidRPr="005C5B45">
        <w:rPr>
          <w:rFonts w:ascii="Times New Roman" w:eastAsia="Times New Roman" w:hAnsi="Times New Roman" w:cs="Times New Roman"/>
          <w:kern w:val="0"/>
          <w:lang w:val="de-DE" w:eastAsia="de-DE"/>
          <w14:ligatures w14:val="none"/>
        </w:rPr>
        <w:t>Ambassadors</w:t>
      </w:r>
      <w:proofErr w:type="spellEnd"/>
      <w:r w:rsidRPr="005C5B45">
        <w:rPr>
          <w:rFonts w:ascii="Times New Roman" w:eastAsia="Times New Roman" w:hAnsi="Times New Roman" w:cs="Times New Roman"/>
          <w:kern w:val="0"/>
          <w:lang w:val="de-DE" w:eastAsia="de-DE"/>
          <w14:ligatures w14:val="none"/>
        </w:rPr>
        <w:t xml:space="preserve"> rekrutiert und begleitet werden.</w:t>
      </w:r>
    </w:p>
    <w:p w:rsidR="0048157F" w:rsidRPr="0048157F" w:rsidRDefault="0048157F" w:rsidP="0048157F">
      <w:pPr>
        <w:spacing w:before="100" w:beforeAutospacing="1" w:after="100" w:afterAutospacing="1"/>
        <w:jc w:val="both"/>
        <w:rPr>
          <w:rFonts w:ascii="Times New Roman" w:eastAsia="Times New Roman" w:hAnsi="Times New Roman" w:cs="Times New Roman"/>
          <w:kern w:val="0"/>
          <w:lang w:val="de-DE" w:eastAsia="de-DE"/>
          <w14:ligatures w14:val="none"/>
        </w:rPr>
      </w:pPr>
      <w:r w:rsidRPr="005C5B45">
        <w:rPr>
          <w:rFonts w:ascii="Times New Roman" w:eastAsia="Times New Roman" w:hAnsi="Times New Roman" w:cs="Times New Roman"/>
          <w:kern w:val="0"/>
          <w:lang w:val="de-DE" w:eastAsia="de-DE"/>
          <w14:ligatures w14:val="none"/>
        </w:rPr>
        <w:t>Die Verlängerung erfolgt ausschließlich aus noch nicht verausgabten Projektmitteln. Sie stellt eine konsequente Fortführung des ursprünglichen Projektziels dar und gewährleistet, dass das Digitalisierungskolleg AICA nicht nur als erfolgreiches Lehrformat, sondern als dauerhafte Wissens- und Netzwerkstruktur etabliert wird. Wir beantragen daher eine kostenneutrale Verlängerung um sieben Monate vom 01.09.2026 bis zum 31.03.2027.</w:t>
      </w:r>
    </w:p>
    <w:p w:rsidR="00A66E8F" w:rsidRDefault="00A66E8F" w:rsidP="00E27DE8">
      <w:pPr>
        <w:pStyle w:val="StandardWeb"/>
        <w:numPr>
          <w:ilvl w:val="0"/>
          <w:numId w:val="2"/>
        </w:numPr>
        <w:jc w:val="both"/>
        <w:rPr>
          <w:b/>
          <w:bCs/>
        </w:rPr>
      </w:pPr>
      <w:r w:rsidRPr="00E27DE8">
        <w:rPr>
          <w:b/>
          <w:bCs/>
        </w:rPr>
        <w:t>Ambassador-Programm</w:t>
      </w:r>
    </w:p>
    <w:p w:rsidR="0030542E" w:rsidRDefault="0030542E" w:rsidP="0030542E">
      <w:pPr>
        <w:pStyle w:val="StandardWeb"/>
        <w:jc w:val="both"/>
      </w:pPr>
      <w:r>
        <w:t xml:space="preserve">Das Ambassador-Programm besteht aus drei aufeinander bezogenen Bausteinen: (1) </w:t>
      </w:r>
      <w:proofErr w:type="spellStart"/>
      <w:r>
        <w:t>Interdisciplinary</w:t>
      </w:r>
      <w:proofErr w:type="spellEnd"/>
      <w:r>
        <w:t xml:space="preserve"> </w:t>
      </w:r>
      <w:proofErr w:type="spellStart"/>
      <w:r>
        <w:t>Ambassadors</w:t>
      </w:r>
      <w:proofErr w:type="spellEnd"/>
      <w:r>
        <w:t xml:space="preserve">, (2) </w:t>
      </w:r>
      <w:proofErr w:type="spellStart"/>
      <w:r>
        <w:t>Institutional</w:t>
      </w:r>
      <w:proofErr w:type="spellEnd"/>
      <w:r>
        <w:t xml:space="preserve"> </w:t>
      </w:r>
      <w:proofErr w:type="spellStart"/>
      <w:r>
        <w:t>Ambassadors</w:t>
      </w:r>
      <w:proofErr w:type="spellEnd"/>
      <w:r>
        <w:t xml:space="preserve"> und (3) Alumni </w:t>
      </w:r>
      <w:proofErr w:type="spellStart"/>
      <w:r>
        <w:t>Ambassadors</w:t>
      </w:r>
      <w:proofErr w:type="spellEnd"/>
      <w:r>
        <w:t>. Gemeinsam schaffen sie eine nachhaltige Struktur des interdisziplinären Austauschs, der institutionellen Vernetzung und des langfristigen Wissenstransfers zwischen Hochschulen und Praxisfeldern der Kultur- und Kreativwirtschaft. Während das KI-Labor einen experimentellen Projektraum eröffnet, sichern die Ambassador-Formate die kontinuierliche Zirkulation von Wissen und Erfahrungen über einzelne Lehrveranstaltungen hinaus.</w:t>
      </w:r>
    </w:p>
    <w:p w:rsidR="0030542E" w:rsidRDefault="0030542E" w:rsidP="0030542E">
      <w:pPr>
        <w:pStyle w:val="StandardWeb"/>
        <w:jc w:val="both"/>
      </w:pPr>
      <w:proofErr w:type="spellStart"/>
      <w:r>
        <w:rPr>
          <w:rStyle w:val="Fett"/>
        </w:rPr>
        <w:lastRenderedPageBreak/>
        <w:t>Interdisciplinary</w:t>
      </w:r>
      <w:proofErr w:type="spellEnd"/>
      <w:r>
        <w:rPr>
          <w:rStyle w:val="Fett"/>
        </w:rPr>
        <w:t xml:space="preserve"> </w:t>
      </w:r>
      <w:proofErr w:type="spellStart"/>
      <w:r>
        <w:rPr>
          <w:rStyle w:val="Fett"/>
        </w:rPr>
        <w:t>Ambassadors</w:t>
      </w:r>
      <w:proofErr w:type="spellEnd"/>
      <w:r>
        <w:t xml:space="preserve">: </w:t>
      </w:r>
      <w:r>
        <w:t>Pro Jahrgang werden 10–15 besonders engagierte Studierende beider Hochschulen mit unterschiedlichen disziplinären Hintergründen ausgewählt – etwa Informatik und Data Science auf Seiten der HM sowie künstlerische Studiengänge, Kulturmanagement oder kulturwissenschaftliche Fächer auf Seiten der HMTM.</w:t>
      </w:r>
      <w:r>
        <w:t xml:space="preserve"> </w:t>
      </w:r>
      <w:r>
        <w:t>Sie nehmen gezielt an Lehrveranstaltungen</w:t>
      </w:r>
      <w:r>
        <w:t xml:space="preserve"> </w:t>
      </w:r>
      <w:r>
        <w:t>der jeweils anderen Hochschule teil, um fachfremde Denkweisen, Methoden und Arbeitslogiken kennenzulernen und die eigene Perspektive zu erweitern. Ihre Beobachtungen halten sie in strukturierten Reflexionsberichten, Essays oder Blogbeiträgen fest, die auf der Website des Kollegs veröffentlicht werden und ein wachsendes Archiv interdisziplinärer Reflexion bilden.</w:t>
      </w:r>
    </w:p>
    <w:p w:rsidR="0030542E" w:rsidRDefault="0030542E" w:rsidP="0030542E">
      <w:pPr>
        <w:pStyle w:val="StandardWeb"/>
        <w:jc w:val="both"/>
      </w:pPr>
      <w:proofErr w:type="spellStart"/>
      <w:r>
        <w:rPr>
          <w:rStyle w:val="Fett"/>
        </w:rPr>
        <w:t>Institutional</w:t>
      </w:r>
      <w:proofErr w:type="spellEnd"/>
      <w:r>
        <w:rPr>
          <w:rStyle w:val="Fett"/>
        </w:rPr>
        <w:t xml:space="preserve"> </w:t>
      </w:r>
      <w:proofErr w:type="spellStart"/>
      <w:r>
        <w:rPr>
          <w:rStyle w:val="Fett"/>
        </w:rPr>
        <w:t>Ambassadors</w:t>
      </w:r>
      <w:proofErr w:type="spellEnd"/>
      <w:r>
        <w:t xml:space="preserve">: </w:t>
      </w:r>
      <w:r>
        <w:t>In Kooperation mit Museen, Theatern, Festivals, Kulturinstitutionen</w:t>
      </w:r>
      <w:r>
        <w:t xml:space="preserve"> </w:t>
      </w:r>
      <w:r>
        <w:t>oder Creative-Tech-Unternehmen übernehmen ausgewählte Studierende für ein Semester eine projektbezogene Schnittstellenfunktion. Sie bearbeiten konkrete Fragestellungen aus der Praxis</w:t>
      </w:r>
      <w:r>
        <w:t xml:space="preserve">, </w:t>
      </w:r>
      <w:r>
        <w:t xml:space="preserve">etwa </w:t>
      </w:r>
      <w:proofErr w:type="spellStart"/>
      <w:r>
        <w:t>Audience</w:t>
      </w:r>
      <w:proofErr w:type="spellEnd"/>
      <w:r>
        <w:t xml:space="preserve"> Analytics, datenbasierte Kommunikationsstrategien, generative Gestaltung, KI-gestützte </w:t>
      </w:r>
      <w:proofErr w:type="spellStart"/>
      <w:r>
        <w:t>Kurationsprozesse</w:t>
      </w:r>
      <w:proofErr w:type="spellEnd"/>
      <w:r>
        <w:t xml:space="preserve"> oder Workflow-Optimierung</w:t>
      </w:r>
      <w:r>
        <w:t xml:space="preserve"> </w:t>
      </w:r>
      <w:r>
        <w:t>und reflektieren die Übertragbarkeit der im Kolleg entwickelten Ansätze auf institutionelle Kontexte. Dadurch entsteht ein bidirektionaler Wissenstransfer zwischen Hochschule und Praxis.</w:t>
      </w:r>
    </w:p>
    <w:p w:rsidR="0030542E" w:rsidRDefault="0030542E" w:rsidP="0030542E">
      <w:pPr>
        <w:pStyle w:val="StandardWeb"/>
        <w:jc w:val="both"/>
      </w:pPr>
      <w:r>
        <w:rPr>
          <w:rStyle w:val="Fett"/>
        </w:rPr>
        <w:t xml:space="preserve">Alumni </w:t>
      </w:r>
      <w:proofErr w:type="spellStart"/>
      <w:r>
        <w:rPr>
          <w:rStyle w:val="Fett"/>
        </w:rPr>
        <w:t>Ambassadors</w:t>
      </w:r>
      <w:proofErr w:type="spellEnd"/>
      <w:r>
        <w:t xml:space="preserve">. </w:t>
      </w:r>
      <w:proofErr w:type="spellStart"/>
      <w:r>
        <w:t>Ehemalige</w:t>
      </w:r>
      <w:proofErr w:type="spellEnd"/>
      <w:r>
        <w:t xml:space="preserve"> Teilnehmende des KI-Labors oder der Ambassador-Programme, die bereits in der Kultur- oder Kreativwirtschaft tätig sind, werden als </w:t>
      </w:r>
      <w:r w:rsidRPr="0030542E">
        <w:t>Mentor</w:t>
      </w:r>
      <w:r>
        <w:t>*</w:t>
      </w:r>
      <w:r w:rsidRPr="0030542E">
        <w:rPr>
          <w:rStyle w:val="Hervorhebung"/>
          <w:i w:val="0"/>
          <w:iCs w:val="0"/>
        </w:rPr>
        <w:t>innen</w:t>
      </w:r>
      <w:r w:rsidRPr="0030542E">
        <w:rPr>
          <w:rStyle w:val="Hervorhebung"/>
        </w:rPr>
        <w:t xml:space="preserve">, </w:t>
      </w:r>
      <w:r w:rsidRPr="0030542E">
        <w:rPr>
          <w:rStyle w:val="Hervorhebung"/>
          <w:i w:val="0"/>
          <w:iCs w:val="0"/>
        </w:rPr>
        <w:t>Impulsgeber</w:t>
      </w:r>
      <w:r>
        <w:rPr>
          <w:rStyle w:val="Hervorhebung"/>
          <w:i w:val="0"/>
          <w:iCs w:val="0"/>
        </w:rPr>
        <w:t>*</w:t>
      </w:r>
      <w:r w:rsidRPr="0030542E">
        <w:t>innen</w:t>
      </w:r>
      <w:r>
        <w:t xml:space="preserve"> oder Gastreferent*innen eingebunden. Sie berichten über konkrete Anwendungsfelder von KI, Transformationsprozesse und neue Kompetenzanforderungen und gewährleisten so die kontinuierliche Rückkopplung aktueller Praxiserfahrungen in die Lehre.</w:t>
      </w:r>
    </w:p>
    <w:p w:rsidR="0030542E" w:rsidRDefault="0030542E" w:rsidP="0030542E">
      <w:pPr>
        <w:pStyle w:val="StandardWeb"/>
        <w:jc w:val="both"/>
      </w:pPr>
      <w:r>
        <w:t>Einmal jährlich werden die drei Bausteine in einem hochschulübergreifenden Event gebündelt. Diese öffentliche Präsenzveranstaltung dient der Sichtbarmachung der im Programm entstandenen Projekte, Reflexionen und Kooperationen. Das Event wird bewusst als offenes</w:t>
      </w:r>
      <w:r w:rsidR="00053494">
        <w:t xml:space="preserve"> </w:t>
      </w:r>
      <w:r>
        <w:t xml:space="preserve">Format konzipiert, das wissenschaftliche Präsentationen, </w:t>
      </w:r>
      <w:r w:rsidR="00053494">
        <w:t>B</w:t>
      </w:r>
      <w:r>
        <w:t>erichte und künstlerische Beiträge miteinander verbindet. Geplant sind neben Vorträgen und Panels auch performative oder musikalische Beiträge</w:t>
      </w:r>
      <w:r w:rsidR="00053494">
        <w:t xml:space="preserve">, </w:t>
      </w:r>
      <w:r>
        <w:t>etwa ein Konzert- oder Showcase-Format, das KI-bezogene künstlerische Arbeiten erfahrbar macht.</w:t>
      </w:r>
    </w:p>
    <w:p w:rsidR="00053494" w:rsidRDefault="00053494" w:rsidP="0030542E">
      <w:pPr>
        <w:pStyle w:val="StandardWeb"/>
        <w:jc w:val="both"/>
      </w:pPr>
      <w:r>
        <w:t>Auf diese Weise</w:t>
      </w:r>
      <w:r>
        <w:t xml:space="preserve"> wird das Ambassador-Programm zugleich Transferstruktur und öffentliches Forum für KI in Kunst und Kultur. Das jährliche Event stärkt Vernetzung, Sichtbarkeit und institutionelle Verankerung des Digitalisierungskollegs AICA.</w:t>
      </w:r>
    </w:p>
    <w:p w:rsidR="00A66E8F" w:rsidRDefault="00A66E8F" w:rsidP="00E27DE8">
      <w:pPr>
        <w:pStyle w:val="Listenabsatz"/>
        <w:numPr>
          <w:ilvl w:val="0"/>
          <w:numId w:val="2"/>
        </w:numPr>
        <w:spacing w:before="100" w:beforeAutospacing="1" w:after="100" w:afterAutospacing="1"/>
        <w:jc w:val="both"/>
        <w:outlineLvl w:val="1"/>
        <w:rPr>
          <w:rFonts w:ascii="Times New Roman" w:eastAsia="Times New Roman" w:hAnsi="Times New Roman" w:cs="Times New Roman"/>
          <w:b/>
          <w:bCs/>
          <w:kern w:val="0"/>
          <w:lang w:val="de-DE" w:eastAsia="de-DE"/>
          <w14:ligatures w14:val="none"/>
        </w:rPr>
      </w:pPr>
      <w:r w:rsidRPr="00E27DE8">
        <w:rPr>
          <w:rFonts w:ascii="Times New Roman" w:eastAsia="Times New Roman" w:hAnsi="Times New Roman" w:cs="Times New Roman"/>
          <w:b/>
          <w:bCs/>
          <w:kern w:val="0"/>
          <w:lang w:val="de-DE" w:eastAsia="de-DE"/>
          <w14:ligatures w14:val="none"/>
        </w:rPr>
        <w:t xml:space="preserve">Digitale Community </w:t>
      </w:r>
    </w:p>
    <w:p w:rsidR="0048157F" w:rsidRDefault="0048157F" w:rsidP="0048157F">
      <w:pPr>
        <w:pStyle w:val="StandardWeb"/>
        <w:jc w:val="both"/>
      </w:pPr>
      <w:r>
        <w:t>Neben dem Ambassador-Programm bildet die digitale Community einen zentralen strukturellen Baustein des Digitalisierungskollegs AICA. Sie stellt die infrastrukturelle Grundlage für Austausch, Dokumentation und Wissenszirkulation dar und verbindet die verschiedenen Formate zu einem nachhaltigen Gesamtzusammenhang. Als kontinuierlicher Kommunikations- und Lernraum wirkt sie über einzelne Semester hinaus und unterstützt die langfristige Verstetigung des Projekts.</w:t>
      </w:r>
      <w:r>
        <w:t xml:space="preserve"> </w:t>
      </w:r>
      <w:r>
        <w:t xml:space="preserve">Die Community ist als moderierter, strukturierter Raum konzipiert, in dem Studierende, Lehrende, Forschende und externe Akteur*innen fachübergreifend in Austausch treten. Erfahrungen aus Lehrveranstaltungen, Projektarbeiten und Praxisformaten können geteilt, Fragen diskutiert und neue Impulse aufgegriffen werden. Technische, künstlerische, organisatorische und theoretische Zugänge werden dialogisch miteinander </w:t>
      </w:r>
      <w:r>
        <w:lastRenderedPageBreak/>
        <w:t>verschränkt.</w:t>
      </w:r>
      <w:r w:rsidR="00053494">
        <w:t xml:space="preserve"> </w:t>
      </w:r>
      <w:r>
        <w:t>Ergänzend zur digitalen Infrastruktur ist ein regelmäßig stattfindendes Community-Event vor Ort vorgesehen, das einmal pro Semester organisiert wird. Diese Präsenzveranstaltung bündelt ausgewählte Beiträge aus der Online-Community in Form von Kurzvorträgen, Projektvorstellungen oder thematischen Panels. Ziel ist es, digitale Diskurse in einen physischen Begegnungsraum zu überführen, persönliche Vernetzung zu ermöglichen und neue Kooperationen anzustoßen.</w:t>
      </w:r>
    </w:p>
    <w:p w:rsidR="0048157F" w:rsidRPr="00E27DE8" w:rsidRDefault="0048157F" w:rsidP="0048157F">
      <w:pPr>
        <w:pStyle w:val="StandardWeb"/>
        <w:jc w:val="both"/>
      </w:pPr>
      <w:r>
        <w:t xml:space="preserve">Darüber hinaus fungiert die Community als Schnittstelle zwischen Hochschule und Praxis. Externe Partner können Impulse einbringen und aktuelle Herausforderungen zur Diskussion stellen, während sie zugleich Zugang zu den im Kolleg entwickelten Projekten erhalten. </w:t>
      </w:r>
      <w:r w:rsidR="00053494">
        <w:t>Die digitale Community sichert die nachhaltige Verankerung des Kollegs und schafft eine dauerhafte Infrastruktur für interdisziplinären Dialog – digital wie vor Ort.</w:t>
      </w:r>
    </w:p>
    <w:p w:rsidR="00A66E8F" w:rsidRDefault="00A66E8F" w:rsidP="00E27DE8">
      <w:pPr>
        <w:pStyle w:val="Listenabsatz"/>
        <w:numPr>
          <w:ilvl w:val="0"/>
          <w:numId w:val="2"/>
        </w:numPr>
        <w:jc w:val="both"/>
        <w:rPr>
          <w:rFonts w:ascii="Times New Roman" w:hAnsi="Times New Roman" w:cs="Times New Roman"/>
          <w:b/>
          <w:bCs/>
          <w:lang w:val="de-DE"/>
        </w:rPr>
      </w:pPr>
      <w:r w:rsidRPr="00E27DE8">
        <w:rPr>
          <w:rFonts w:ascii="Times New Roman" w:hAnsi="Times New Roman" w:cs="Times New Roman"/>
          <w:b/>
          <w:bCs/>
          <w:lang w:val="de-DE"/>
        </w:rPr>
        <w:t xml:space="preserve">Zeitplan </w:t>
      </w:r>
    </w:p>
    <w:p w:rsidR="00053494" w:rsidRPr="00E27DE8" w:rsidRDefault="00053494" w:rsidP="00053494">
      <w:pPr>
        <w:pStyle w:val="Listenabsatz"/>
        <w:jc w:val="both"/>
        <w:rPr>
          <w:rFonts w:ascii="Times New Roman" w:hAnsi="Times New Roman" w:cs="Times New Roman"/>
          <w:b/>
          <w:bCs/>
          <w:lang w:val="de-DE"/>
        </w:rPr>
      </w:pPr>
    </w:p>
    <w:p w:rsidR="009A2C9F" w:rsidRDefault="0048157F" w:rsidP="00E27DE8">
      <w:pPr>
        <w:jc w:val="both"/>
        <w:rPr>
          <w:rFonts w:ascii="Times New Roman" w:hAnsi="Times New Roman" w:cs="Times New Roman"/>
          <w:lang w:val="de-DE"/>
        </w:rPr>
      </w:pPr>
      <w:r>
        <w:rPr>
          <w:rFonts w:ascii="Times New Roman" w:hAnsi="Times New Roman" w:cs="Times New Roman"/>
          <w:noProof/>
          <w:lang w:val="de-DE"/>
        </w:rPr>
        <w:drawing>
          <wp:inline distT="0" distB="0" distL="0" distR="0" wp14:anchorId="447EFD83" wp14:editId="56D0537E">
            <wp:extent cx="4917387" cy="3331029"/>
            <wp:effectExtent l="0" t="0" r="0" b="0"/>
            <wp:docPr id="16383324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32490" name="Grafik 16383324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7387" cy="3331029"/>
                    </a:xfrm>
                    <a:prstGeom prst="rect">
                      <a:avLst/>
                    </a:prstGeom>
                  </pic:spPr>
                </pic:pic>
              </a:graphicData>
            </a:graphic>
          </wp:inline>
        </w:drawing>
      </w:r>
    </w:p>
    <w:p w:rsidR="00053494" w:rsidRPr="00E27DE8" w:rsidRDefault="00053494" w:rsidP="00E27DE8">
      <w:pPr>
        <w:jc w:val="both"/>
        <w:rPr>
          <w:rFonts w:ascii="Times New Roman" w:hAnsi="Times New Roman" w:cs="Times New Roman"/>
          <w:lang w:val="de-DE"/>
        </w:rPr>
      </w:pPr>
    </w:p>
    <w:p w:rsidR="009A2C9F" w:rsidRPr="00E27DE8" w:rsidRDefault="009A2C9F" w:rsidP="00E27DE8">
      <w:pPr>
        <w:pStyle w:val="Listenabsatz"/>
        <w:numPr>
          <w:ilvl w:val="0"/>
          <w:numId w:val="2"/>
        </w:numPr>
        <w:jc w:val="both"/>
        <w:rPr>
          <w:rFonts w:ascii="Times New Roman" w:hAnsi="Times New Roman" w:cs="Times New Roman"/>
          <w:b/>
          <w:bCs/>
          <w:lang w:val="de-DE"/>
        </w:rPr>
      </w:pPr>
      <w:r w:rsidRPr="00E27DE8">
        <w:rPr>
          <w:rFonts w:ascii="Times New Roman" w:hAnsi="Times New Roman" w:cs="Times New Roman"/>
          <w:b/>
          <w:bCs/>
          <w:lang w:val="de-DE"/>
        </w:rPr>
        <w:t>Finanzplan</w:t>
      </w:r>
    </w:p>
    <w:p w:rsidR="009A2C9F" w:rsidRPr="00E27DE8" w:rsidRDefault="009A2C9F" w:rsidP="00E27DE8">
      <w:pPr>
        <w:jc w:val="both"/>
        <w:rPr>
          <w:rFonts w:ascii="Times New Roman" w:hAnsi="Times New Roman" w:cs="Times New Roman"/>
          <w:lang w:val="de-DE"/>
        </w:rPr>
      </w:pPr>
    </w:p>
    <w:p w:rsidR="009A2C9F" w:rsidRPr="00E27DE8" w:rsidRDefault="006476F6" w:rsidP="00E27DE8">
      <w:pPr>
        <w:jc w:val="both"/>
        <w:rPr>
          <w:rFonts w:ascii="Times New Roman" w:hAnsi="Times New Roman" w:cs="Times New Roman"/>
          <w:lang w:val="de-DE"/>
        </w:rPr>
      </w:pPr>
      <w:r>
        <w:rPr>
          <w:rFonts w:ascii="Times New Roman" w:hAnsi="Times New Roman" w:cs="Times New Roman"/>
          <w:noProof/>
          <w:lang w:val="de-DE"/>
        </w:rPr>
        <w:drawing>
          <wp:inline distT="0" distB="0" distL="0" distR="0">
            <wp:extent cx="5102679" cy="2171030"/>
            <wp:effectExtent l="0" t="0" r="3175" b="1270"/>
            <wp:docPr id="68082280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22804" name="Grafik 6808228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8385" cy="2181967"/>
                    </a:xfrm>
                    <a:prstGeom prst="rect">
                      <a:avLst/>
                    </a:prstGeom>
                  </pic:spPr>
                </pic:pic>
              </a:graphicData>
            </a:graphic>
          </wp:inline>
        </w:drawing>
      </w:r>
    </w:p>
    <w:sectPr w:rsidR="009A2C9F" w:rsidRPr="00E27DE8" w:rsidSect="00A66E8F">
      <w:footerReference w:type="even" r:id="rId11"/>
      <w:footerReference w:type="default" r:id="rId12"/>
      <w:pgSz w:w="11906" w:h="16838"/>
      <w:pgMar w:top="1418" w:right="1418" w:bottom="158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B4FA0" w:rsidRDefault="00DB4FA0" w:rsidP="00E27DE8">
      <w:r>
        <w:separator/>
      </w:r>
    </w:p>
  </w:endnote>
  <w:endnote w:type="continuationSeparator" w:id="0">
    <w:p w:rsidR="00DB4FA0" w:rsidRDefault="00DB4FA0" w:rsidP="00E27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5936400"/>
      <w:docPartObj>
        <w:docPartGallery w:val="Page Numbers (Bottom of Page)"/>
        <w:docPartUnique/>
      </w:docPartObj>
    </w:sdtPr>
    <w:sdtContent>
      <w:p w:rsidR="00E27DE8" w:rsidRDefault="00E27DE8" w:rsidP="00864D1B">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E27DE8" w:rsidRDefault="00E27DE8" w:rsidP="00E27DE8">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159272044"/>
      <w:docPartObj>
        <w:docPartGallery w:val="Page Numbers (Bottom of Page)"/>
        <w:docPartUnique/>
      </w:docPartObj>
    </w:sdtPr>
    <w:sdtContent>
      <w:p w:rsidR="00E27DE8" w:rsidRDefault="00E27DE8" w:rsidP="00864D1B">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E27DE8" w:rsidRDefault="00E27DE8" w:rsidP="00E27DE8">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B4FA0" w:rsidRDefault="00DB4FA0" w:rsidP="00E27DE8">
      <w:r>
        <w:separator/>
      </w:r>
    </w:p>
  </w:footnote>
  <w:footnote w:type="continuationSeparator" w:id="0">
    <w:p w:rsidR="00DB4FA0" w:rsidRDefault="00DB4FA0" w:rsidP="00E27D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91A2F"/>
    <w:multiLevelType w:val="hybridMultilevel"/>
    <w:tmpl w:val="92F0AF92"/>
    <w:lvl w:ilvl="0" w:tplc="B8A2BACC">
      <w:start w:val="1"/>
      <w:numFmt w:val="decimal"/>
      <w:lvlText w:val="%1."/>
      <w:lvlJc w:val="left"/>
      <w:pPr>
        <w:ind w:left="720" w:hanging="360"/>
      </w:pPr>
      <w:rPr>
        <w:rFonts w:eastAsia="Times New Roman"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7770519"/>
    <w:multiLevelType w:val="hybridMultilevel"/>
    <w:tmpl w:val="DB22584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62364220">
    <w:abstractNumId w:val="1"/>
  </w:num>
  <w:num w:numId="2" w16cid:durableId="1301610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15F"/>
    <w:rsid w:val="00053494"/>
    <w:rsid w:val="00145100"/>
    <w:rsid w:val="00266F87"/>
    <w:rsid w:val="002F4694"/>
    <w:rsid w:val="0030542E"/>
    <w:rsid w:val="0048157F"/>
    <w:rsid w:val="006476F6"/>
    <w:rsid w:val="008D2F95"/>
    <w:rsid w:val="009A2C9F"/>
    <w:rsid w:val="009F3F52"/>
    <w:rsid w:val="00A66E8F"/>
    <w:rsid w:val="00AA315F"/>
    <w:rsid w:val="00B22E95"/>
    <w:rsid w:val="00D16A1F"/>
    <w:rsid w:val="00DB4FA0"/>
    <w:rsid w:val="00E27DE8"/>
    <w:rsid w:val="00EC5CF0"/>
    <w:rsid w:val="00FA2E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4191"/>
  <w15:chartTrackingRefBased/>
  <w15:docId w15:val="{AB9B212D-FEFD-A046-956F-2540F1434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2">
    <w:name w:val="heading 2"/>
    <w:basedOn w:val="Standard"/>
    <w:link w:val="berschrift2Zchn"/>
    <w:uiPriority w:val="9"/>
    <w:qFormat/>
    <w:rsid w:val="008D2F95"/>
    <w:pPr>
      <w:spacing w:before="100" w:beforeAutospacing="1" w:after="100" w:afterAutospacing="1"/>
      <w:outlineLvl w:val="1"/>
    </w:pPr>
    <w:rPr>
      <w:rFonts w:ascii="Times New Roman" w:eastAsia="Times New Roman" w:hAnsi="Times New Roman" w:cs="Times New Roman"/>
      <w:b/>
      <w:bCs/>
      <w:kern w:val="0"/>
      <w:sz w:val="36"/>
      <w:szCs w:val="36"/>
      <w:lang w:val="de-DE"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45100"/>
    <w:pPr>
      <w:ind w:left="720"/>
      <w:contextualSpacing/>
    </w:pPr>
  </w:style>
  <w:style w:type="character" w:styleId="Hyperlink">
    <w:name w:val="Hyperlink"/>
    <w:basedOn w:val="Absatz-Standardschriftart"/>
    <w:uiPriority w:val="99"/>
    <w:unhideWhenUsed/>
    <w:rsid w:val="009F3F52"/>
    <w:rPr>
      <w:color w:val="0563C1" w:themeColor="hyperlink"/>
      <w:u w:val="single"/>
    </w:rPr>
  </w:style>
  <w:style w:type="character" w:styleId="NichtaufgelsteErwhnung">
    <w:name w:val="Unresolved Mention"/>
    <w:basedOn w:val="Absatz-Standardschriftart"/>
    <w:uiPriority w:val="99"/>
    <w:semiHidden/>
    <w:unhideWhenUsed/>
    <w:rsid w:val="009F3F52"/>
    <w:rPr>
      <w:color w:val="605E5C"/>
      <w:shd w:val="clear" w:color="auto" w:fill="E1DFDD"/>
    </w:rPr>
  </w:style>
  <w:style w:type="character" w:customStyle="1" w:styleId="berschrift2Zchn">
    <w:name w:val="Überschrift 2 Zchn"/>
    <w:basedOn w:val="Absatz-Standardschriftart"/>
    <w:link w:val="berschrift2"/>
    <w:uiPriority w:val="9"/>
    <w:rsid w:val="008D2F95"/>
    <w:rPr>
      <w:rFonts w:ascii="Times New Roman" w:eastAsia="Times New Roman" w:hAnsi="Times New Roman" w:cs="Times New Roman"/>
      <w:b/>
      <w:bCs/>
      <w:kern w:val="0"/>
      <w:sz w:val="36"/>
      <w:szCs w:val="36"/>
      <w:lang w:eastAsia="de-DE"/>
      <w14:ligatures w14:val="none"/>
    </w:rPr>
  </w:style>
  <w:style w:type="paragraph" w:styleId="StandardWeb">
    <w:name w:val="Normal (Web)"/>
    <w:basedOn w:val="Standard"/>
    <w:uiPriority w:val="99"/>
    <w:unhideWhenUsed/>
    <w:rsid w:val="008D2F95"/>
    <w:pPr>
      <w:spacing w:before="100" w:beforeAutospacing="1" w:after="100" w:afterAutospacing="1"/>
    </w:pPr>
    <w:rPr>
      <w:rFonts w:ascii="Times New Roman" w:eastAsia="Times New Roman" w:hAnsi="Times New Roman" w:cs="Times New Roman"/>
      <w:kern w:val="0"/>
      <w:lang w:val="de-DE" w:eastAsia="de-DE"/>
      <w14:ligatures w14:val="none"/>
    </w:rPr>
  </w:style>
  <w:style w:type="paragraph" w:styleId="Fuzeile">
    <w:name w:val="footer"/>
    <w:basedOn w:val="Standard"/>
    <w:link w:val="FuzeileZchn"/>
    <w:uiPriority w:val="99"/>
    <w:unhideWhenUsed/>
    <w:rsid w:val="00E27DE8"/>
    <w:pPr>
      <w:tabs>
        <w:tab w:val="center" w:pos="4536"/>
        <w:tab w:val="right" w:pos="9072"/>
      </w:tabs>
    </w:pPr>
  </w:style>
  <w:style w:type="character" w:customStyle="1" w:styleId="FuzeileZchn">
    <w:name w:val="Fußzeile Zchn"/>
    <w:basedOn w:val="Absatz-Standardschriftart"/>
    <w:link w:val="Fuzeile"/>
    <w:uiPriority w:val="99"/>
    <w:rsid w:val="00E27DE8"/>
    <w:rPr>
      <w:lang w:val="en-US"/>
    </w:rPr>
  </w:style>
  <w:style w:type="character" w:styleId="Seitenzahl">
    <w:name w:val="page number"/>
    <w:basedOn w:val="Absatz-Standardschriftart"/>
    <w:uiPriority w:val="99"/>
    <w:semiHidden/>
    <w:unhideWhenUsed/>
    <w:rsid w:val="00E27DE8"/>
  </w:style>
  <w:style w:type="character" w:styleId="Fett">
    <w:name w:val="Strong"/>
    <w:basedOn w:val="Absatz-Standardschriftart"/>
    <w:uiPriority w:val="22"/>
    <w:qFormat/>
    <w:rsid w:val="0048157F"/>
    <w:rPr>
      <w:b/>
      <w:bCs/>
    </w:rPr>
  </w:style>
  <w:style w:type="character" w:styleId="Hervorhebung">
    <w:name w:val="Emphasis"/>
    <w:basedOn w:val="Absatz-Standardschriftart"/>
    <w:uiPriority w:val="20"/>
    <w:qFormat/>
    <w:rsid w:val="004815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259757">
      <w:bodyDiv w:val="1"/>
      <w:marLeft w:val="0"/>
      <w:marRight w:val="0"/>
      <w:marTop w:val="0"/>
      <w:marBottom w:val="0"/>
      <w:divBdr>
        <w:top w:val="none" w:sz="0" w:space="0" w:color="auto"/>
        <w:left w:val="none" w:sz="0" w:space="0" w:color="auto"/>
        <w:bottom w:val="none" w:sz="0" w:space="0" w:color="auto"/>
        <w:right w:val="none" w:sz="0" w:space="0" w:color="auto"/>
      </w:divBdr>
    </w:div>
    <w:div w:id="327100087">
      <w:bodyDiv w:val="1"/>
      <w:marLeft w:val="0"/>
      <w:marRight w:val="0"/>
      <w:marTop w:val="0"/>
      <w:marBottom w:val="0"/>
      <w:divBdr>
        <w:top w:val="none" w:sz="0" w:space="0" w:color="auto"/>
        <w:left w:val="none" w:sz="0" w:space="0" w:color="auto"/>
        <w:bottom w:val="none" w:sz="0" w:space="0" w:color="auto"/>
        <w:right w:val="none" w:sz="0" w:space="0" w:color="auto"/>
      </w:divBdr>
    </w:div>
    <w:div w:id="828591886">
      <w:bodyDiv w:val="1"/>
      <w:marLeft w:val="0"/>
      <w:marRight w:val="0"/>
      <w:marTop w:val="0"/>
      <w:marBottom w:val="0"/>
      <w:divBdr>
        <w:top w:val="none" w:sz="0" w:space="0" w:color="auto"/>
        <w:left w:val="none" w:sz="0" w:space="0" w:color="auto"/>
        <w:bottom w:val="none" w:sz="0" w:space="0" w:color="auto"/>
        <w:right w:val="none" w:sz="0" w:space="0" w:color="auto"/>
      </w:divBdr>
    </w:div>
    <w:div w:id="1063212917">
      <w:bodyDiv w:val="1"/>
      <w:marLeft w:val="0"/>
      <w:marRight w:val="0"/>
      <w:marTop w:val="0"/>
      <w:marBottom w:val="0"/>
      <w:divBdr>
        <w:top w:val="none" w:sz="0" w:space="0" w:color="auto"/>
        <w:left w:val="none" w:sz="0" w:space="0" w:color="auto"/>
        <w:bottom w:val="none" w:sz="0" w:space="0" w:color="auto"/>
        <w:right w:val="none" w:sz="0" w:space="0" w:color="auto"/>
      </w:divBdr>
    </w:div>
    <w:div w:id="1208031326">
      <w:bodyDiv w:val="1"/>
      <w:marLeft w:val="0"/>
      <w:marRight w:val="0"/>
      <w:marTop w:val="0"/>
      <w:marBottom w:val="0"/>
      <w:divBdr>
        <w:top w:val="none" w:sz="0" w:space="0" w:color="auto"/>
        <w:left w:val="none" w:sz="0" w:space="0" w:color="auto"/>
        <w:bottom w:val="none" w:sz="0" w:space="0" w:color="auto"/>
        <w:right w:val="none" w:sz="0" w:space="0" w:color="auto"/>
      </w:divBdr>
    </w:div>
    <w:div w:id="1256986300">
      <w:bodyDiv w:val="1"/>
      <w:marLeft w:val="0"/>
      <w:marRight w:val="0"/>
      <w:marTop w:val="0"/>
      <w:marBottom w:val="0"/>
      <w:divBdr>
        <w:top w:val="none" w:sz="0" w:space="0" w:color="auto"/>
        <w:left w:val="none" w:sz="0" w:space="0" w:color="auto"/>
        <w:bottom w:val="none" w:sz="0" w:space="0" w:color="auto"/>
        <w:right w:val="none" w:sz="0" w:space="0" w:color="auto"/>
      </w:divBdr>
    </w:div>
    <w:div w:id="1496989050">
      <w:bodyDiv w:val="1"/>
      <w:marLeft w:val="0"/>
      <w:marRight w:val="0"/>
      <w:marTop w:val="0"/>
      <w:marBottom w:val="0"/>
      <w:divBdr>
        <w:top w:val="none" w:sz="0" w:space="0" w:color="auto"/>
        <w:left w:val="none" w:sz="0" w:space="0" w:color="auto"/>
        <w:bottom w:val="none" w:sz="0" w:space="0" w:color="auto"/>
        <w:right w:val="none" w:sz="0" w:space="0" w:color="auto"/>
      </w:divBdr>
    </w:div>
    <w:div w:id="1600720499">
      <w:bodyDiv w:val="1"/>
      <w:marLeft w:val="0"/>
      <w:marRight w:val="0"/>
      <w:marTop w:val="0"/>
      <w:marBottom w:val="0"/>
      <w:divBdr>
        <w:top w:val="none" w:sz="0" w:space="0" w:color="auto"/>
        <w:left w:val="none" w:sz="0" w:space="0" w:color="auto"/>
        <w:bottom w:val="none" w:sz="0" w:space="0" w:color="auto"/>
        <w:right w:val="none" w:sz="0" w:space="0" w:color="auto"/>
      </w:divBdr>
    </w:div>
    <w:div w:id="1603996950">
      <w:bodyDiv w:val="1"/>
      <w:marLeft w:val="0"/>
      <w:marRight w:val="0"/>
      <w:marTop w:val="0"/>
      <w:marBottom w:val="0"/>
      <w:divBdr>
        <w:top w:val="none" w:sz="0" w:space="0" w:color="auto"/>
        <w:left w:val="none" w:sz="0" w:space="0" w:color="auto"/>
        <w:bottom w:val="none" w:sz="0" w:space="0" w:color="auto"/>
        <w:right w:val="none" w:sz="0" w:space="0" w:color="auto"/>
      </w:divBdr>
    </w:div>
    <w:div w:id="1663270257">
      <w:bodyDiv w:val="1"/>
      <w:marLeft w:val="0"/>
      <w:marRight w:val="0"/>
      <w:marTop w:val="0"/>
      <w:marBottom w:val="0"/>
      <w:divBdr>
        <w:top w:val="none" w:sz="0" w:space="0" w:color="auto"/>
        <w:left w:val="none" w:sz="0" w:space="0" w:color="auto"/>
        <w:bottom w:val="none" w:sz="0" w:space="0" w:color="auto"/>
        <w:right w:val="none" w:sz="0" w:space="0" w:color="auto"/>
      </w:divBdr>
    </w:div>
    <w:div w:id="1765758874">
      <w:bodyDiv w:val="1"/>
      <w:marLeft w:val="0"/>
      <w:marRight w:val="0"/>
      <w:marTop w:val="0"/>
      <w:marBottom w:val="0"/>
      <w:divBdr>
        <w:top w:val="none" w:sz="0" w:space="0" w:color="auto"/>
        <w:left w:val="none" w:sz="0" w:space="0" w:color="auto"/>
        <w:bottom w:val="none" w:sz="0" w:space="0" w:color="auto"/>
        <w:right w:val="none" w:sz="0" w:space="0" w:color="auto"/>
      </w:divBdr>
    </w:div>
    <w:div w:id="1869293993">
      <w:bodyDiv w:val="1"/>
      <w:marLeft w:val="0"/>
      <w:marRight w:val="0"/>
      <w:marTop w:val="0"/>
      <w:marBottom w:val="0"/>
      <w:divBdr>
        <w:top w:val="none" w:sz="0" w:space="0" w:color="auto"/>
        <w:left w:val="none" w:sz="0" w:space="0" w:color="auto"/>
        <w:bottom w:val="none" w:sz="0" w:space="0" w:color="auto"/>
        <w:right w:val="none" w:sz="0" w:space="0" w:color="auto"/>
      </w:divBdr>
    </w:div>
    <w:div w:id="1904295138">
      <w:bodyDiv w:val="1"/>
      <w:marLeft w:val="0"/>
      <w:marRight w:val="0"/>
      <w:marTop w:val="0"/>
      <w:marBottom w:val="0"/>
      <w:divBdr>
        <w:top w:val="none" w:sz="0" w:space="0" w:color="auto"/>
        <w:left w:val="none" w:sz="0" w:space="0" w:color="auto"/>
        <w:bottom w:val="none" w:sz="0" w:space="0" w:color="auto"/>
        <w:right w:val="none" w:sz="0" w:space="0" w:color="auto"/>
      </w:divBdr>
    </w:div>
    <w:div w:id="2013145623">
      <w:bodyDiv w:val="1"/>
      <w:marLeft w:val="0"/>
      <w:marRight w:val="0"/>
      <w:marTop w:val="0"/>
      <w:marBottom w:val="0"/>
      <w:divBdr>
        <w:top w:val="none" w:sz="0" w:space="0" w:color="auto"/>
        <w:left w:val="none" w:sz="0" w:space="0" w:color="auto"/>
        <w:bottom w:val="none" w:sz="0" w:space="0" w:color="auto"/>
        <w:right w:val="none" w:sz="0" w:space="0" w:color="auto"/>
      </w:divBdr>
    </w:div>
    <w:div w:id="206432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edikt.zoennchen@hm.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iya.dzhimova@hmtm.d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1024</Words>
  <Characters>6452</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cp:lastPrinted>2026-02-23T08:37:00Z</cp:lastPrinted>
  <dcterms:created xsi:type="dcterms:W3CDTF">2026-02-20T12:00:00Z</dcterms:created>
  <dcterms:modified xsi:type="dcterms:W3CDTF">2026-02-23T08:57:00Z</dcterms:modified>
</cp:coreProperties>
</file>