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png" ContentType="image/png"/>
  <ns0:Default Extension="jpeg" ContentType="image/jpeg"/>
  <ns0:Override PartName="/_rels/.rels" ContentType="application/vnd.openxmlformats-package.relationship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docProps/custom.xml" ContentType="application/vnd.openxmlformats-officedocument.custom-properties+xml"/>
  <ns0:Override PartName="/word/_rels/document.xml.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p14 w15">
  <w:body>
    <w:p>
      <w:pPr>
        <w:pStyle w:val="TextBody"/>
        <w:bidi w:val="0"/>
        <w:spacing w:before="0" w:after="0"/>
        <w:jc w:val="center"/>
        <w:rPr/>
      </w:pPr>
      <w:r>
        <w:rPr/>
        <w:t>LiFeO4Agent</w:t>
      </w:r>
    </w:p>
    <w:p>
      <w:pPr>
        <w:pStyle w:val="TextBody"/>
        <w:bidi w:val="0"/>
        <w:spacing w:before="0" w:after="0"/>
        <w:jc w:val="center"/>
        <w:rPr/>
      </w:pPr>
      <w:r>
        <w:rPr/>
        <w:t>系统概要设计说明书</w:t>
      </w:r>
    </w:p>
    <w:p>
      <w:pPr>
        <w:pStyle w:val="TextBody"/>
        <w:bidi w:val="0"/>
        <w:spacing w:before="0" w:after="0"/>
        <w:jc w:val="center"/>
        <w:rPr/>
      </w:pPr>
      <w:r>
        <w:rPr/>
        <w:t>文档版本：</w:t>
      </w:r>
      <w:r>
        <w:rPr/>
        <w:t>V1.0</w:t>
      </w:r>
    </w:p>
    <w:p>
      <w:pPr>
        <w:pStyle w:val="TextBody"/>
        <w:bidi w:val="0"/>
        <w:spacing w:before="0" w:after="0"/>
        <w:jc w:val="center"/>
        <w:rPr/>
      </w:pPr>
      <w:r>
        <w:rPr/>
        <w:t>文档日期：</w:t>
      </w:r>
      <w:r>
        <w:rPr/>
        <w:t>2026/05/20</w:t>
      </w:r>
    </w:p>
    <w:p>
      <w:pPr>
        <w:pStyle w:val="TextBody"/>
        <w:bidi w:val="0"/>
        <w:spacing w:before="0" w:after="0"/>
        <w:jc w:val="center"/>
        <w:rPr/>
      </w:pPr>
      <w:r>
        <w:rPr/>
        <w:t>适用环境：系统设计、评审和架构维护</w:t>
      </w:r>
    </w:p>
    <w:p>
      <w:pPr>
        <w:pStyle w:val="TextBody"/>
        <w:bidi w:val="0"/>
        <w:jc w:val="center"/>
        <w:rPr/>
      </w:pPr>
      <w:r>
        <w:rPr/>
        <w:t>文档对象：项目负责人、架构师、开发和测试人员</w:t>
      </w:r>
    </w:p>
    <w:p>
      <w:pPr>
        <w:pStyle w:val="Heading1"/>
        <w:bidi w:val="0"/>
        <w:rPr/>
      </w:pPr>
      <w:r>
        <w:rPr/>
        <w:t>版本记录</w:t>
      </w:r>
    </w:p>
    <w:tbl>
      <w:tblPr>
        <w:tblW w:w="35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6"/>
        <w:gridCol w:w="1216"/>
        <w:gridCol w:w="736"/>
        <w:gridCol w:w="991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版本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日期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修订人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修订说明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V1.0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2026/05/20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项目组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初版</w:t>
            </w:r>
          </w:p>
        </w:tc>
      </w:tr>
    </w:tbl>
    <w:p>
      <w:pPr>
        <w:pStyle w:val="Heading1"/>
        <w:bidi w:val="0"/>
        <w:rPr/>
      </w:pPr>
      <w:r>
        <w:rPr/>
        <w:t xml:space="preserve">1 </w:t>
      </w:r>
      <w:r>
        <w:rPr/>
        <w:t>简介</w:t>
      </w:r>
    </w:p>
    <w:p>
      <w:pPr>
        <w:pStyle w:val="Heading2"/>
        <w:bidi w:val="0"/>
        <w:rPr/>
      </w:pPr>
      <w:r>
        <w:rPr/>
        <w:t xml:space="preserve">1.1 </w:t>
      </w:r>
      <w:r>
        <w:rPr/>
        <w:t>编写目的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本文档从宏观层面说明 </w:t>
      </w:r>
      <w:r>
        <w:rPr/>
        <w:t xml:space="preserve">LiFeO4Agent </w:t>
      </w:r>
      <w:r>
        <w:rPr/>
        <w:t>的系统目标、总体架构、技术选型、模块划分、集成关系、部署策略、数据设计、安全和非功能设计，用于指导详细设计、开发实现、测试验收和后续运维。</w:t>
      </w:r>
    </w:p>
    <w:p>
      <w:pPr>
        <w:pStyle w:val="Heading2"/>
        <w:bidi w:val="0"/>
        <w:rPr/>
      </w:pPr>
      <w:r>
        <w:rPr/>
        <w:t xml:space="preserve">1.2 </w:t>
      </w:r>
      <w:r>
        <w:rPr/>
        <w:t>适用范围</w:t>
      </w:r>
    </w:p>
    <w:p>
      <w:pPr>
        <w:pStyle w:val="TextBody"/>
        <w:bidi w:val="0"/>
        <w:spacing w:lineRule="auto" w:line="276" w:before="0" w:after="120"/>
        <w:rPr/>
      </w:pPr>
      <w:r>
        <w:rPr/>
        <w:t>本文档适用于项目组成员、测试人员、部署运维人员和业务负责人。最终用户操作说明见用户手册；部署命令和现场实施步骤见部署手册。</w:t>
      </w:r>
    </w:p>
    <w:p>
      <w:pPr>
        <w:pStyle w:val="Heading2"/>
        <w:bidi w:val="0"/>
        <w:rPr/>
      </w:pPr>
      <w:r>
        <w:rPr/>
        <w:t xml:space="preserve">1.3 </w:t>
      </w:r>
      <w:r>
        <w:rPr/>
        <w:t>名词术语</w:t>
      </w:r>
    </w:p>
    <w:tbl>
      <w:tblPr>
        <w:tblW w:w="66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1"/>
        <w:gridCol w:w="931"/>
        <w:gridCol w:w="5191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编号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术语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RAG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检索增强生成，通过检索知识库内容辅助大模型回答。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对象存储，保存论文、专利原文和运行期文件。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Chroma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向量数据库，用于文献、专利和深度问答检索。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Neo4j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图数据库，承载文献和专利知识图谱。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Seed</w:t>
            </w:r>
          </w:p>
        </w:tc>
        <w:tc>
          <w:tcPr>
            <w:tcW w:w="51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部署时自动导入初始数据的过程。</w:t>
            </w:r>
          </w:p>
        </w:tc>
      </w:tr>
    </w:tbl>
    <w:p>
      <w:pPr>
        <w:pStyle w:val="Heading2"/>
        <w:bidi w:val="0"/>
        <w:rPr/>
      </w:pPr>
      <w:r>
        <w:rPr/>
        <w:t xml:space="preserve">1.4 </w:t>
      </w:r>
      <w:r>
        <w:rPr/>
        <w:t>参考资料</w:t>
      </w:r>
    </w:p>
    <w:tbl>
      <w:tblPr>
        <w:tblW w:w="39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86"/>
        <w:gridCol w:w="2461"/>
      </w:tblGrid>
      <w:tr>
        <w:trPr/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资料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需求清单 </w:t>
            </w:r>
            <w:r>
              <w:rPr/>
              <w:t>V1.0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功能和非功能需求来源。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部署手册 </w:t>
            </w:r>
            <w:r>
              <w:rPr/>
              <w:t>V1.0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部署和数据导入方式。</w:t>
            </w:r>
          </w:p>
        </w:tc>
      </w:tr>
      <w:tr>
        <w:trPr/>
        <w:tc>
          <w:tcPr>
            <w:tcW w:w="14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开发文档 </w:t>
            </w:r>
            <w:r>
              <w:rPr/>
              <w:t>V1.0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工程结构和接口实现。</w:t>
            </w:r>
          </w:p>
        </w:tc>
      </w:tr>
    </w:tbl>
    <w:p>
      <w:pPr>
        <w:pStyle w:val="Heading1"/>
        <w:bidi w:val="0"/>
        <w:rPr/>
      </w:pPr>
      <w:r>
        <w:rPr/>
        <w:t xml:space="preserve">2 </w:t>
      </w:r>
      <w:r>
        <w:rPr/>
        <w:t>系统架构设计</w:t>
      </w:r>
    </w:p>
    <w:p>
      <w:pPr>
        <w:pStyle w:val="Heading2"/>
        <w:bidi w:val="0"/>
        <w:rPr/>
      </w:pPr>
      <w:r>
        <w:rPr/>
        <w:t xml:space="preserve">2.1 </w:t>
      </w:r>
      <w:r>
        <w:rPr/>
        <w:t>项目简介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LiFeO4Agent </w:t>
      </w:r>
      <w:r>
        <w:rPr/>
        <w:t>面向电池材料研发领域，帮助用户围绕文献、专利和上传文件进行专业问答、归纳分析和原文核对，提高研发信息检索和技术分析效率。</w:t>
      </w:r>
    </w:p>
    <w:p>
      <w:pPr>
        <w:pStyle w:val="Heading2"/>
        <w:bidi w:val="0"/>
        <w:rPr/>
      </w:pPr>
      <w:r>
        <w:rPr/>
        <w:t xml:space="preserve">2.2 </w:t>
      </w:r>
      <w:r>
        <w:rPr/>
        <w:t>现状及应用场景</w:t>
      </w:r>
    </w:p>
    <w:p>
      <w:pPr>
        <w:pStyle w:val="TextBody"/>
        <w:bidi w:val="0"/>
        <w:spacing w:lineRule="auto" w:line="276" w:before="0" w:after="120"/>
        <w:rPr/>
      </w:pPr>
      <w:r>
        <w:rPr/>
        <w:t>研发人员需要同时查询论文、专利、实验文件和知识图谱。传统检索方式存在信息分散、原文定位慢、专利表格难利用、文献和专利分析链路割裂等问题。系统通过文献问答、深度问答、专利问答和文件问答，将检索、重排、图谱和生成能力统一到一个入口。</w:t>
      </w:r>
    </w:p>
    <w:p>
      <w:pPr>
        <w:pStyle w:val="Heading2"/>
        <w:bidi w:val="0"/>
        <w:rPr/>
      </w:pPr>
      <w:r>
        <w:rPr/>
        <w:t xml:space="preserve">2.3 </w:t>
      </w:r>
      <w:r>
        <w:rPr/>
        <w:t>建设目标</w:t>
      </w:r>
    </w:p>
    <w:tbl>
      <w:tblPr>
        <w:tblW w:w="48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71"/>
        <w:gridCol w:w="372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目标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统一入口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提供浏览器端统一问答和管理入口。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三类问答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支持文献、深度、专利三种模式。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原文可核对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论文和专利原文统一从 </w:t>
            </w:r>
            <w:r>
              <w:rPr/>
              <w:t xml:space="preserve">MinIO </w:t>
            </w:r>
            <w:r>
              <w:rPr/>
              <w:t>读取。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可离线交付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镜像和数据包可在内网环境部署。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可增量维护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后续可按服务镜像或数据包单独升级。</w:t>
            </w:r>
          </w:p>
        </w:tc>
      </w:tr>
    </w:tbl>
    <w:p>
      <w:pPr>
        <w:pStyle w:val="Heading1"/>
        <w:bidi w:val="0"/>
        <w:rPr/>
      </w:pPr>
      <w:r>
        <w:rPr/>
        <w:t xml:space="preserve">3 </w:t>
      </w:r>
      <w:r>
        <w:rPr/>
        <w:t>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1 </w:t>
      </w:r>
      <w:r>
        <w:rPr>
          <w:rFonts w:eastAsia="SimHei;黑体;sans-serif"/>
          <w:b/>
          <w:bdr w:val="single" w:sz="6" w:space="8" w:color="777777"/>
          <w:shd w:fill="FAFAFA" w:val="clear"/>
        </w:rPr>
        <w:t>系统功能架构图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1" name="Image1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Image1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bidi w:val="0"/>
        <w:ind w:start="160" w:end="160" w:hanging="0"/>
        <w:rPr/>
      </w:pPr>
      <w:r>
        <w:rPr/>
        <w:t xml:space="preserve">3.1 </w:t>
      </w:r>
      <w:r>
        <w:rPr/>
        <w:t>功能模块说明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1"/>
        <w:gridCol w:w="3224"/>
        <w:gridCol w:w="3971"/>
      </w:tblGrid>
      <w:tr>
        <w:trPr/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模块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职责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交互方式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前端门户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提供用户操作界面。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调用 </w:t>
            </w:r>
            <w:r>
              <w:rPr/>
              <w:t>gateway API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gateway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认证代理、路由、</w:t>
            </w:r>
            <w:r>
              <w:rPr/>
              <w:t>SSE</w:t>
            </w:r>
            <w:r>
              <w:rPr/>
              <w:t>、配额协调。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调用 </w:t>
            </w:r>
            <w:r>
              <w:rPr/>
              <w:t xml:space="preserve">public-service </w:t>
            </w:r>
            <w:r>
              <w:rPr/>
              <w:t xml:space="preserve">和 </w:t>
            </w:r>
            <w:r>
              <w:rPr/>
              <w:t xml:space="preserve">QA </w:t>
            </w:r>
            <w:r>
              <w:rPr/>
              <w:t>后端。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public-service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用户、部门、人员、配额、文件、原文代理。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访问 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>MinIO</w:t>
            </w:r>
            <w:r>
              <w:rPr/>
              <w:t>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文献检索和生成。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访问 </w:t>
            </w:r>
            <w:r>
              <w:rPr/>
              <w:t xml:space="preserve">fastQA </w:t>
            </w:r>
            <w:r>
              <w:rPr/>
              <w:t>向量库、</w:t>
            </w:r>
            <w:r>
              <w:rPr/>
              <w:t>MinIO</w:t>
            </w:r>
            <w:r>
              <w:rPr/>
              <w:t>、文献图谱和模型。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highThinkingQA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深度问答和多阶段推理。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访问 </w:t>
            </w:r>
            <w:r>
              <w:rPr/>
              <w:t>vectordb</w:t>
            </w:r>
            <w:r>
              <w:rPr/>
              <w:t>、</w:t>
            </w:r>
            <w:r>
              <w:rPr/>
              <w:t xml:space="preserve">MinIO </w:t>
            </w:r>
            <w:r>
              <w:rPr/>
              <w:t>和模型。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patentQA</w:t>
            </w:r>
          </w:p>
        </w:tc>
        <w:tc>
          <w:tcPr>
            <w:tcW w:w="3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专利检索、</w:t>
            </w:r>
            <w:r>
              <w:rPr/>
              <w:t>tables</w:t>
            </w:r>
            <w:r>
              <w:rPr/>
              <w:t>、图谱增强和回答。</w:t>
            </w:r>
          </w:p>
        </w:tc>
        <w:tc>
          <w:tcPr>
            <w:tcW w:w="3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访问 </w:t>
            </w:r>
            <w:r>
              <w:rPr/>
              <w:t xml:space="preserve">patentQA </w:t>
            </w:r>
            <w:r>
              <w:rPr/>
              <w:t>向量库、</w:t>
            </w:r>
            <w:r>
              <w:rPr/>
              <w:t>MinIO</w:t>
            </w:r>
            <w:r>
              <w:rPr/>
              <w:t>、专利图谱和模型。</w:t>
            </w:r>
          </w:p>
        </w:tc>
      </w:tr>
    </w:tbl>
    <w:p>
      <w:pPr>
        <w:pStyle w:val="Heading1"/>
        <w:bidi w:val="0"/>
        <w:rPr/>
      </w:pPr>
      <w:r>
        <w:rPr/>
        <w:t xml:space="preserve">4 </w:t>
      </w:r>
      <w:r>
        <w:rPr/>
        <w:t>软件架构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2 </w:t>
      </w:r>
      <w:r>
        <w:rPr>
          <w:rFonts w:eastAsia="SimHei;黑体;sans-serif"/>
          <w:b/>
          <w:bdr w:val="single" w:sz="6" w:space="8" w:color="777777"/>
          <w:shd w:fill="FAFAFA" w:val="clear"/>
        </w:rPr>
        <w:t>软件技术栈分层图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2" name="Image2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Image2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65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2281"/>
        <w:gridCol w:w="330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技术组件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用途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场景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Vue 3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构建前端页面。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问答首页、个人中心、管理后台。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FastAPI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构建后端 </w:t>
            </w:r>
            <w:r>
              <w:rPr/>
              <w:t xml:space="preserve">HTTP </w:t>
            </w:r>
            <w:r>
              <w:rPr/>
              <w:t>服务。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>和各后端服务。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持久化业务数据。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用户、部门、人员、配额、会话。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Redis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缓存和运行态协调。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会话状态、配额缓存、任务状态。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对象存储。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论文、专利、上传文件。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Neo4j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图谱查询。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文献图谱、专利图谱。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Chroma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向量检索。</w:t>
            </w:r>
          </w:p>
        </w:tc>
        <w:tc>
          <w:tcPr>
            <w:tcW w:w="3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文献、专利、深度问答向量库。</w:t>
            </w:r>
          </w:p>
        </w:tc>
      </w:tr>
    </w:tbl>
    <w:p>
      <w:pPr>
        <w:pStyle w:val="Heading1"/>
        <w:bidi w:val="0"/>
        <w:rPr/>
      </w:pPr>
      <w:r>
        <w:rPr/>
        <w:t xml:space="preserve">5 </w:t>
      </w:r>
      <w:r>
        <w:rPr/>
        <w:t>集成架构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3 </w:t>
      </w:r>
      <w:r>
        <w:rPr>
          <w:rFonts w:eastAsia="SimHei;黑体;sans-serif"/>
          <w:b/>
          <w:bdr w:val="single" w:sz="6" w:space="8" w:color="777777"/>
          <w:shd w:fill="FAFAFA" w:val="clear"/>
        </w:rPr>
        <w:t>外部集成架构图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3" name="Image3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Image3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82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1"/>
        <w:gridCol w:w="1981"/>
        <w:gridCol w:w="1786"/>
        <w:gridCol w:w="2461"/>
      </w:tblGrid>
      <w:tr>
        <w:trPr/>
        <w:tc>
          <w:tcPr>
            <w:tcW w:w="19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接口名称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请求方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提供方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功能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Chat Completions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LLM </w:t>
            </w:r>
            <w:r>
              <w:rPr/>
              <w:t>服务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生成答案、规划和总结。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Embedding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Embedding </w:t>
            </w:r>
            <w:r>
              <w:rPr/>
              <w:t>服务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查询向量化。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Rerank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Rerank </w:t>
            </w:r>
            <w:r>
              <w:rPr/>
              <w:t>服务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候选片段排序。</w:t>
            </w:r>
          </w:p>
        </w:tc>
      </w:tr>
      <w:tr>
        <w:trPr/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Intent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fastQA</w:t>
            </w:r>
            <w:r>
              <w:rPr/>
              <w:t>、</w:t>
            </w:r>
            <w:r>
              <w:rPr/>
              <w:t>patentQA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Intent </w:t>
            </w:r>
            <w:r>
              <w:rPr/>
              <w:t>模型服务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识别问题意图。</w:t>
            </w:r>
          </w:p>
        </w:tc>
      </w:tr>
    </w:tbl>
    <w:p>
      <w:pPr>
        <w:pStyle w:val="Heading1"/>
        <w:bidi w:val="0"/>
        <w:rPr/>
      </w:pPr>
      <w:r>
        <w:rPr/>
        <w:t xml:space="preserve">6 </w:t>
      </w:r>
      <w:r>
        <w:rPr/>
        <w:t>部署架构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4 </w:t>
      </w:r>
      <w:r>
        <w:rPr>
          <w:rFonts w:eastAsia="SimHei;黑体;sans-serif"/>
          <w:b/>
          <w:bdr w:val="single" w:sz="6" w:space="8" w:color="777777"/>
          <w:shd w:fill="FAFAFA" w:val="clear"/>
        </w:rPr>
        <w:t>部署架构图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4" name="Image4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Image4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TextBody"/>
        <w:bidi w:val="0"/>
        <w:ind w:start="160" w:end="160" w:hanging="0"/>
        <w:rPr/>
      </w:pPr>
      <w:r>
        <w:rPr/>
        <w:t xml:space="preserve">部署采用容器化微服务方式。内部服务使用 </w:t>
      </w:r>
      <w:r>
        <w:rPr/>
        <w:t xml:space="preserve">compose service name </w:t>
      </w:r>
      <w:r>
        <w:rPr/>
        <w:t xml:space="preserve">通信；部署方主要暴露 </w:t>
      </w:r>
      <w:r>
        <w:rPr/>
        <w:t>HTTPS</w:t>
      </w:r>
      <w:r>
        <w:rPr/>
        <w:t>、</w:t>
      </w:r>
      <w:r>
        <w:rPr/>
        <w:t>MySQL</w:t>
      </w:r>
      <w:r>
        <w:rPr/>
        <w:t>、</w:t>
      </w:r>
      <w:r>
        <w:rPr/>
        <w:t xml:space="preserve">Redis </w:t>
      </w:r>
      <w:r>
        <w:rPr/>
        <w:t xml:space="preserve">和 </w:t>
      </w:r>
      <w:r>
        <w:rPr/>
        <w:t xml:space="preserve">MinIO </w:t>
      </w:r>
      <w:r>
        <w:rPr/>
        <w:t>管理端口。</w:t>
      </w:r>
      <w:r>
        <w:rPr/>
        <w:t xml:space="preserve">Neo4j </w:t>
      </w:r>
      <w:r>
        <w:rPr/>
        <w:t xml:space="preserve">地址不暴露给部署方配置，内部固定为 </w:t>
      </w:r>
      <w:r>
        <w:rPr>
          <w:rStyle w:val="SourceText"/>
        </w:rPr>
        <w:t>neo4j-literature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neo4j-patent</w:t>
      </w:r>
      <w:r>
        <w:rPr/>
        <w:t>。</w:t>
      </w:r>
    </w:p>
    <w:p>
      <w:pPr>
        <w:pStyle w:val="Heading1"/>
        <w:bidi w:val="0"/>
        <w:rPr/>
      </w:pPr>
      <w:r>
        <w:rPr/>
        <w:t xml:space="preserve">7 </w:t>
      </w:r>
      <w:r>
        <w:rPr/>
        <w:t>数据库设计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5 </w:t>
      </w:r>
      <w:r>
        <w:rPr>
          <w:rFonts w:eastAsia="SimHei;黑体;sans-serif"/>
          <w:b/>
          <w:bdr w:val="single" w:sz="6" w:space="8" w:color="777777"/>
          <w:shd w:fill="FAFAFA" w:val="clear"/>
        </w:rPr>
        <w:t>主要实体关系图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5" name="Image5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Image5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TextBody"/>
        <w:bidi w:val="0"/>
        <w:ind w:start="160" w:end="160" w:hanging="0"/>
        <w:rPr/>
      </w:pPr>
      <w:r>
        <w:rPr/>
        <w:t xml:space="preserve">重要业务表均包含创建时间或更新时间字段，用于增量追踪和审计。用户、部门和人员使用状态字段停用，避免直接物理删除造成历史数据失联。后续新增业务表时，应补充 </w:t>
      </w:r>
      <w:r>
        <w:rPr>
          <w:rStyle w:val="SourceText"/>
        </w:rPr>
        <w:t>created_at</w:t>
      </w:r>
      <w:r>
        <w:rPr/>
        <w:t>、</w:t>
      </w:r>
      <w:r>
        <w:rPr>
          <w:rStyle w:val="SourceText"/>
        </w:rPr>
        <w:t>updated_at</w:t>
      </w:r>
      <w:r>
        <w:rPr/>
        <w:t xml:space="preserve"> </w:t>
      </w:r>
      <w:r>
        <w:rPr/>
        <w:t>或等价增量字段；涉及删除的主数据优先使用逻辑删除或状态停用。</w:t>
      </w:r>
    </w:p>
    <w:p>
      <w:pPr>
        <w:pStyle w:val="Heading1"/>
        <w:bidi w:val="0"/>
        <w:rPr/>
      </w:pPr>
      <w:r>
        <w:rPr/>
        <w:t xml:space="preserve">8 </w:t>
      </w:r>
      <w:r>
        <w:rPr/>
        <w:t>基本功能设计</w:t>
      </w:r>
    </w:p>
    <w:p>
      <w:pPr>
        <w:pStyle w:val="Heading2"/>
        <w:bidi w:val="0"/>
        <w:rPr/>
      </w:pPr>
      <w:r>
        <w:rPr/>
        <w:t xml:space="preserve">8.1 </w:t>
      </w:r>
      <w:r>
        <w:rPr/>
        <w:t>异常处理</w:t>
      </w:r>
    </w:p>
    <w:tbl>
      <w:tblPr>
        <w:tblW w:w="72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1"/>
        <w:gridCol w:w="5821"/>
      </w:tblGrid>
      <w:tr>
        <w:trPr/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异常类型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处理策略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业务异常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返回明确提示，例如配额不足、账号停用、文件格式不支持。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系统异常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记录日志并返回通用错误，避免暴露内部细节。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外部模型异常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记录模型响应和请求阶段，必要时提示模型服务不可用。</w:t>
            </w:r>
          </w:p>
        </w:tc>
      </w:tr>
      <w:tr>
        <w:trPr/>
        <w:tc>
          <w:tcPr>
            <w:tcW w:w="13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数据导入异常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seed job </w:t>
            </w:r>
            <w:r>
              <w:rPr/>
              <w:t>失败退出，部署预检或日志中提示原因。</w:t>
            </w:r>
          </w:p>
        </w:tc>
      </w:tr>
    </w:tbl>
    <w:p>
      <w:pPr>
        <w:pStyle w:val="Heading2"/>
        <w:bidi w:val="0"/>
        <w:rPr/>
      </w:pPr>
      <w:r>
        <w:rPr/>
        <w:t xml:space="preserve">8.2 </w:t>
      </w:r>
      <w:r>
        <w:rPr/>
        <w:t>可配置项</w:t>
      </w:r>
    </w:p>
    <w:p>
      <w:pPr>
        <w:pStyle w:val="TextBody"/>
        <w:bidi w:val="0"/>
        <w:spacing w:lineRule="auto" w:line="276" w:before="0" w:after="120"/>
        <w:rPr/>
      </w:pPr>
      <w:r>
        <w:rPr/>
        <w:t>客户主配置面包括端口、账号密码、</w:t>
      </w:r>
      <w:r>
        <w:rPr/>
        <w:t>MinIO</w:t>
      </w:r>
      <w:r>
        <w:rPr/>
        <w:t>、</w:t>
      </w:r>
      <w:r>
        <w:rPr/>
        <w:t>LLM</w:t>
      </w:r>
      <w:r>
        <w:rPr/>
        <w:t>、</w:t>
      </w:r>
      <w:r>
        <w:rPr/>
        <w:t>intent</w:t>
      </w:r>
      <w:r>
        <w:rPr/>
        <w:t>、</w:t>
      </w:r>
      <w:r>
        <w:rPr/>
        <w:t>embedding</w:t>
      </w:r>
      <w:r>
        <w:rPr/>
        <w:t>、</w:t>
      </w:r>
      <w:r>
        <w:rPr/>
        <w:t xml:space="preserve">rerank </w:t>
      </w:r>
      <w:r>
        <w:rPr/>
        <w:t xml:space="preserve">和数据包版本。内部服务 </w:t>
      </w:r>
      <w:r>
        <w:rPr/>
        <w:t>URL</w:t>
      </w:r>
      <w:r>
        <w:rPr/>
        <w:t>、</w:t>
      </w:r>
      <w:r>
        <w:rPr/>
        <w:t>Redis DB</w:t>
      </w:r>
      <w:r>
        <w:rPr/>
        <w:t>、</w:t>
      </w:r>
      <w:r>
        <w:rPr/>
        <w:t xml:space="preserve">Neo4j </w:t>
      </w:r>
      <w:r>
        <w:rPr/>
        <w:t xml:space="preserve">地址和 </w:t>
      </w:r>
      <w:r>
        <w:rPr/>
        <w:t xml:space="preserve">worker </w:t>
      </w:r>
      <w:r>
        <w:rPr/>
        <w:t xml:space="preserve">参数由 </w:t>
      </w:r>
      <w:r>
        <w:rPr/>
        <w:t xml:space="preserve">compose </w:t>
      </w:r>
      <w:r>
        <w:rPr/>
        <w:t>默认值控制，避免部署方配置过多内部细节。</w:t>
      </w:r>
    </w:p>
    <w:p>
      <w:pPr>
        <w:pStyle w:val="Heading2"/>
        <w:bidi w:val="0"/>
        <w:rPr/>
      </w:pPr>
      <w:r>
        <w:rPr/>
        <w:t xml:space="preserve">8.3 </w:t>
      </w:r>
      <w:r>
        <w:rPr/>
        <w:t>系统日志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各容器输出标准日志，由 </w:t>
      </w:r>
      <w:r>
        <w:rPr/>
        <w:t xml:space="preserve">Docker </w:t>
      </w:r>
      <w:r>
        <w:rPr/>
        <w:t xml:space="preserve">收集。重要日志包括 </w:t>
      </w:r>
      <w:r>
        <w:rPr/>
        <w:t xml:space="preserve">gateway </w:t>
      </w:r>
      <w:r>
        <w:rPr/>
        <w:t>路由和配额日志、</w:t>
      </w:r>
      <w:r>
        <w:rPr/>
        <w:t xml:space="preserve">QA </w:t>
      </w:r>
      <w:r>
        <w:rPr/>
        <w:t>阶段日志、模型调用错误、</w:t>
      </w:r>
      <w:r>
        <w:rPr/>
        <w:t xml:space="preserve">seed job </w:t>
      </w:r>
      <w:r>
        <w:rPr/>
        <w:t>导入日志和基础组件健康检查日志。</w:t>
      </w:r>
    </w:p>
    <w:p>
      <w:pPr>
        <w:pStyle w:val="Heading2"/>
        <w:bidi w:val="0"/>
        <w:rPr/>
      </w:pPr>
      <w:r>
        <w:rPr/>
        <w:t xml:space="preserve">8.4 </w:t>
      </w:r>
      <w:r>
        <w:rPr/>
        <w:t>个人信息安全保护</w:t>
      </w:r>
    </w:p>
    <w:p>
      <w:pPr>
        <w:pStyle w:val="TextBody"/>
        <w:bidi w:val="0"/>
        <w:spacing w:lineRule="auto" w:line="276" w:before="0" w:after="120"/>
        <w:rPr/>
      </w:pPr>
      <w:r>
        <w:rPr/>
        <w:t>系统仅收集账号、工号、姓名、部门、人员绑定和安全问题等使用所需信息。密码和校验码以哈希形式保存，文档和镜像不写入真实密钥。系统应按客户制度控制访问权限、定期清理不再使用的外来人员记录，并避免在日志中输出敏感信息。</w:t>
      </w:r>
    </w:p>
    <w:p>
      <w:pPr>
        <w:pStyle w:val="Heading1"/>
        <w:bidi w:val="0"/>
        <w:rPr/>
      </w:pPr>
      <w:r>
        <w:rPr/>
        <w:t xml:space="preserve">9 </w:t>
      </w:r>
      <w:r>
        <w:rPr/>
        <w:t>非功能设计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61"/>
        <w:gridCol w:w="8065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类别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设计要求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性能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登录、管理类接口应快速响应；问答耗时受模型服务影响，需记录阶段耗时。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高可用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V1.0 </w:t>
            </w:r>
            <w:r>
              <w:rPr/>
              <w:t xml:space="preserve">单机 </w:t>
            </w:r>
            <w:r>
              <w:rPr/>
              <w:t xml:space="preserve">compose </w:t>
            </w:r>
            <w:r>
              <w:rPr/>
              <w:t xml:space="preserve">部署；后续可替换为外部高可用 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 xml:space="preserve">MinIO </w:t>
            </w:r>
            <w:r>
              <w:rPr/>
              <w:t>和多实例业务服务。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安全性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JWT </w:t>
            </w:r>
            <w:r>
              <w:rPr/>
              <w:t xml:space="preserve">认证、管理员权限控制、内部 </w:t>
            </w:r>
            <w:r>
              <w:rPr/>
              <w:t>token</w:t>
            </w:r>
            <w:r>
              <w:rPr/>
              <w:t>、</w:t>
            </w:r>
            <w:r>
              <w:rPr/>
              <w:t xml:space="preserve">TLS </w:t>
            </w:r>
            <w:r>
              <w:rPr/>
              <w:t>传输、密码哈希。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可维护性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服务拆分清晰，镜像和数据包分离，支持单服务增量更新。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可恢复性</w:t>
            </w:r>
          </w:p>
        </w:tc>
        <w:tc>
          <w:tcPr>
            <w:tcW w:w="80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运行态数据备份；</w:t>
            </w:r>
            <w:r>
              <w:rPr/>
              <w:t xml:space="preserve">reference data </w:t>
            </w:r>
            <w:r>
              <w:rPr/>
              <w:t>和图谱可由数据包重建。</w:t>
            </w:r>
          </w:p>
        </w:tc>
      </w:tr>
    </w:tbl>
    <w:p>
      <w:pPr>
        <w:pStyle w:val="Heading1"/>
        <w:bidi w:val="0"/>
        <w:rPr/>
      </w:pPr>
      <w:r>
        <w:rPr/>
        <w:t xml:space="preserve">10 </w:t>
      </w:r>
      <w:r>
        <w:rPr/>
        <w:t>数据流设计</w:t>
      </w:r>
    </w:p>
    <w:p>
      <w:pPr>
        <w:pStyle w:val="TextBody"/>
        <w:bidi w:val="0"/>
        <w:spacing w:before="0" w:after="12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rFonts w:eastAsia="SimHei;黑体;sans-serif"/>
          <w:b/>
          <w:bdr w:val="single" w:sz="6" w:space="8" w:color="777777"/>
          <w:shd w:fill="FAFAFA" w:val="clear"/>
        </w:rPr>
        <w:t xml:space="preserve">图 </w:t>
      </w:r>
      <w:r>
        <w:rPr>
          <w:rFonts w:ascii="SimHei;黑体;sans-serif" w:hAnsi="SimHei;黑体;sans-serif"/>
          <w:b/>
          <w:bdr w:val="single" w:sz="6" w:space="8" w:color="777777"/>
          <w:shd w:fill="FAFAFA" w:val="clear"/>
        </w:rPr>
        <w:t xml:space="preserve">6 </w:t>
      </w:r>
      <w:r>
        <w:rPr>
          <w:rFonts w:eastAsia="SimHei;黑体;sans-serif"/>
          <w:b/>
          <w:bdr w:val="single" w:sz="6" w:space="8" w:color="777777"/>
          <w:shd w:fill="FAFAFA" w:val="clear"/>
        </w:rPr>
        <w:t>主要数据流图</w:t>
      </w:r>
    </w:p>
    <w:p>
      <w:pPr>
        <w:pStyle w:val="TextBodynoindent"/>
        <w:bidi w:val="0"/>
        <w:spacing w:before="160" w:after="200"/>
        <w:ind w:start="160" w:end="160" w:hanging="0"/>
        <w:jc w:val="center"/>
        <w:rPr>
          <w:bdr w:val="single" w:sz="6" w:space="8" w:color="777777"/>
          <w:shd w:fill="FAFAFA" w:val="clear"/>
        </w:rPr>
      </w:pPr>
      <w:r>
        <w:rPr>
          <w:bdr w:val="single" w:sz="6" w:space="8" w:color="777777"/>
          <w:shd w:fill="FAFAFA" w:val="clear"/>
        </w:rPr>
        <w:drawing>
          <ns2:inline distT="0" distB="0" distL="0" distR="0">
            <ns2:extent cx="5760085" cy="360045"/>
            <ns2:effectExtent l="0" t="0" r="0" b="0"/>
            <ns2:docPr id="6" name="Image6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Image6" descr="" title=""/>
                    <ns4:cNvPicPr>
                      <ns3:picLocks noChangeAspect="1" noChangeArrowheads="1"/>
                    </ns4:cNvPicPr>
                  </ns4:nvPicPr>
                  <ns4:blipFill>
                    <ns3:blip r:link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760085" cy="36004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46"/>
        <w:gridCol w:w="1752"/>
        <w:gridCol w:w="2185"/>
        <w:gridCol w:w="2943"/>
      </w:tblGrid>
      <w:tr>
        <w:trPr/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数据类型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产生方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存储位置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生命周期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账号、部门、人员、配额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管理员或初始化脚本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运行态业务数据，需备份。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会话和消息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用户问答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MySQL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运行态业务数据，按客户制度保留。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上传文件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MinIO + MySQL </w:t>
            </w:r>
            <w:r>
              <w:rPr/>
              <w:t>元数据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运行态数据，需备份。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论文和专利原文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 </w:t>
            </w:r>
            <w:r>
              <w:rPr/>
              <w:t>seed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可由数据包重建。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向量库和图谱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数据包 </w:t>
            </w:r>
            <w:r>
              <w:rPr/>
              <w:t>seed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named volume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可由数据包重建。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模型调用日志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QA </w:t>
            </w:r>
            <w:r>
              <w:rPr/>
              <w:t>后端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Docker </w:t>
            </w:r>
            <w:r>
              <w:rPr/>
              <w:t>日志</w:t>
            </w:r>
          </w:p>
        </w:tc>
        <w:tc>
          <w:tcPr>
            <w:tcW w:w="29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用于排障，不应包含密钥。</w:t>
            </w:r>
          </w:p>
        </w:tc>
      </w:tr>
    </w:tbl>
    <w:p>
      <w:pPr>
        <w:pStyle w:val="Heading1"/>
        <w:bidi w:val="0"/>
        <w:rPr/>
      </w:pPr>
      <w:r>
        <w:rPr/>
        <w:t xml:space="preserve">11 </w:t>
      </w:r>
      <w:r>
        <w:rPr/>
        <w:t>安全架构</w:t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64"/>
        <w:gridCol w:w="3774"/>
        <w:gridCol w:w="4388"/>
      </w:tblGrid>
      <w:tr>
        <w:trPr/>
        <w:tc>
          <w:tcPr>
            <w:tcW w:w="86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安全域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设计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传输安全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edge nginx </w:t>
            </w:r>
            <w:r>
              <w:rPr/>
              <w:t xml:space="preserve">提供 </w:t>
            </w:r>
            <w:r>
              <w:rPr/>
              <w:t>TLS</w:t>
            </w:r>
            <w:r>
              <w:rPr/>
              <w:t>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证书由部署方签发或自签，客户端需信任。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身份认证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用户名密码 </w:t>
            </w:r>
            <w:r>
              <w:rPr/>
              <w:t>+ JWT</w:t>
            </w:r>
            <w:r>
              <w:rPr/>
              <w:t>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token </w:t>
            </w:r>
            <w:r>
              <w:rPr/>
              <w:t xml:space="preserve">由 </w:t>
            </w:r>
            <w:r>
              <w:rPr/>
              <w:t xml:space="preserve">gateway </w:t>
            </w:r>
            <w:r>
              <w:rPr/>
              <w:t xml:space="preserve">和 </w:t>
            </w:r>
            <w:r>
              <w:rPr/>
              <w:t xml:space="preserve">public-service </w:t>
            </w:r>
            <w:r>
              <w:rPr/>
              <w:t>校验。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权限控制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普通用户和管理员角色。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管理员接口需要管理员权限。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内部调用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内部 </w:t>
            </w:r>
            <w:r>
              <w:rPr/>
              <w:t>token</w:t>
            </w:r>
            <w:r>
              <w:rPr/>
              <w:t>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gateway </w:t>
            </w:r>
            <w:r>
              <w:rPr/>
              <w:t xml:space="preserve">与 </w:t>
            </w:r>
            <w:r>
              <w:rPr/>
              <w:t xml:space="preserve">public-service </w:t>
            </w:r>
            <w:r>
              <w:rPr/>
              <w:t>内部接口使用内部鉴权。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密钥治理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密钥只写入 </w:t>
            </w:r>
            <w:r>
              <w:rPr>
                <w:rStyle w:val="SourceText"/>
              </w:rPr>
              <w:t>deploy/.env</w:t>
            </w:r>
            <w:r>
              <w:rPr/>
              <w:t>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文档和镜像上下文不包含真实密钥。</w:t>
            </w:r>
          </w:p>
        </w:tc>
      </w:tr>
      <w:tr>
        <w:trPr/>
        <w:tc>
          <w:tcPr>
            <w:tcW w:w="8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数据隔离</w:t>
            </w:r>
          </w:p>
        </w:tc>
        <w:tc>
          <w:tcPr>
            <w:tcW w:w="37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MinIO bucket</w:t>
            </w:r>
            <w:r>
              <w:rPr/>
              <w:t>、</w:t>
            </w:r>
            <w:r>
              <w:rPr/>
              <w:t xml:space="preserve">MySQL </w:t>
            </w:r>
            <w:r>
              <w:rPr/>
              <w:t>用户、</w:t>
            </w:r>
            <w:r>
              <w:rPr/>
              <w:t xml:space="preserve">Docker </w:t>
            </w:r>
            <w:r>
              <w:rPr/>
              <w:t>网络。</w:t>
            </w:r>
          </w:p>
        </w:tc>
        <w:tc>
          <w:tcPr>
            <w:tcW w:w="4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内部服务通过 </w:t>
            </w:r>
            <w:r>
              <w:rPr/>
              <w:t xml:space="preserve">compose service name </w:t>
            </w:r>
            <w:r>
              <w:rPr/>
              <w:t>访问。</w:t>
            </w:r>
          </w:p>
        </w:tc>
      </w:tr>
    </w:tbl>
    <w:p>
      <w:pPr>
        <w:pStyle w:val="Heading1"/>
        <w:bidi w:val="0"/>
        <w:rPr/>
      </w:pPr>
      <w:r>
        <w:rPr/>
        <w:t xml:space="preserve">12 </w:t>
      </w:r>
      <w:r>
        <w:rPr/>
        <w:t>可扩展性设计</w:t>
      </w:r>
    </w:p>
    <w:p>
      <w:pPr>
        <w:pStyle w:val="TextBody"/>
        <w:bidi w:val="0"/>
        <w:spacing w:lineRule="auto" w:line="276" w:before="0" w:after="120"/>
        <w:rPr/>
      </w:pPr>
      <w:r>
        <w:rPr/>
        <w:t xml:space="preserve">系统通过服务拆分和数据包分层支持后续扩展。新增问答模式时，应优先在 </w:t>
      </w:r>
      <w:r>
        <w:rPr/>
        <w:t xml:space="preserve">gateway </w:t>
      </w:r>
      <w:r>
        <w:rPr/>
        <w:t xml:space="preserve">中增加模式路由，在独立 </w:t>
      </w:r>
      <w:r>
        <w:rPr/>
        <w:t xml:space="preserve">QA </w:t>
      </w:r>
      <w:r>
        <w:rPr/>
        <w:t xml:space="preserve">后端中实现业务能力，并复用 </w:t>
      </w:r>
      <w:r>
        <w:rPr/>
        <w:t xml:space="preserve">public-service </w:t>
      </w:r>
      <w:r>
        <w:rPr/>
        <w:t xml:space="preserve">的用户、会话、文件和配额能力。新增大规模数据时，应使用数据包和 </w:t>
      </w:r>
      <w:r>
        <w:rPr/>
        <w:t xml:space="preserve">seed job </w:t>
      </w:r>
      <w:r>
        <w:rPr/>
        <w:t>交付，不应把原始数据打入业务镜像。</w:t>
      </w:r>
    </w:p>
    <w:tbl>
      <w:tblPr>
        <w:tblW w:w="78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91"/>
        <w:gridCol w:w="6271"/>
      </w:tblGrid>
      <w:tr>
        <w:trPr/>
        <w:tc>
          <w:tcPr>
            <w:tcW w:w="15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扩展方向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推荐做法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单服务代码更新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只构建并交付对应服务镜像，例如 </w:t>
            </w:r>
            <w:r>
              <w:rPr>
                <w:rStyle w:val="SourceText"/>
              </w:rPr>
              <w:t>lifeo4agent/fastqa</w:t>
            </w:r>
            <w:r>
              <w:rPr/>
              <w:t>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新增向量库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新增独立 </w:t>
            </w:r>
            <w:r>
              <w:rPr/>
              <w:t xml:space="preserve">reference data </w:t>
            </w:r>
            <w:r>
              <w:rPr/>
              <w:t xml:space="preserve">包和 </w:t>
            </w:r>
            <w:r>
              <w:rPr/>
              <w:t>named volume</w:t>
            </w:r>
            <w:r>
              <w:rPr/>
              <w:t>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新增图谱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/>
              <w:t xml:space="preserve">Neo4j dump </w:t>
            </w:r>
            <w:r>
              <w:rPr/>
              <w:t xml:space="preserve">包和独立 </w:t>
            </w:r>
            <w:r>
              <w:rPr/>
              <w:t xml:space="preserve">Neo4j </w:t>
            </w:r>
            <w:r>
              <w:rPr/>
              <w:t>服务或数据库。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替换模型服务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只修改 </w:t>
            </w:r>
            <w:r>
              <w:rPr>
                <w:rStyle w:val="SourceText"/>
              </w:rPr>
              <w:t>deploy/.env</w:t>
            </w:r>
            <w:r>
              <w:rPr/>
              <w:t xml:space="preserve"> </w:t>
            </w:r>
            <w:r>
              <w:rPr/>
              <w:t xml:space="preserve">中 </w:t>
            </w:r>
            <w:r>
              <w:rPr/>
              <w:t>base url</w:t>
            </w:r>
            <w:r>
              <w:rPr/>
              <w:t xml:space="preserve">、模型名和 </w:t>
            </w:r>
            <w:r>
              <w:rPr/>
              <w:t>key</w:t>
            </w:r>
            <w:r>
              <w:rPr/>
              <w:t>。</w:t>
            </w:r>
          </w:p>
        </w:tc>
      </w:tr>
      <w:tr>
        <w:trPr/>
        <w:tc>
          <w:tcPr>
            <w:tcW w:w="15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高可用改造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将内置 </w:t>
            </w:r>
            <w:r>
              <w:rPr/>
              <w:t>MySQL</w:t>
            </w:r>
            <w:r>
              <w:rPr/>
              <w:t>、</w:t>
            </w:r>
            <w:r>
              <w:rPr/>
              <w:t>Redis</w:t>
            </w:r>
            <w:r>
              <w:rPr/>
              <w:t>、</w:t>
            </w:r>
            <w:r>
              <w:rPr/>
              <w:t xml:space="preserve">MinIO </w:t>
            </w:r>
            <w:r>
              <w:rPr/>
              <w:t>替换为客户已有高可用中间件。</w:t>
            </w:r>
          </w:p>
        </w:tc>
      </w:tr>
    </w:tbl>
    <w:p>
      <w:pPr>
        <w:pStyle w:val="TextBody"/>
        <w:bidi w:val="0"/>
        <w:spacing w:lineRule="auto" w:line="276" w:before="0" w:after="120"/>
        <w:rPr/>
      </w:pPr>
      <w:r>
        <w:rPr/>
      </w:r>
    </w:p>
    <w:sectPr>
      <w:headerReference w:type="default" r:id="rId10"/>
      <w:footerReference w:type="default" r:id="rId11"/>
      <w:type w:val="nextPage"/>
      <w:pgSz w:w="11906" w:h="16838"/>
      <w:pgMar w:left="1440" w:right="1440" w:gutter="0" w:header="851" w:top="1440" w:footer="992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imSun">
    <w:altName w:val="宋体"/>
    <w:charset w:val="01" w:characterSet="utf-8"/>
    <w:family w:val="auto"/>
    <w:pitch w:val="default"/>
  </w:font>
  <w:font w:name="SimHei">
    <w:altName w:val="黑体"/>
    <w:charset w:val="01" w:characterSet="utf-8"/>
    <w:family w:val="auto"/>
    <w:pitch w:val="default"/>
  </w:font>
  <w:font w:name="Consolas">
    <w:altName w:val="Courier New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t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center"/>
    </w:pPr>
    <w:r>
      <w:t>LiFeO4Agent 系统概要设计说明书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jc w:val="both"/>
    </w:pPr>
    <w:rPr>
      <w:rFonts w:ascii="SimSun;宋体;Times New Roman;serif" w:hAnsi="SimSun;宋体;Times New Roman;serif" w:eastAsia="SimSun;宋体;Times New Roman;serif" w:cs="SimSun;宋体;Times New Roman;serif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0"/>
    </w:pPr>
    <w:rPr>
      <w:rFonts w:ascii="SimHei;黑体;sans-serif" w:hAnsi="SimHei;黑体;sans-serif" w:eastAsia="SimHei;黑体;sans-serif" w:cs="SimHei;黑体;sans-serif"/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keepNext w:val="true"/>
      <w:spacing w:lineRule="auto" w:line="360" w:before="240" w:after="120"/>
      <w:ind w:start="240" w:end="240" w:hanging="0"/>
      <w:outlineLvl w:val="1"/>
    </w:pPr>
    <w:rPr>
      <w:rFonts w:ascii="SimHei;黑体;sans-serif" w:hAnsi="SimHei;黑体;sans-serif" w:eastAsia="SimHei;黑体;sans-serif" w:cs="SimHei;黑体;sans-serif"/>
      <w:b/>
      <w:bCs/>
      <w:sz w:val="28"/>
      <w:szCs w:val="28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60" w:before="120" w:after="60"/>
      <w:ind w:start="120" w:end="120" w:hanging="0"/>
      <w:outlineLvl w:val="2"/>
    </w:pPr>
    <w:rPr>
      <w:rFonts w:ascii="SimHei;黑体;sans-serif" w:hAnsi="SimHei;黑体;sans-serif" w:eastAsia="SimHei;黑体;sans-serif" w:cs="SimHei;黑体;sans-serif"/>
      <w:b/>
      <w:bCs/>
      <w:sz w:val="21"/>
      <w:szCs w:val="21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pBdr>
        <w:top w:val="single" w:sz="4" w:space="6" w:color="CCCCCC"/>
        <w:left w:val="single" w:sz="4" w:space="6" w:color="CCCCCC"/>
        <w:bottom w:val="single" w:sz="4" w:space="6" w:color="CCCCCC"/>
        <w:right w:val="single" w:sz="4" w:space="6" w:color="CCCCCC"/>
      </w:pBdr>
      <w:shd w:fill="F2F2F2" w:val="clear"/>
      <w:spacing w:lineRule="auto" w:line="288" w:before="60" w:after="120"/>
      <w:ind w:start="60" w:end="60" w:hanging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  <w:style w:type="paragraph" w:styleId="TextBodynoindent">
    <w:name w:val="Text Body.no-indent"/>
    <w:basedOn w:val="TextBody"/>
    <w:qFormat/>
    <w:pPr/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fontTable" Target="fontTable.xml" /><Relationship Id="rId9" Type="http://schemas.openxmlformats.org/officeDocument/2006/relationships/settings" Target="settings.xml" />
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LiFeO4Agent-系统概要设计说明书-20260520-V1.0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