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_rels/document.xml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 w15">
  <w:body>
    <w:p>
      <w:pPr>
        <w:pStyle w:val="TextBody"/>
        <w:bidi w:val="0"/>
        <w:spacing w:before="0" w:after="0"/>
        <w:jc w:val="center"/>
        <w:rPr/>
      </w:pPr>
      <w:r>
        <w:rPr/>
        <w:t>LiFeO4Agent</w:t>
      </w:r>
    </w:p>
    <w:p>
      <w:pPr>
        <w:pStyle w:val="TextBody"/>
        <w:bidi w:val="0"/>
        <w:spacing w:before="0" w:after="0"/>
        <w:jc w:val="center"/>
        <w:rPr/>
      </w:pPr>
      <w:r>
        <w:rPr/>
        <w:t>需求清单</w:t>
      </w:r>
    </w:p>
    <w:p>
      <w:pPr>
        <w:pStyle w:val="TextBody"/>
        <w:bidi w:val="0"/>
        <w:spacing w:before="0" w:after="0"/>
        <w:jc w:val="center"/>
        <w:rPr/>
      </w:pPr>
      <w:r>
        <w:rPr/>
        <w:t>文档版本：</w:t>
      </w:r>
      <w:r>
        <w:rPr/>
        <w:t>V1.0</w:t>
      </w:r>
    </w:p>
    <w:p>
      <w:pPr>
        <w:pStyle w:val="TextBody"/>
        <w:bidi w:val="0"/>
        <w:spacing w:before="0" w:after="0"/>
        <w:jc w:val="center"/>
        <w:rPr/>
      </w:pPr>
      <w:r>
        <w:rPr/>
        <w:t>文档日期：</w:t>
      </w:r>
      <w:r>
        <w:rPr/>
        <w:t>2026/05/20</w:t>
      </w:r>
    </w:p>
    <w:p>
      <w:pPr>
        <w:pStyle w:val="TextBody"/>
        <w:bidi w:val="0"/>
        <w:spacing w:before="0" w:after="0"/>
        <w:jc w:val="center"/>
        <w:rPr/>
      </w:pPr>
      <w:r>
        <w:rPr/>
        <w:t>适用环境：</w:t>
      </w:r>
      <w:r>
        <w:rPr/>
        <w:t xml:space="preserve">V1.0 </w:t>
      </w:r>
      <w:r>
        <w:rPr/>
        <w:t>需求跟踪和验收确认</w:t>
      </w:r>
    </w:p>
    <w:p>
      <w:pPr>
        <w:pStyle w:val="TextBody"/>
        <w:bidi w:val="0"/>
        <w:jc w:val="center"/>
        <w:rPr/>
      </w:pPr>
      <w:r>
        <w:rPr/>
        <w:t>文档对象：业务负责人、项目负责人、测试人员</w:t>
      </w:r>
    </w:p>
    <w:p>
      <w:pPr>
        <w:pStyle w:val="Heading1"/>
        <w:bidi w:val="0"/>
        <w:rPr/>
      </w:pPr>
      <w:r>
        <w:rPr/>
        <w:t>版本记录</w:t>
      </w:r>
    </w:p>
    <w:tbl>
      <w:tblPr>
        <w:tblW w:w="3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216"/>
        <w:gridCol w:w="736"/>
        <w:gridCol w:w="991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修订说明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初版</w:t>
            </w:r>
          </w:p>
        </w:tc>
      </w:tr>
    </w:tbl>
    <w:p>
      <w:pPr>
        <w:pStyle w:val="Heading1"/>
        <w:bidi w:val="0"/>
        <w:rPr/>
      </w:pPr>
      <w:r>
        <w:rPr/>
        <w:t>需求清单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0"/>
        <w:gridCol w:w="1822"/>
        <w:gridCol w:w="1900"/>
        <w:gridCol w:w="667"/>
        <w:gridCol w:w="827"/>
        <w:gridCol w:w="742"/>
        <w:gridCol w:w="528"/>
        <w:gridCol w:w="1890"/>
      </w:tblGrid>
      <w:tr>
        <w:trPr/>
        <w:tc>
          <w:tcPr>
            <w:tcW w:w="65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序号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需求层级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需求简述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提出时间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需求文档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完成时间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状态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备注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REQ-001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业务需求</w:t>
            </w:r>
            <w:r>
              <w:rPr/>
              <w:t>-</w:t>
            </w:r>
            <w:r>
              <w:rPr/>
              <w:t>问答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系统应提供文献、深度、专利三种问答模式。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需求规格说明书 </w:t>
            </w:r>
            <w:r>
              <w:rPr/>
              <w:t>V1.0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前端显示为“文献</w:t>
            </w:r>
            <w:r>
              <w:rPr/>
              <w:t>/</w:t>
            </w:r>
            <w:r>
              <w:rPr/>
              <w:t>深度</w:t>
            </w:r>
            <w:r>
              <w:rPr/>
              <w:t>/</w:t>
            </w:r>
            <w:r>
              <w:rPr/>
              <w:t>专利”。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REQ-002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业务需求</w:t>
            </w:r>
            <w:r>
              <w:rPr/>
              <w:t>-</w:t>
            </w:r>
            <w:r>
              <w:rPr/>
              <w:t>文件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系统应支持 </w:t>
            </w:r>
            <w:r>
              <w:rPr/>
              <w:t>PDF</w:t>
            </w:r>
            <w:r>
              <w:rPr/>
              <w:t>、</w:t>
            </w:r>
            <w:r>
              <w:rPr/>
              <w:t>Excel</w:t>
            </w:r>
            <w:r>
              <w:rPr/>
              <w:t>、</w:t>
            </w:r>
            <w:r>
              <w:rPr/>
              <w:t xml:space="preserve">CSV </w:t>
            </w:r>
            <w:r>
              <w:rPr/>
              <w:t>上传并参与问答。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需求规格说明书 </w:t>
            </w:r>
            <w:r>
              <w:rPr/>
              <w:t>V1.0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由 </w:t>
            </w:r>
            <w:r>
              <w:rPr/>
              <w:t xml:space="preserve">public-service </w:t>
            </w:r>
            <w:r>
              <w:rPr/>
              <w:t>管理文件元数据。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REQ-003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业务需求</w:t>
            </w:r>
            <w:r>
              <w:rPr/>
              <w:t>-</w:t>
            </w:r>
            <w:r>
              <w:rPr/>
              <w:t>原文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系统应支持论文和专利原文查看。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需求规格说明书 </w:t>
            </w:r>
            <w:r>
              <w:rPr/>
              <w:t>V1.0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原文存储在 </w:t>
            </w:r>
            <w:r>
              <w:rPr/>
              <w:t>MinIO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REQ-004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业务需求</w:t>
            </w:r>
            <w:r>
              <w:rPr/>
              <w:t>-</w:t>
            </w:r>
            <w:r>
              <w:rPr/>
              <w:t>专利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专利问答应能读取 </w:t>
            </w:r>
            <w:r>
              <w:rPr/>
              <w:t xml:space="preserve">structured tables </w:t>
            </w:r>
            <w:r>
              <w:rPr/>
              <w:t>数据。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</w:t>
            </w:r>
            <w:r>
              <w:rPr/>
              <w:t>原文数据计划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tables </w:t>
            </w:r>
            <w:r>
              <w:rPr/>
              <w:t xml:space="preserve">文件数 </w:t>
            </w:r>
            <w:r>
              <w:rPr/>
              <w:t>9581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REQ-005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账号权限</w:t>
            </w:r>
            <w:r>
              <w:rPr/>
              <w:t>-</w:t>
            </w:r>
            <w:r>
              <w:rPr/>
              <w:t>登录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用户应能通过用户名和密码登录。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账号管理需求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登录成功返回 </w:t>
            </w:r>
            <w:r>
              <w:rPr/>
              <w:t>token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REQ-006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账号权限</w:t>
            </w:r>
            <w:r>
              <w:rPr/>
              <w:t>-</w:t>
            </w:r>
            <w:r>
              <w:rPr/>
              <w:t>注册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普通用户注册必须校验人员记录。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账号管理需求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姓名、工号、校验码匹配。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REQ-007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账号权限</w:t>
            </w:r>
            <w:r>
              <w:rPr/>
              <w:t>-</w:t>
            </w:r>
            <w:r>
              <w:rPr/>
              <w:t>安全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首次登录应强制修改密码并设置安全问题。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账号安全需求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管理员初始账号同样适用。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REQ-008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账号权限</w:t>
            </w:r>
            <w:r>
              <w:rPr/>
              <w:t>-</w:t>
            </w:r>
            <w:r>
              <w:rPr/>
              <w:t>找回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用户应能通过安全问题找回密码。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账号安全需求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未设置安全问题需管理员处理。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REQ-009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</w:t>
            </w:r>
            <w:r>
              <w:rPr/>
              <w:t>-</w:t>
            </w:r>
            <w:r>
              <w:rPr/>
              <w:t>用户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管理员应能维护用户状态、密码、类型和人员绑定。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支持批量操作。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REQ-010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</w:t>
            </w:r>
            <w:r>
              <w:rPr/>
              <w:t>-</w:t>
            </w:r>
            <w:r>
              <w:rPr/>
              <w:t>部门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管理员应能维护三级部门。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seed </w:t>
            </w:r>
            <w:r>
              <w:rPr/>
              <w:t>导入真实部门树。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REQ-011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</w:t>
            </w:r>
            <w:r>
              <w:rPr/>
              <w:t>-</w:t>
            </w:r>
            <w:r>
              <w:rPr/>
              <w:t>人员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管理员应能维护人员记录和批量导入模板。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用于注册和绑定。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REQ-012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管理后台</w:t>
            </w:r>
            <w:r>
              <w:rPr/>
              <w:t>-</w:t>
            </w:r>
            <w:r>
              <w:rPr/>
              <w:t>配额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管理员应能配置普通问答、文件问答、查看原文、文档辅助配额。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配额需求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支持默认配置和用户重置。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REQ-013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后端</w:t>
            </w:r>
            <w:r>
              <w:rPr/>
              <w:t>-gateway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>应统一代理认证、会话、问答和文件请求。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架构设计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前端主要访问 </w:t>
            </w:r>
            <w:r>
              <w:rPr/>
              <w:t>gateway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REQ-014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后端</w:t>
            </w:r>
            <w:r>
              <w:rPr/>
              <w:t>-public-service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public-service </w:t>
            </w:r>
            <w:r>
              <w:rPr/>
              <w:t>应独立承载公共业务能力。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架构设计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用户、部门、人员、配额、文件。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REQ-015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后端</w:t>
            </w:r>
            <w:r>
              <w:rPr/>
              <w:t>-fastQA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fastQA </w:t>
            </w:r>
            <w:r>
              <w:rPr/>
              <w:t>应加载文献向量库和主题索引。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文献问答需求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数据包 </w:t>
            </w:r>
            <w:r>
              <w:rPr/>
              <w:t>fastqa-ref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REQ-016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后端</w:t>
            </w:r>
            <w:r>
              <w:rPr/>
              <w:t>-highThinkingQA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highThinkingQA </w:t>
            </w:r>
            <w:r>
              <w:rPr/>
              <w:t xml:space="preserve">应加载独立 </w:t>
            </w:r>
            <w:r>
              <w:rPr/>
              <w:t>vectordb</w:t>
            </w:r>
            <w:r>
              <w:rPr/>
              <w:t>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深度问答需求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数据包 </w:t>
            </w:r>
            <w:r>
              <w:rPr/>
              <w:t>highthinking-ref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REQ-017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后端</w:t>
            </w:r>
            <w:r>
              <w:rPr/>
              <w:t>-patentQA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patentQA </w:t>
            </w:r>
            <w:r>
              <w:rPr/>
              <w:t xml:space="preserve">应加载两个专利向量库和 </w:t>
            </w:r>
            <w:r>
              <w:rPr/>
              <w:t>JSON-only archive</w:t>
            </w:r>
            <w:r>
              <w:rPr/>
              <w:t>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专利问答需求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数据包 </w:t>
            </w:r>
            <w:r>
              <w:rPr/>
              <w:t>patentqa-ref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REQ-018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</w:t>
            </w:r>
            <w:r>
              <w:rPr/>
              <w:t>-MinIO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论文和专利原文应只以 </w:t>
            </w:r>
            <w:r>
              <w:rPr/>
              <w:t xml:space="preserve">MinIO </w:t>
            </w:r>
            <w:r>
              <w:rPr/>
              <w:t>为权威副本。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数据交付方案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后端不重复携带 </w:t>
            </w:r>
            <w:r>
              <w:rPr/>
              <w:t>PDF/PNG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REQ-019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</w:t>
            </w:r>
            <w:r>
              <w:rPr/>
              <w:t>-</w:t>
            </w:r>
            <w:r>
              <w:rPr/>
              <w:t>向量库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向量库应通过 </w:t>
            </w:r>
            <w:r>
              <w:rPr/>
              <w:t xml:space="preserve">named volume </w:t>
            </w:r>
            <w:r>
              <w:rPr/>
              <w:t>挂载，部署方不手工配置路径。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数据交付方案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compose </w:t>
            </w:r>
            <w:r>
              <w:rPr/>
              <w:t>固定内部路径。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REQ-020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</w:t>
            </w:r>
            <w:r>
              <w:rPr/>
              <w:t>-</w:t>
            </w:r>
            <w:r>
              <w:rPr/>
              <w:t>图谱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文献和专利图谱应分别使用独立 </w:t>
            </w:r>
            <w:r>
              <w:rPr/>
              <w:t xml:space="preserve">Neo4j </w:t>
            </w:r>
            <w:r>
              <w:rPr/>
              <w:t>容器。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图谱部署方案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部署方不配置 </w:t>
            </w:r>
            <w:r>
              <w:rPr/>
              <w:t xml:space="preserve">Neo4j </w:t>
            </w:r>
            <w:r>
              <w:rPr/>
              <w:t>地址。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REQ-021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</w:t>
            </w:r>
            <w:r>
              <w:rPr/>
              <w:t>-LLM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系统应支持统一 </w:t>
            </w:r>
            <w:r>
              <w:rPr/>
              <w:t>LLM base url</w:t>
            </w:r>
            <w:r>
              <w:rPr/>
              <w:t xml:space="preserve">、模型名和 </w:t>
            </w:r>
            <w:r>
              <w:rPr/>
              <w:t>API Key</w:t>
            </w:r>
            <w:r>
              <w:rPr/>
              <w:t>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模型配置方案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配置在 </w:t>
            </w:r>
            <w:r>
              <w:rPr/>
              <w:t>deploy/.env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REQ-022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</w:t>
            </w:r>
            <w:r>
              <w:rPr/>
              <w:t>-intent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fastQA </w:t>
            </w:r>
            <w:r>
              <w:rPr/>
              <w:t xml:space="preserve">和 </w:t>
            </w:r>
            <w:r>
              <w:rPr/>
              <w:t xml:space="preserve">patentQA </w:t>
            </w:r>
            <w:r>
              <w:rPr/>
              <w:t xml:space="preserve">应使用统一 </w:t>
            </w:r>
            <w:r>
              <w:rPr/>
              <w:t xml:space="preserve">intent </w:t>
            </w:r>
            <w:r>
              <w:rPr/>
              <w:t>模型配置名。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模型配置方案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INTENT_MODEL_*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REQ-023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</w:t>
            </w:r>
            <w:r>
              <w:rPr/>
              <w:t>-embedding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fastQA/patentQA </w:t>
            </w:r>
            <w:r>
              <w:rPr/>
              <w:t xml:space="preserve">和 </w:t>
            </w:r>
            <w:r>
              <w:rPr/>
              <w:t xml:space="preserve">highThinkingQA </w:t>
            </w:r>
            <w:r>
              <w:rPr/>
              <w:t xml:space="preserve">应分别配置 </w:t>
            </w:r>
            <w:r>
              <w:rPr/>
              <w:t>embedding</w:t>
            </w:r>
            <w:r>
              <w:rPr/>
              <w:t>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模型配置方案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QA_EMBEDDING_*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>
                <w:rStyle w:val="SourceText"/>
              </w:rPr>
              <w:t>HIGHTHINKINGQA_EMBEDDING_*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REQ-024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</w:t>
            </w:r>
            <w:r>
              <w:rPr/>
              <w:t>-rerank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文献和专利检索应支持统一 </w:t>
            </w:r>
            <w:r>
              <w:rPr/>
              <w:t xml:space="preserve">rerank </w:t>
            </w:r>
            <w:r>
              <w:rPr/>
              <w:t>配置和禁用。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模型配置方案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RERANK_PROVIDER=none</w:t>
            </w:r>
            <w:r>
              <w:rPr/>
              <w:t xml:space="preserve"> </w:t>
            </w:r>
            <w:r>
              <w:rPr/>
              <w:t>可禁用。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REQ-025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</w:t>
            </w:r>
            <w:r>
              <w:rPr/>
              <w:t>-</w:t>
            </w:r>
            <w:r>
              <w:rPr/>
              <w:t>离线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部署方应能通过 </w:t>
            </w:r>
            <w:r>
              <w:rPr/>
              <w:t xml:space="preserve">docker load </w:t>
            </w:r>
            <w:r>
              <w:rPr/>
              <w:t xml:space="preserve">和 </w:t>
            </w:r>
            <w:r>
              <w:rPr/>
              <w:t xml:space="preserve">compose </w:t>
            </w:r>
            <w:r>
              <w:rPr/>
              <w:t>完成离线部署。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部署方案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无需宿主机安装 </w:t>
            </w:r>
            <w:r>
              <w:rPr/>
              <w:t>mc/zstd/neo4j-admin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REQ-026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</w:t>
            </w:r>
            <w:r>
              <w:rPr/>
              <w:t>-HTTPS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系统应提供 </w:t>
            </w:r>
            <w:r>
              <w:rPr/>
              <w:t xml:space="preserve">HTTPS </w:t>
            </w:r>
            <w:r>
              <w:rPr/>
              <w:t>入口并支持部署方替换证书。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HTTPS </w:t>
            </w:r>
            <w:r>
              <w:rPr/>
              <w:t>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edge nginx </w:t>
            </w:r>
            <w:r>
              <w:rPr/>
              <w:t xml:space="preserve">处理 </w:t>
            </w:r>
            <w:r>
              <w:rPr/>
              <w:t>TLS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REQ-027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</w:t>
            </w:r>
            <w:r>
              <w:rPr/>
              <w:t>-</w:t>
            </w:r>
            <w:r>
              <w:rPr/>
              <w:t>预检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系统应提供 </w:t>
            </w:r>
            <w:r>
              <w:rPr/>
              <w:t xml:space="preserve">preflight </w:t>
            </w:r>
            <w:r>
              <w:rPr/>
              <w:t>检查配置、镜像和数据包。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preflight_check.sh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REQ-028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</w:t>
            </w:r>
            <w:r>
              <w:rPr/>
              <w:t>-</w:t>
            </w:r>
            <w:r>
              <w:rPr/>
              <w:t>更新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系统应支持单服务镜像增量更新。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更新部署需求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例如只更新 </w:t>
            </w:r>
            <w:r>
              <w:rPr/>
              <w:t>fastQA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REQ-029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</w:t>
            </w:r>
            <w:r>
              <w:rPr/>
              <w:t>-</w:t>
            </w:r>
            <w:r>
              <w:rPr/>
              <w:t>备份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系统应区分运行态数据和可重建 </w:t>
            </w:r>
            <w:r>
              <w:rPr/>
              <w:t>reference data</w:t>
            </w:r>
            <w:r>
              <w:rPr/>
              <w:t>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MySQL </w:t>
            </w:r>
            <w:r>
              <w:rPr/>
              <w:t xml:space="preserve">和运行期 </w:t>
            </w:r>
            <w:r>
              <w:rPr/>
              <w:t xml:space="preserve">MinIO </w:t>
            </w:r>
            <w:r>
              <w:rPr/>
              <w:t>需备份。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REQ-030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</w:t>
            </w:r>
            <w:r>
              <w:rPr/>
              <w:t>-</w:t>
            </w:r>
            <w:r>
              <w:rPr/>
              <w:t>隐私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系统不应在文档和镜像上下文中包含真实密钥。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密钥由部署方填写。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REQ-031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</w:t>
            </w:r>
            <w:r>
              <w:rPr/>
              <w:t>-</w:t>
            </w:r>
            <w:r>
              <w:rPr/>
              <w:t>会话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系统应支持会话创建、切换、标题修改、删除和历史消息查看。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用户操作需求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会话数据进入 </w:t>
            </w:r>
            <w:r>
              <w:rPr/>
              <w:t>MySQL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REQ-032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</w:t>
            </w:r>
            <w:r>
              <w:rPr/>
              <w:t>-</w:t>
            </w:r>
            <w:r>
              <w:rPr/>
              <w:t>阶段展示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问答过程中应展示阶段、耗时、引用和错误提示。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问答体验需求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支持 </w:t>
            </w:r>
            <w:r>
              <w:rPr/>
              <w:t>intent</w:t>
            </w:r>
            <w:r>
              <w:rPr/>
              <w:t>、检索、</w:t>
            </w:r>
            <w:r>
              <w:rPr/>
              <w:t>rerank</w:t>
            </w:r>
            <w:r>
              <w:rPr/>
              <w:t>、生成等阶段。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REQ-033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接口</w:t>
            </w:r>
            <w:r>
              <w:rPr/>
              <w:t>-</w:t>
            </w:r>
            <w:r>
              <w:rPr/>
              <w:t>任务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系统应支持任务创建、事件读取和取消。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接口设计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/api/v1/tasks*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REQ-034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接口</w:t>
            </w:r>
            <w:r>
              <w:rPr/>
              <w:t>-</w:t>
            </w:r>
            <w:r>
              <w:rPr/>
              <w:t>准入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系统应支持请求准入状态、请求查询、取消和事件帧读取。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接口设计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/api/admission/*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REQ-035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接口</w:t>
            </w:r>
            <w:r>
              <w:rPr/>
              <w:t>-</w:t>
            </w:r>
            <w:r>
              <w:rPr/>
              <w:t>内部协作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 xml:space="preserve">与 </w:t>
            </w:r>
            <w:r>
              <w:rPr/>
              <w:t xml:space="preserve">public-service </w:t>
            </w:r>
            <w:r>
              <w:rPr/>
              <w:t>应通过内部接口完成配额和消息落库。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接口设计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/internal/quota/*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>
                <w:rStyle w:val="SourceText"/>
              </w:rPr>
              <w:t>/internal/conversations/*</w:t>
            </w:r>
            <w:r>
              <w:rPr/>
              <w:t>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REQ-036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</w:t>
            </w:r>
            <w:r>
              <w:rPr/>
              <w:t>-</w:t>
            </w:r>
            <w:r>
              <w:rPr/>
              <w:t>部署手册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部署手册应包含部署方案、环境要求、镜像加载、启动验证、模型配置、</w:t>
            </w:r>
            <w:r>
              <w:rPr/>
              <w:t xml:space="preserve">FAQ </w:t>
            </w:r>
            <w:r>
              <w:rPr/>
              <w:t>和更新回滚。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交付文档要求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命令附成功和失败示例。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REQ-037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</w:t>
            </w:r>
            <w:r>
              <w:rPr/>
              <w:t>-</w:t>
            </w:r>
            <w:r>
              <w:rPr/>
              <w:t>运维手册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运维手册应包含系统资源、巡检、日志、启停、备份恢复和应急处置。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交付文档要求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包含 </w:t>
            </w:r>
            <w:r>
              <w:rPr/>
              <w:t xml:space="preserve">Mermaid </w:t>
            </w:r>
            <w:r>
              <w:rPr/>
              <w:t>拓扑和泳道图。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REQ-038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</w:t>
            </w:r>
            <w:r>
              <w:rPr/>
              <w:t>-</w:t>
            </w:r>
            <w:r>
              <w:rPr/>
              <w:t>开发文档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开发文档应覆盖工程结构、模块、接口、数据库、配置和数据包构建规范。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交付文档要求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用于后续维护。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REQ-039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</w:t>
            </w:r>
            <w:r>
              <w:rPr/>
              <w:t>-</w:t>
            </w:r>
            <w:r>
              <w:rPr/>
              <w:t>概要设计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概要设计应覆盖系统架构、软件架构、集成架构、部署架构、数据库和非功能设计。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交付文档要求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图使用 </w:t>
            </w:r>
            <w:r>
              <w:rPr/>
              <w:t xml:space="preserve">Mermaid </w:t>
            </w:r>
            <w:r>
              <w:rPr/>
              <w:t>表达。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REQ-040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</w:t>
            </w:r>
            <w:r>
              <w:rPr/>
              <w:t>-</w:t>
            </w:r>
            <w:r>
              <w:rPr/>
              <w:t>详细设计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详细设计应按模块说明功能、页面、库表、重点逻辑、流程、接口、输入输出和异常。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交付文档要求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覆盖三类问答和数据导入。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REQ-041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</w:t>
            </w:r>
            <w:r>
              <w:rPr/>
              <w:t>-</w:t>
            </w:r>
            <w:r>
              <w:rPr/>
              <w:t>测试报告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测试报告应覆盖环境、功能、性能、安全、数据和模型调用。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交付文档要求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提供可执行用例表。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REQ-042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</w:t>
            </w:r>
            <w:r>
              <w:rPr/>
              <w:t>-</w:t>
            </w:r>
            <w:r>
              <w:rPr/>
              <w:t>用户手册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用户手册应以最终用户视角说明注册、登录、问答、文件、原文和管理操作。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交付文档要求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不写部署细节。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REQ-043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</w:t>
            </w:r>
            <w:r>
              <w:rPr/>
              <w:t>-HTTPS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系统应支持内网域名、客户自签证书和证书替换。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安全传输需求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deploy/certs</w:t>
            </w:r>
            <w:r>
              <w:rPr/>
              <w:t xml:space="preserve"> </w:t>
            </w:r>
            <w:r>
              <w:rPr/>
              <w:t>为证书挂载目录。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REQ-044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</w:t>
            </w:r>
            <w:r>
              <w:rPr/>
              <w:t>-</w:t>
            </w:r>
            <w:r>
              <w:rPr/>
              <w:t>账号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密码和人员校验码不得明文存储。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使用哈希字段。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REQ-045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</w:t>
            </w:r>
            <w:r>
              <w:rPr/>
              <w:t>-</w:t>
            </w:r>
            <w:r>
              <w:rPr/>
              <w:t>权限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管理员接口应限制为管理员角色访问。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前端隐藏入口，后端校验权限。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REQ-046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</w:t>
            </w:r>
            <w:r>
              <w:rPr/>
              <w:t>-</w:t>
            </w:r>
            <w:r>
              <w:rPr/>
              <w:t>日志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各容器应通过 </w:t>
            </w:r>
            <w:r>
              <w:rPr/>
              <w:t xml:space="preserve">Docker </w:t>
            </w:r>
            <w:r>
              <w:rPr/>
              <w:t>日志输出关键阶段和错误信息。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日志不得输出真实密钥。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REQ-047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</w:t>
            </w:r>
            <w:r>
              <w:rPr/>
              <w:t>-</w:t>
            </w:r>
            <w:r>
              <w:rPr/>
              <w:t>恢复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系统应支持通过备份配置、数据库、镜像和数据包进行恢复。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运维需求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运维手册给出恢复步骤。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REQ-048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</w:t>
            </w:r>
            <w:r>
              <w:rPr/>
              <w:t>-</w:t>
            </w:r>
            <w:r>
              <w:rPr/>
              <w:t>部门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MySQL </w:t>
            </w:r>
            <w:r>
              <w:rPr/>
              <w:t>初始化应导入真实部门树，不导入测试部门。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部门 </w:t>
            </w:r>
            <w:r>
              <w:rPr/>
              <w:t xml:space="preserve">seed </w:t>
            </w:r>
            <w:r>
              <w:rPr/>
              <w:t>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电池材料技术研究中心及下属部门。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REQ-049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</w:t>
            </w:r>
            <w:r>
              <w:rPr/>
              <w:t>-</w:t>
            </w:r>
            <w:r>
              <w:rPr/>
              <w:t>管理员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MySQL </w:t>
            </w:r>
            <w:r>
              <w:rPr/>
              <w:t xml:space="preserve">初始化应创建 </w:t>
            </w:r>
            <w:r>
              <w:rPr/>
              <w:t xml:space="preserve">bootstrap </w:t>
            </w:r>
            <w:r>
              <w:rPr/>
              <w:t>管理员账号。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管理员 </w:t>
            </w:r>
            <w:r>
              <w:rPr/>
              <w:t xml:space="preserve">seed </w:t>
            </w:r>
            <w:r>
              <w:rPr/>
              <w:t>要求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文档不记录明文密码。</w:t>
            </w:r>
          </w:p>
        </w:tc>
      </w:tr>
      <w:tr>
        <w:trPr/>
        <w:tc>
          <w:tcPr>
            <w:tcW w:w="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REQ-050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交付</w:t>
            </w:r>
            <w:r>
              <w:rPr/>
              <w:t>-</w:t>
            </w:r>
            <w:r>
              <w:rPr/>
              <w:t>命名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产品展示名使用 </w:t>
            </w:r>
            <w:r>
              <w:rPr/>
              <w:t>LiFeO4Agent</w:t>
            </w:r>
            <w:r>
              <w:rPr/>
              <w:t xml:space="preserve">，镜像仓库名使用 </w:t>
            </w:r>
            <w:r>
              <w:rPr/>
              <w:t xml:space="preserve">lowercase </w:t>
            </w:r>
            <w:r>
              <w:rPr>
                <w:rStyle w:val="SourceText"/>
              </w:rPr>
              <w:t>lifeo4agent/*</w:t>
            </w:r>
            <w:r>
              <w:rPr/>
              <w:t>。</w:t>
            </w:r>
          </w:p>
        </w:tc>
        <w:tc>
          <w:tcPr>
            <w:tcW w:w="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命名规范</w:t>
            </w:r>
          </w:p>
        </w:tc>
        <w:tc>
          <w:tcPr>
            <w:tcW w:w="7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2026-05-20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已实现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满足 </w:t>
            </w:r>
            <w:r>
              <w:rPr/>
              <w:t xml:space="preserve">Docker </w:t>
            </w:r>
            <w:r>
              <w:rPr/>
              <w:t>镜像命名规范。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SimHei">
    <w:altName w:val="黑体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center"/>
    </w:pPr>
    <w:r>
      <w:t>LiFeO4Agent 需求清单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SimSun;宋体;Times New Roman;serif" w:hAnsi="SimSun;宋体;Times New Roman;serif" w:eastAsia="SimSun;宋体;Times New Roman;serif" w:cs="SimSun;宋体;Times New Roman;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0"/>
    </w:pPr>
    <w:rPr>
      <w:rFonts w:ascii="SimHei;黑体;sans-serif" w:hAnsi="SimHei;黑体;sans-serif" w:eastAsia="SimHei;黑体;sans-serif" w:cs="SimHei;黑体;sans-serif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1"/>
    </w:pPr>
    <w:rPr>
      <w:rFonts w:ascii="SimHei;黑体;sans-serif" w:hAnsi="SimHei;黑体;sans-serif" w:eastAsia="SimHei;黑体;sans-serif" w:cs="SimHei;黑体;sans-serif"/>
      <w:b/>
      <w:bCs/>
      <w:sz w:val="28"/>
      <w:szCs w:val="28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60" w:before="120" w:after="60"/>
      <w:ind w:start="120" w:end="120" w:hanging="0"/>
      <w:outlineLvl w:val="2"/>
    </w:pPr>
    <w:rPr>
      <w:rFonts w:ascii="SimHei;黑体;sans-serif" w:hAnsi="SimHei;黑体;sans-serif" w:eastAsia="SimHei;黑体;sans-serif" w:cs="SimHei;黑体;sans-serif"/>
      <w:b/>
      <w:bCs/>
      <w:sz w:val="21"/>
      <w:szCs w:val="21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fill="F2F2F2" w:val="clear"/>
      <w:spacing w:lineRule="auto" w:line="288" w:before="60" w:after="120"/>
      <w:ind w:start="60" w:end="60" w:hanging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
<Relationship Id="rId4" Type="http://schemas.openxmlformats.org/officeDocument/2006/relationships/header" Target="header1.xml" /><Relationship Id="rId5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LiFeO4Agent-需求清单-20260520-V1.0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