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BUSINESS UNDERSTANDING REPORT</w:t>
      </w:r>
    </w:p>
    <w:p>
      <w:pPr>
        <w:spacing w:after="300"/>
        <w:jc w:val="center"/>
      </w:pPr>
      <w:r>
        <w:rPr>
          <w:i/>
          <w:iCs/>
          <w:sz w:val="24"/>
          <w:szCs w:val="24"/>
        </w:rPr>
        <w:t xml:space="preserve">Customer Churn Analysis — ABC Communications Ltd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CE6F1" w:val="clear"/>
          </w:tcPr>
          <w:p>
            <w:r>
              <w:rPr>
                <w:b/>
                <w:bCs/>
              </w:rPr>
              <w:t xml:space="preserve">Programme</w:t>
            </w:r>
          </w:p>
        </w:tc>
        <w:tc>
          <w:tcPr>
            <w:tcW w:type="dxa" w:w="6026"/>
          </w:tcPr>
          <w:p>
            <w:r>
              <w:t xml:space="preserve">AnalystLab Africa — Data Analytics Internship</w:t>
            </w:r>
          </w:p>
        </w:tc>
      </w:tr>
      <w:tr>
        <w:tc>
          <w:tcPr>
            <w:tcW w:type="dxa" w:w="3000"/>
            <w:shd w:fill="DCE6F1" w:val="clear"/>
          </w:tcPr>
          <w:p>
            <w:r>
              <w:rPr>
                <w:b/>
                <w:bCs/>
              </w:rPr>
              <w:t xml:space="preserve">Project</w:t>
            </w:r>
          </w:p>
        </w:tc>
        <w:tc>
          <w:tcPr>
            <w:tcW w:type="dxa" w:w="6026"/>
          </w:tcPr>
          <w:p>
            <w:r>
              <w:t xml:space="preserve">Week 1: Business Analytics Case Study</w:t>
            </w:r>
          </w:p>
        </w:tc>
      </w:tr>
      <w:tr>
        <w:tc>
          <w:tcPr>
            <w:tcW w:type="dxa" w:w="3000"/>
            <w:shd w:fill="DCE6F1" w:val="clear"/>
          </w:tcPr>
          <w:p>
            <w:r>
              <w:rPr>
                <w:b/>
                <w:bCs/>
              </w:rPr>
              <w:t xml:space="preserve">Prepared by</w:t>
            </w:r>
          </w:p>
        </w:tc>
        <w:tc>
          <w:tcPr>
            <w:tcW w:type="dxa" w:w="6026"/>
          </w:tcPr>
          <w:p>
            <w:r>
              <w:t xml:space="preserve">Mouhamadou Moustapha BA, Junior Data Analyst</w:t>
            </w:r>
          </w:p>
        </w:tc>
      </w:tr>
      <w:tr>
        <w:tc>
          <w:tcPr>
            <w:tcW w:type="dxa" w:w="3000"/>
            <w:shd w:fill="DCE6F1" w:val="clear"/>
          </w:tcPr>
          <w:p>
            <w:r>
              <w:rPr>
                <w:b/>
                <w:bCs/>
              </w:rPr>
              <w:t xml:space="preserve">Client</w:t>
            </w:r>
          </w:p>
        </w:tc>
        <w:tc>
          <w:tcPr>
            <w:tcW w:type="dxa" w:w="6026"/>
          </w:tcPr>
          <w:p>
            <w:r>
              <w:t xml:space="preserve">ABC Communications Ltd</w:t>
            </w:r>
          </w:p>
        </w:tc>
      </w:tr>
      <w:tr>
        <w:tc>
          <w:tcPr>
            <w:tcW w:type="dxa" w:w="3000"/>
            <w:shd w:fill="DCE6F1" w:val="clear"/>
          </w:tcPr>
          <w:p>
            <w:r>
              <w:rPr>
                <w:b/>
                <w:bCs/>
              </w:rPr>
              <w:t xml:space="preserve">Dataset</w:t>
            </w:r>
          </w:p>
        </w:tc>
        <w:tc>
          <w:tcPr>
            <w:tcW w:type="dxa" w:w="6026"/>
          </w:tcPr>
          <w:p>
            <w:r>
              <w:t xml:space="preserve">Telco Customer Churn (IBM Sample Dataset)</w:t>
            </w:r>
          </w:p>
        </w:tc>
      </w:tr>
    </w:tbl>
    <w:p>
      <w:pPr>
        <w:pStyle w:val="Heading1"/>
        <w:spacing w:after="150" w:before="300"/>
      </w:pPr>
      <w:r>
        <w:t xml:space="preserve">1. Business Context</w:t>
      </w:r>
    </w:p>
    <w:p>
      <w:pPr>
        <w:spacing w:after="120"/>
      </w:pPr>
      <w:r>
        <w:t xml:space="preserve">ABC Communications Ltd is a telecommunications provider offering phone and internet services, including value-added options such as online security, tech support, and streaming. Like most subscription-based telecom operators, ABC Communications' profitability depends heavily on retaining its existing customer base, since acquiring a new customer typically costs significantly more than retaining an existing one.</w:t>
      </w:r>
    </w:p>
    <w:p>
      <w:pPr>
        <w:spacing w:after="120"/>
      </w:pPr>
      <w:r>
        <w:t xml:space="preserve">Our consulting team has been engaged to investigate customer churn — the rate at which customers discontinue their service — and to translate the underlying data into concrete, actionable business recommendations that support customer retention strategy.</w:t>
      </w:r>
    </w:p>
    <w:p>
      <w:pPr>
        <w:pStyle w:val="Heading1"/>
        <w:spacing w:after="150" w:before="300"/>
      </w:pPr>
      <w:r>
        <w:t xml:space="preserve">2. What Is Customer Churn?</w:t>
      </w:r>
    </w:p>
    <w:p>
      <w:pPr>
        <w:spacing w:after="120"/>
      </w:pPr>
      <w:r>
        <w:t xml:space="preserve">Customer churn refers to the loss of customers over a given period. In subscription-based industries such as telecommunications, churn is typically measured as the percentage of customers who cancel or fail to renew their service within a defined timeframe (in this dataset, the most recent month).</w:t>
      </w:r>
    </w:p>
    <w:p>
      <w:pPr>
        <w:spacing w:after="120"/>
      </w:pPr>
      <w:r>
        <w:t xml:space="preserve">Churn is widely recognised as one of the most critical metrics for subscription businesses because it directly affects two of the most important levers of long-term profitability:</w:t>
      </w:r>
    </w:p>
    <w:p>
      <w:pPr>
        <w:pStyle w:val="ListParagraph"/>
        <w:numPr>
          <w:ilvl w:val="0"/>
          <w:numId w:val="1"/>
        </w:numPr>
        <w:spacing w:after="80"/>
      </w:pPr>
      <w:r>
        <w:t xml:space="preserve">Customer Lifetime Value (CLV): every month a customer stays translates into recurring revenue; early churn compresses CLV and can make acquisition unprofitable.</w:t>
      </w:r>
    </w:p>
    <w:p>
      <w:pPr>
        <w:pStyle w:val="ListParagraph"/>
        <w:numPr>
          <w:ilvl w:val="0"/>
          <w:numId w:val="1"/>
        </w:numPr>
        <w:spacing w:after="80"/>
      </w:pPr>
      <w:r>
        <w:t xml:space="preserve">Customer Acquisition Cost (CAC) recovery: marketing and onboarding costs are only recovered if a customer remains long enough to generate sufficient revenue.</w:t>
      </w:r>
    </w:p>
    <w:p>
      <w:pPr>
        <w:spacing w:after="120"/>
      </w:pPr>
      <w:r>
        <w:t xml:space="preserve">Industry research consistently shows that even small reductions in churn rate can produce outsized gains in profitability, since retained customers tend to increase spend over time and cost far less to serve than newly acquired ones.</w:t>
      </w:r>
    </w:p>
    <w:p>
      <w:pPr>
        <w:pStyle w:val="Heading1"/>
        <w:spacing w:after="150" w:before="300"/>
      </w:pPr>
      <w:r>
        <w:t xml:space="preserve">3. Why Customers Churn — Common Industry Drivers</w:t>
      </w:r>
    </w:p>
    <w:p>
      <w:pPr>
        <w:spacing w:after="120"/>
      </w:pPr>
      <w:r>
        <w:t xml:space="preserve">Across the telecom sector, churn is typically driven by a combination of the following factors, each of which is directly testable against the ABC Communications dataset:</w:t>
      </w:r>
    </w:p>
    <w:p>
      <w:pPr>
        <w:pStyle w:val="ListParagraph"/>
        <w:numPr>
          <w:ilvl w:val="0"/>
          <w:numId w:val="1"/>
        </w:numPr>
        <w:spacing w:after="80"/>
      </w:pPr>
      <w:r>
        <w:t xml:space="preserve">Contract flexibility: customers on no-commitment, month-to-month plans face far lower switching costs than those on annual or multi-year contracts.</w:t>
      </w:r>
    </w:p>
    <w:p>
      <w:pPr>
        <w:pStyle w:val="ListParagraph"/>
        <w:numPr>
          <w:ilvl w:val="0"/>
          <w:numId w:val="1"/>
        </w:numPr>
        <w:spacing w:after="80"/>
      </w:pPr>
      <w:r>
        <w:t xml:space="preserve">Price sensitivity: customers paying premium rates for services (e.g., fibre internet, add-on bundles) are more likely to shop competitors if they perceive the price-to-value ratio as poor.</w:t>
      </w:r>
    </w:p>
    <w:p>
      <w:pPr>
        <w:pStyle w:val="ListParagraph"/>
        <w:numPr>
          <w:ilvl w:val="0"/>
          <w:numId w:val="1"/>
        </w:numPr>
        <w:spacing w:after="80"/>
      </w:pPr>
      <w:r>
        <w:t xml:space="preserve">Onboarding and early-life experience: the first several months of the customer relationship are typically the highest-risk window, before habits and switching costs accumulate.</w:t>
      </w:r>
    </w:p>
    <w:p>
      <w:pPr>
        <w:pStyle w:val="ListParagraph"/>
        <w:numPr>
          <w:ilvl w:val="0"/>
          <w:numId w:val="1"/>
        </w:numPr>
        <w:spacing w:after="80"/>
      </w:pPr>
      <w:r>
        <w:t xml:space="preserve">Service quality and reliability: technical issues, particularly with higher-tier services, can erode trust quickly.</w:t>
      </w:r>
    </w:p>
    <w:p>
      <w:pPr>
        <w:pStyle w:val="ListParagraph"/>
        <w:numPr>
          <w:ilvl w:val="0"/>
          <w:numId w:val="1"/>
        </w:numPr>
        <w:spacing w:after="80"/>
      </w:pPr>
      <w:r>
        <w:t xml:space="preserve">Payment friction: customers on manual payment methods are more exposed to voluntary cancellation, since there is no recurring auto-charge to actively cancel.</w:t>
      </w:r>
    </w:p>
    <w:p>
      <w:pPr>
        <w:pStyle w:val="ListParagraph"/>
        <w:numPr>
          <w:ilvl w:val="0"/>
          <w:numId w:val="1"/>
        </w:numPr>
        <w:spacing w:after="80"/>
      </w:pPr>
      <w:r>
        <w:t xml:space="preserve">Demographic vulnerability: certain customer segments (e.g., senior citizens) may have different service needs, price sensitivity, or support requirements that go unaddressed by generic retention strategies.</w:t>
      </w:r>
    </w:p>
    <w:p>
      <w:pPr>
        <w:pStyle w:val="Heading1"/>
        <w:spacing w:after="150" w:before="300"/>
      </w:pPr>
      <w:r>
        <w:t xml:space="preserve">4. Business Questions Guiding This Analysis</w:t>
      </w:r>
    </w:p>
    <w:p>
      <w:pPr>
        <w:spacing w:after="120"/>
      </w:pPr>
      <w:r>
        <w:t xml:space="preserve">This engagement is structured around six core business questions, each of which is addressed with supporting data analysis and visualisation in the accompanying notebook:</w:t>
      </w:r>
    </w:p>
    <w:p>
      <w:pPr>
        <w:pStyle w:val="ListParagraph"/>
        <w:numPr>
          <w:ilvl w:val="0"/>
          <w:numId w:val="1"/>
        </w:numPr>
        <w:spacing w:after="80"/>
      </w:pPr>
      <w:r>
        <w:t xml:space="preserve">What does the customer base look like?</w:t>
      </w:r>
    </w:p>
    <w:p>
      <w:pPr>
        <w:pStyle w:val="ListParagraph"/>
        <w:numPr>
          <w:ilvl w:val="0"/>
          <w:numId w:val="1"/>
        </w:numPr>
        <w:spacing w:after="80"/>
      </w:pPr>
      <w:r>
        <w:t xml:space="preserve">Which segments have the highest churn?</w:t>
      </w:r>
    </w:p>
    <w:p>
      <w:pPr>
        <w:pStyle w:val="ListParagraph"/>
        <w:numPr>
          <w:ilvl w:val="0"/>
          <w:numId w:val="1"/>
        </w:numPr>
        <w:spacing w:after="80"/>
      </w:pPr>
      <w:r>
        <w:t xml:space="preserve">Does contract type influence retention?</w:t>
      </w:r>
    </w:p>
    <w:p>
      <w:pPr>
        <w:pStyle w:val="ListParagraph"/>
        <w:numPr>
          <w:ilvl w:val="0"/>
          <w:numId w:val="1"/>
        </w:numPr>
        <w:spacing w:after="80"/>
      </w:pPr>
      <w:r>
        <w:t xml:space="preserve">Does tenure affect loyalty?</w:t>
      </w:r>
    </w:p>
    <w:p>
      <w:pPr>
        <w:pStyle w:val="ListParagraph"/>
        <w:numPr>
          <w:ilvl w:val="0"/>
          <w:numId w:val="1"/>
        </w:numPr>
        <w:spacing w:after="80"/>
      </w:pPr>
      <w:r>
        <w:t xml:space="preserve">Which services influence churn?</w:t>
      </w:r>
    </w:p>
    <w:p>
      <w:pPr>
        <w:pStyle w:val="ListParagraph"/>
        <w:numPr>
          <w:ilvl w:val="0"/>
          <w:numId w:val="1"/>
        </w:numPr>
        <w:spacing w:after="80"/>
      </w:pPr>
      <w:r>
        <w:t xml:space="preserve">Which payment methods have higher churn?</w:t>
      </w:r>
    </w:p>
    <w:p>
      <w:pPr>
        <w:pStyle w:val="Heading1"/>
        <w:spacing w:after="150" w:before="300"/>
      </w:pPr>
      <w:r>
        <w:t xml:space="preserve">5. Expected Business Value</w:t>
      </w:r>
    </w:p>
    <w:p>
      <w:pPr>
        <w:spacing w:after="120"/>
      </w:pPr>
      <w:r>
        <w:t xml:space="preserve">By identifying which customer segments, contract structures, services, and payment behaviours are most associated with churn, ABC Communications can move from reactive, blanket retention spending toward targeted interventions — for example, contract-migration incentives for month-to-month customers, or a structured onboarding programme for new customers in their first year. The recommendations produced from this analysis are intended to be directly actionable by the Customer Success and Marketing teams.</w:t>
      </w:r>
    </w:p>
    <w:p>
      <w:pPr>
        <w:pStyle w:val="Heading1"/>
        <w:spacing w:after="150" w:before="300"/>
      </w:pPr>
      <w:r>
        <w:t xml:space="preserve">6. Scope and Limitations</w:t>
      </w:r>
    </w:p>
    <w:p>
      <w:pPr>
        <w:spacing w:after="120"/>
      </w:pPr>
      <w:r>
        <w:t xml:space="preserve">This analysis is descriptive and diagnostic in nature — it identifies patterns and associations in historical data rather than establishing definitive causal relationships. The dataset reflects a single snapshot in time (7,043 customers) and does not include external factors such as competitor pricing or macroeconomic conditions. A natural next step, outside the scope of this Week 1 deliverable, would be predictive modelling (e.g., logistic regression or gradient boosting) to generate individual customer risk scores.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AnalystLab Africa — Data Analytics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2026-08-06T00:36:10.178Z</dcterms:created>
  <dcterms:modified xsi:type="dcterms:W3CDTF">2026-08-06T00:36:10.188Z</dcterms:modified>
</cp:coreProperties>
</file>

<file path=docProps/custom.xml><?xml version="1.0" encoding="utf-8"?>
<Properties xmlns="http://schemas.openxmlformats.org/officeDocument/2006/custom-properties" xmlns:vt="http://schemas.openxmlformats.org/officeDocument/2006/docPropsVTypes"/>
</file>