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DATASET INSPECTION REPORT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Telco Customer Churn Dataset — ABC Communications Ltd</w:t>
      </w:r>
    </w:p>
    <w:p>
      <w:pPr>
        <w:pStyle w:val="Heading1"/>
        <w:spacing w:after="150" w:before="300"/>
      </w:pPr>
      <w:r>
        <w:t xml:space="preserve">1. Dataset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52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</w:tcPr>
          <w:p>
            <w:r>
              <w:t xml:space="preserve">Source</w:t>
            </w:r>
          </w:p>
        </w:tc>
        <w:tc>
          <w:tcPr>
            <w:tcW w:type="dxa" w:w="5526"/>
          </w:tcPr>
          <w:p>
            <w:r>
              <w:t xml:space="preserve">Kaggle — Telco Customer Churn (BlastChar / IBM Sample Dataset)</w:t>
            </w:r>
          </w:p>
        </w:tc>
      </w:tr>
      <w:tr>
        <w:tc>
          <w:tcPr>
            <w:tcW w:type="dxa" w:w="3500"/>
          </w:tcPr>
          <w:p>
            <w:r>
              <w:t xml:space="preserve">Rows (customers)</w:t>
            </w:r>
          </w:p>
        </w:tc>
        <w:tc>
          <w:tcPr>
            <w:tcW w:type="dxa" w:w="5526"/>
          </w:tcPr>
          <w:p>
            <w:r>
              <w:t xml:space="preserve">7,043</w:t>
            </w:r>
          </w:p>
        </w:tc>
      </w:tr>
      <w:tr>
        <w:tc>
          <w:tcPr>
            <w:tcW w:type="dxa" w:w="3500"/>
          </w:tcPr>
          <w:p>
            <w:r>
              <w:t xml:space="preserve">Columns (features)</w:t>
            </w:r>
          </w:p>
        </w:tc>
        <w:tc>
          <w:tcPr>
            <w:tcW w:type="dxa" w:w="5526"/>
          </w:tcPr>
          <w:p>
            <w:r>
              <w:t xml:space="preserve">21</w:t>
            </w:r>
          </w:p>
        </w:tc>
      </w:tr>
      <w:tr>
        <w:tc>
          <w:tcPr>
            <w:tcW w:type="dxa" w:w="3500"/>
          </w:tcPr>
          <w:p>
            <w:r>
              <w:t xml:space="preserve">Target variable</w:t>
            </w:r>
          </w:p>
        </w:tc>
        <w:tc>
          <w:tcPr>
            <w:tcW w:type="dxa" w:w="5526"/>
          </w:tcPr>
          <w:p>
            <w:r>
              <w:t xml:space="preserve">Churn (Yes / No)</w:t>
            </w:r>
          </w:p>
        </w:tc>
      </w:tr>
      <w:tr>
        <w:tc>
          <w:tcPr>
            <w:tcW w:type="dxa" w:w="3500"/>
          </w:tcPr>
          <w:p>
            <w:r>
              <w:t xml:space="preserve">File size</w:t>
            </w:r>
          </w:p>
        </w:tc>
        <w:tc>
          <w:tcPr>
            <w:tcW w:type="dxa" w:w="5526"/>
          </w:tcPr>
          <w:p>
            <w:r>
              <w:t xml:space="preserve">977.5 KB</w:t>
            </w:r>
          </w:p>
        </w:tc>
      </w:tr>
      <w:tr>
        <w:tc>
          <w:tcPr>
            <w:tcW w:type="dxa" w:w="3500"/>
          </w:tcPr>
          <w:p>
            <w:r>
              <w:t xml:space="preserve">Format</w:t>
            </w:r>
          </w:p>
        </w:tc>
        <w:tc>
          <w:tcPr>
            <w:tcW w:type="dxa" w:w="5526"/>
          </w:tcPr>
          <w:p>
            <w:r>
              <w:t xml:space="preserve">CSV</w:t>
            </w:r>
          </w:p>
        </w:tc>
      </w:tr>
    </w:tbl>
    <w:p>
      <w:pPr>
        <w:pStyle w:val="Heading1"/>
        <w:spacing w:after="150" w:before="300"/>
      </w:pPr>
      <w:r>
        <w:t xml:space="preserve">2. Data Types</w:t>
      </w:r>
    </w:p>
    <w:p>
      <w:pPr>
        <w:spacing w:after="120"/>
      </w:pPr>
      <w:r>
        <w:t xml:space="preserve">Of the 21 columns, 18 are categorical (object/string), 2 are numeric integers (SeniorCitizen, tenure), and 1 is a numeric float (MonthlyCharges). One column, TotalCharges, is stored as text due to a data quality issue detailed in Section 4.</w:t>
      </w:r>
    </w:p>
    <w:p>
      <w:pPr>
        <w:pStyle w:val="Heading1"/>
        <w:spacing w:after="150" w:before="300"/>
      </w:pPr>
      <w:r>
        <w:t xml:space="preserve">3. Missing Values &amp; Duplicates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26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222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200"/>
          </w:tcPr>
          <w:p>
            <w:r>
              <w:t xml:space="preserve">Null values (raw)</w:t>
            </w:r>
          </w:p>
        </w:tc>
        <w:tc>
          <w:tcPr>
            <w:tcW w:type="dxa" w:w="3600"/>
          </w:tcPr>
          <w:p>
            <w:r>
              <w:t xml:space="preserve">0 across all columns</w:t>
            </w:r>
          </w:p>
        </w:tc>
        <w:tc>
          <w:tcPr>
            <w:tcW w:type="dxa" w:w="2226"/>
          </w:tcPr>
          <w:p>
            <w:r>
              <w:t xml:space="preserve">✓ Clean</w:t>
            </w:r>
          </w:p>
        </w:tc>
      </w:tr>
      <w:tr>
        <w:tc>
          <w:tcPr>
            <w:tcW w:type="dxa" w:w="3200"/>
          </w:tcPr>
          <w:p>
            <w:r>
              <w:t xml:space="preserve">Duplicate rows</w:t>
            </w:r>
          </w:p>
        </w:tc>
        <w:tc>
          <w:tcPr>
            <w:tcW w:type="dxa" w:w="3600"/>
          </w:tcPr>
          <w:p>
            <w:r>
              <w:t xml:space="preserve">0</w:t>
            </w:r>
          </w:p>
        </w:tc>
        <w:tc>
          <w:tcPr>
            <w:tcW w:type="dxa" w:w="2226"/>
          </w:tcPr>
          <w:p>
            <w:r>
              <w:t xml:space="preserve">✓ Clean</w:t>
            </w:r>
          </w:p>
        </w:tc>
      </w:tr>
      <w:tr>
        <w:tc>
          <w:tcPr>
            <w:tcW w:type="dxa" w:w="3200"/>
          </w:tcPr>
          <w:p>
            <w:r>
              <w:t xml:space="preserve">Duplicate customer IDs</w:t>
            </w:r>
          </w:p>
        </w:tc>
        <w:tc>
          <w:tcPr>
            <w:tcW w:type="dxa" w:w="3600"/>
          </w:tcPr>
          <w:p>
            <w:r>
              <w:t xml:space="preserve">0 (7,043 unique IDs)</w:t>
            </w:r>
          </w:p>
        </w:tc>
        <w:tc>
          <w:tcPr>
            <w:tcW w:type="dxa" w:w="2226"/>
          </w:tcPr>
          <w:p>
            <w:r>
              <w:t xml:space="preserve">✓ Clean</w:t>
            </w:r>
          </w:p>
        </w:tc>
      </w:tr>
      <w:tr>
        <w:tc>
          <w:tcPr>
            <w:tcW w:type="dxa" w:w="3200"/>
          </w:tcPr>
          <w:p>
            <w:r>
              <w:t xml:space="preserve">Blank TotalCharges (post-investigation)</w:t>
            </w:r>
          </w:p>
        </w:tc>
        <w:tc>
          <w:tcPr>
            <w:tcW w:type="dxa" w:w="3600"/>
          </w:tcPr>
          <w:p>
            <w:r>
              <w:t xml:space="preserve">11 rows</w:t>
            </w:r>
          </w:p>
        </w:tc>
        <w:tc>
          <w:tcPr>
            <w:tcW w:type="dxa" w:w="2226"/>
          </w:tcPr>
          <w:p>
            <w:r>
              <w:t xml:space="preserve">⚠ Investigated — see Section 4</w:t>
            </w:r>
          </w:p>
        </w:tc>
      </w:tr>
    </w:tbl>
    <w:p>
      <w:pPr>
        <w:pStyle w:val="Heading1"/>
        <w:spacing w:after="150" w:before="300"/>
      </w:pPr>
      <w:r>
        <w:t xml:space="preserve">4. Data Quality Finding: TotalCharges</w:t>
      </w:r>
    </w:p>
    <w:p>
      <w:pPr>
        <w:spacing w:after="120"/>
      </w:pPr>
      <w:r>
        <w:t xml:space="preserve">Although the dataset reports zero null values at load time, TotalCharges is stored as a text column rather than numeric. Converting it to numeric reveals 11 rows with blank values.</w:t>
      </w:r>
    </w:p>
    <w:p>
      <w:pPr>
        <w:spacing w:after="120"/>
      </w:pPr>
      <w:r>
        <w:t xml:space="preserve">Investigation shows all 11 affected rows share one characteristic: tenure = 0. These are customers who joined so recently they have not yet received a first bill — the blank is not an error but an accurate reflection of "no charges yet."</w:t>
      </w:r>
    </w:p>
    <w:p>
      <w:pPr>
        <w:spacing w:after="120"/>
      </w:pPr>
      <w:r>
        <w:t xml:space="preserve">Treatment applied: these values were imputed as 0 for TotalCharges, and the column was cast to numeric (float) for analysis. No rows were dropped, preserving the full 7,043-customer sample for all other analyses.</w:t>
      </w:r>
    </w:p>
    <w:p>
      <w:pPr>
        <w:pStyle w:val="Heading1"/>
        <w:spacing w:after="150" w:before="300"/>
      </w:pPr>
      <w:r>
        <w:t xml:space="preserve">5. Descriptive Statistics — Numeric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900"/>
        <w:gridCol w:w="900"/>
        <w:gridCol w:w="1000"/>
        <w:gridCol w:w="900"/>
        <w:gridCol w:w="926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Mean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Std Dev</w:t>
            </w:r>
          </w:p>
        </w:tc>
        <w:tc>
          <w:tcPr>
            <w:tcW w:type="dxa" w:w="9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Min</w:t>
            </w:r>
          </w:p>
        </w:tc>
        <w:tc>
          <w:tcPr>
            <w:tcW w:type="dxa" w:w="9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25%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Median</w:t>
            </w:r>
          </w:p>
        </w:tc>
        <w:tc>
          <w:tcPr>
            <w:tcW w:type="dxa" w:w="9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75%</w:t>
            </w:r>
          </w:p>
        </w:tc>
        <w:tc>
          <w:tcPr>
            <w:tcW w:type="dxa" w:w="92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Max</w:t>
            </w:r>
          </w:p>
        </w:tc>
      </w:tr>
      <w:tr>
        <w:tc>
          <w:tcPr>
            <w:tcW w:type="dxa" w:w="2400"/>
          </w:tcPr>
          <w:p>
            <w:r>
              <w:t xml:space="preserve">tenure (months)</w:t>
            </w:r>
          </w:p>
        </w:tc>
        <w:tc>
          <w:tcPr>
            <w:tcW w:type="dxa" w:w="1000"/>
          </w:tcPr>
          <w:p>
            <w:r>
              <w:t xml:space="preserve">32.37</w:t>
            </w:r>
          </w:p>
        </w:tc>
        <w:tc>
          <w:tcPr>
            <w:tcW w:type="dxa" w:w="1000"/>
          </w:tcPr>
          <w:p>
            <w:r>
              <w:t xml:space="preserve">24.56</w:t>
            </w:r>
          </w:p>
        </w:tc>
        <w:tc>
          <w:tcPr>
            <w:tcW w:type="dxa" w:w="900"/>
          </w:tcPr>
          <w:p>
            <w:r>
              <w:t xml:space="preserve">0</w:t>
            </w:r>
          </w:p>
        </w:tc>
        <w:tc>
          <w:tcPr>
            <w:tcW w:type="dxa" w:w="900"/>
          </w:tcPr>
          <w:p>
            <w:r>
              <w:t xml:space="preserve">9</w:t>
            </w:r>
          </w:p>
        </w:tc>
        <w:tc>
          <w:tcPr>
            <w:tcW w:type="dxa" w:w="1000"/>
          </w:tcPr>
          <w:p>
            <w:r>
              <w:t xml:space="preserve">29</w:t>
            </w:r>
          </w:p>
        </w:tc>
        <w:tc>
          <w:tcPr>
            <w:tcW w:type="dxa" w:w="900"/>
          </w:tcPr>
          <w:p>
            <w:r>
              <w:t xml:space="preserve">55</w:t>
            </w:r>
          </w:p>
        </w:tc>
        <w:tc>
          <w:tcPr>
            <w:tcW w:type="dxa" w:w="926"/>
          </w:tcPr>
          <w:p>
            <w:r>
              <w:t xml:space="preserve">72</w:t>
            </w:r>
          </w:p>
        </w:tc>
      </w:tr>
      <w:tr>
        <w:tc>
          <w:tcPr>
            <w:tcW w:type="dxa" w:w="2400"/>
          </w:tcPr>
          <w:p>
            <w:r>
              <w:t xml:space="preserve">MonthlyCharges ($)</w:t>
            </w:r>
          </w:p>
        </w:tc>
        <w:tc>
          <w:tcPr>
            <w:tcW w:type="dxa" w:w="1000"/>
          </w:tcPr>
          <w:p>
            <w:r>
              <w:t xml:space="preserve">64.76</w:t>
            </w:r>
          </w:p>
        </w:tc>
        <w:tc>
          <w:tcPr>
            <w:tcW w:type="dxa" w:w="1000"/>
          </w:tcPr>
          <w:p>
            <w:r>
              <w:t xml:space="preserve">30.09</w:t>
            </w:r>
          </w:p>
        </w:tc>
        <w:tc>
          <w:tcPr>
            <w:tcW w:type="dxa" w:w="900"/>
          </w:tcPr>
          <w:p>
            <w:r>
              <w:t xml:space="preserve">18.25</w:t>
            </w:r>
          </w:p>
        </w:tc>
        <w:tc>
          <w:tcPr>
            <w:tcW w:type="dxa" w:w="900"/>
          </w:tcPr>
          <w:p>
            <w:r>
              <w:t xml:space="preserve">35.50</w:t>
            </w:r>
          </w:p>
        </w:tc>
        <w:tc>
          <w:tcPr>
            <w:tcW w:type="dxa" w:w="1000"/>
          </w:tcPr>
          <w:p>
            <w:r>
              <w:t xml:space="preserve">70.35</w:t>
            </w:r>
          </w:p>
        </w:tc>
        <w:tc>
          <w:tcPr>
            <w:tcW w:type="dxa" w:w="900"/>
          </w:tcPr>
          <w:p>
            <w:r>
              <w:t xml:space="preserve">89.85</w:t>
            </w:r>
          </w:p>
        </w:tc>
        <w:tc>
          <w:tcPr>
            <w:tcW w:type="dxa" w:w="926"/>
          </w:tcPr>
          <w:p>
            <w:r>
              <w:t xml:space="preserve">118.75</w:t>
            </w:r>
          </w:p>
        </w:tc>
      </w:tr>
      <w:tr>
        <w:tc>
          <w:tcPr>
            <w:tcW w:type="dxa" w:w="2400"/>
          </w:tcPr>
          <w:p>
            <w:r>
              <w:t xml:space="preserve">TotalCharges ($)</w:t>
            </w:r>
          </w:p>
        </w:tc>
        <w:tc>
          <w:tcPr>
            <w:tcW w:type="dxa" w:w="1000"/>
          </w:tcPr>
          <w:p>
            <w:r>
              <w:t xml:space="preserve">2,279.7*</w:t>
            </w:r>
          </w:p>
        </w:tc>
        <w:tc>
          <w:tcPr>
            <w:tcW w:type="dxa" w:w="1000"/>
          </w:tcPr>
          <w:p>
            <w:r>
              <w:t xml:space="preserve">2,266.9*</w:t>
            </w:r>
          </w:p>
        </w:tc>
        <w:tc>
          <w:tcPr>
            <w:tcW w:type="dxa" w:w="900"/>
          </w:tcPr>
          <w:p>
            <w:r>
              <w:t xml:space="preserve">0</w:t>
            </w:r>
          </w:p>
        </w:tc>
        <w:tc>
          <w:tcPr>
            <w:tcW w:type="dxa" w:w="900"/>
          </w:tcPr>
          <w:p>
            <w:r>
              <w:t xml:space="preserve">398.5</w:t>
            </w:r>
          </w:p>
        </w:tc>
        <w:tc>
          <w:tcPr>
            <w:tcW w:type="dxa" w:w="1000"/>
          </w:tcPr>
          <w:p>
            <w:r>
              <w:t xml:space="preserve">1,394.6</w:t>
            </w:r>
          </w:p>
        </w:tc>
        <w:tc>
          <w:tcPr>
            <w:tcW w:type="dxa" w:w="900"/>
          </w:tcPr>
          <w:p>
            <w:r>
              <w:t xml:space="preserve">3,786.6</w:t>
            </w:r>
          </w:p>
        </w:tc>
        <w:tc>
          <w:tcPr>
            <w:tcW w:type="dxa" w:w="926"/>
          </w:tcPr>
          <w:p>
            <w:r>
              <w:t xml:space="preserve">8,684.8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*Recalculated after imputing blank values as 0.</w:t>
      </w:r>
    </w:p>
    <w:p>
      <w:pPr>
        <w:pStyle w:val="Heading1"/>
        <w:spacing w:after="150" w:before="300"/>
      </w:pPr>
      <w:r>
        <w:t xml:space="preserve">6. Categorical Variable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Categories</w:t>
            </w:r>
          </w:p>
        </w:tc>
        <w:tc>
          <w:tcPr>
            <w:tcW w:type="dxa" w:w="382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Distribution</w:t>
            </w:r>
          </w:p>
        </w:tc>
      </w:tr>
      <w:tr>
        <w:tc>
          <w:tcPr>
            <w:tcW w:type="dxa" w:w="2200"/>
          </w:tcPr>
          <w:p>
            <w:r>
              <w:t xml:space="preserve">gender</w:t>
            </w:r>
          </w:p>
        </w:tc>
        <w:tc>
          <w:tcPr>
            <w:tcW w:type="dxa" w:w="3000"/>
          </w:tcPr>
          <w:p>
            <w:r>
              <w:t xml:space="preserve">Male, Female</w:t>
            </w:r>
          </w:p>
        </w:tc>
        <w:tc>
          <w:tcPr>
            <w:tcW w:type="dxa" w:w="3826"/>
          </w:tcPr>
          <w:p>
            <w:r>
              <w:t xml:space="preserve">50.5% / 49.5%</w:t>
            </w:r>
          </w:p>
        </w:tc>
      </w:tr>
      <w:tr>
        <w:tc>
          <w:tcPr>
            <w:tcW w:type="dxa" w:w="2200"/>
          </w:tcPr>
          <w:p>
            <w:r>
              <w:t xml:space="preserve">SeniorCitizen</w:t>
            </w:r>
          </w:p>
        </w:tc>
        <w:tc>
          <w:tcPr>
            <w:tcW w:type="dxa" w:w="3000"/>
          </w:tcPr>
          <w:p>
            <w:r>
              <w:t xml:space="preserve">0 (No), 1 (Yes)</w:t>
            </w:r>
          </w:p>
        </w:tc>
        <w:tc>
          <w:tcPr>
            <w:tcW w:type="dxa" w:w="3826"/>
          </w:tcPr>
          <w:p>
            <w:r>
              <w:t xml:space="preserve">83.8% / 16.2%</w:t>
            </w:r>
          </w:p>
        </w:tc>
      </w:tr>
      <w:tr>
        <w:tc>
          <w:tcPr>
            <w:tcW w:type="dxa" w:w="2200"/>
          </w:tcPr>
          <w:p>
            <w:r>
              <w:t xml:space="preserve">Contract</w:t>
            </w:r>
          </w:p>
        </w:tc>
        <w:tc>
          <w:tcPr>
            <w:tcW w:type="dxa" w:w="3000"/>
          </w:tcPr>
          <w:p>
            <w:r>
              <w:t xml:space="preserve">Month-to-month, One year, Two year</w:t>
            </w:r>
          </w:p>
        </w:tc>
        <w:tc>
          <w:tcPr>
            <w:tcW w:type="dxa" w:w="3826"/>
          </w:tcPr>
          <w:p>
            <w:r>
              <w:t xml:space="preserve">55.0% / 20.9% / 24.1%</w:t>
            </w:r>
          </w:p>
        </w:tc>
      </w:tr>
      <w:tr>
        <w:tc>
          <w:tcPr>
            <w:tcW w:type="dxa" w:w="2200"/>
          </w:tcPr>
          <w:p>
            <w:r>
              <w:t xml:space="preserve">InternetService</w:t>
            </w:r>
          </w:p>
        </w:tc>
        <w:tc>
          <w:tcPr>
            <w:tcW w:type="dxa" w:w="3000"/>
          </w:tcPr>
          <w:p>
            <w:r>
              <w:t xml:space="preserve">DSL, Fiber optic, No</w:t>
            </w:r>
          </w:p>
        </w:tc>
        <w:tc>
          <w:tcPr>
            <w:tcW w:type="dxa" w:w="3826"/>
          </w:tcPr>
          <w:p>
            <w:r>
              <w:t xml:space="preserve">34.4% / 44.0% / 21.7%</w:t>
            </w:r>
          </w:p>
        </w:tc>
      </w:tr>
      <w:tr>
        <w:tc>
          <w:tcPr>
            <w:tcW w:type="dxa" w:w="2200"/>
          </w:tcPr>
          <w:p>
            <w:r>
              <w:t xml:space="preserve">PaymentMethod</w:t>
            </w:r>
          </w:p>
        </w:tc>
        <w:tc>
          <w:tcPr>
            <w:tcW w:type="dxa" w:w="3000"/>
          </w:tcPr>
          <w:p>
            <w:r>
              <w:t xml:space="preserve">4 categories</w:t>
            </w:r>
          </w:p>
        </w:tc>
        <w:tc>
          <w:tcPr>
            <w:tcW w:type="dxa" w:w="3826"/>
          </w:tcPr>
          <w:p>
            <w:r>
              <w:t xml:space="preserve">Electronic check 33.6%, Mailed check 22.9%, Bank transfer 21.9%, Credit card 21.6%</w:t>
            </w:r>
          </w:p>
        </w:tc>
      </w:tr>
    </w:tbl>
    <w:p>
      <w:pPr>
        <w:pStyle w:val="Heading1"/>
        <w:spacing w:after="150" w:before="300"/>
      </w:pPr>
      <w:r>
        <w:t xml:space="preserve">7. Target Variable: Churn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Churn Status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302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Percentage</w:t>
            </w:r>
          </w:p>
        </w:tc>
      </w:tr>
      <w:tr>
        <w:tc>
          <w:tcPr>
            <w:tcW w:type="dxa" w:w="3000"/>
          </w:tcPr>
          <w:p>
            <w:r>
              <w:t xml:space="preserve">No</w:t>
            </w:r>
          </w:p>
        </w:tc>
        <w:tc>
          <w:tcPr>
            <w:tcW w:type="dxa" w:w="3000"/>
          </w:tcPr>
          <w:p>
            <w:r>
              <w:t xml:space="preserve">5,174</w:t>
            </w:r>
          </w:p>
        </w:tc>
        <w:tc>
          <w:tcPr>
            <w:tcW w:type="dxa" w:w="3026"/>
          </w:tcPr>
          <w:p>
            <w:r>
              <w:t xml:space="preserve">73.5%</w:t>
            </w:r>
          </w:p>
        </w:tc>
      </w:tr>
      <w:tr>
        <w:tc>
          <w:tcPr>
            <w:tcW w:type="dxa" w:w="3000"/>
          </w:tcPr>
          <w:p>
            <w:r>
              <w:t xml:space="preserve">Yes</w:t>
            </w:r>
          </w:p>
        </w:tc>
        <w:tc>
          <w:tcPr>
            <w:tcW w:type="dxa" w:w="3000"/>
          </w:tcPr>
          <w:p>
            <w:r>
              <w:t xml:space="preserve">1,869</w:t>
            </w:r>
          </w:p>
        </w:tc>
        <w:tc>
          <w:tcPr>
            <w:tcW w:type="dxa" w:w="3026"/>
          </w:tcPr>
          <w:p>
            <w:r>
              <w:t xml:space="preserve">26.5%</w:t>
            </w:r>
          </w:p>
        </w:tc>
      </w:tr>
    </w:tbl>
    <w:p>
      <w:pPr>
        <w:spacing w:after="120"/>
      </w:pPr>
      <w:r>
        <w:t xml:space="preserve">The target variable is moderately imbalanced (roughly 3:1). This is noted as a methodological consideration for any future predictive modelling work, though it does not affect the descriptive analysis conducted for this assignment.</w:t>
      </w:r>
    </w:p>
    <w:p>
      <w:pPr>
        <w:pStyle w:val="Heading1"/>
        <w:spacing w:after="150" w:before="300"/>
      </w:pPr>
      <w:r>
        <w:t xml:space="preserve">8. Overall Data Quality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Completeness: Effectively complete; the only gap (TotalCharges) is explainable and resolved.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Consistency: No duplicate records; customer IDs are unique and well-formed.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Validity: All categorical values fall within expected, documented categories (e.g., "No internet service" is a valid third state, not an error).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Readiness: The dataset is analysis-ready following the single TotalCharges correction described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AnalystLab Africa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2026-08-06T00:36:40.137Z</dcterms:created>
  <dcterms:modified xsi:type="dcterms:W3CDTF">2026-08-06T00:36:40.137Z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