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FB22" w14:textId="77777777" w:rsidR="00035A75" w:rsidRPr="001E1D04" w:rsidRDefault="00035A75" w:rsidP="00035A75">
      <w:pPr>
        <w:pStyle w:val="1"/>
        <w:shd w:val="clear" w:color="auto" w:fill="FFFFFF"/>
        <w:spacing w:before="360" w:after="360" w:line="360" w:lineRule="auto"/>
        <w:rPr>
          <w:rFonts w:ascii="KaiTi" w:eastAsia="KaiTi" w:hAnsi="KaiTi"/>
          <w:color w:val="121212"/>
          <w:sz w:val="28"/>
          <w:szCs w:val="36"/>
        </w:rPr>
      </w:pPr>
      <w:r w:rsidRPr="001E1D04">
        <w:rPr>
          <w:rFonts w:ascii="KaiTi" w:eastAsia="KaiTi" w:hAnsi="KaiTi" w:hint="eastAsia"/>
          <w:color w:val="121212"/>
          <w:sz w:val="28"/>
          <w:szCs w:val="36"/>
        </w:rPr>
        <w:t>阿尔兹海默症常见检查方法</w:t>
      </w:r>
      <w:bookmarkStart w:id="0" w:name="_GoBack"/>
      <w:bookmarkEnd w:id="0"/>
    </w:p>
    <w:p w14:paraId="526B32CC" w14:textId="77777777" w:rsidR="00035A75" w:rsidRPr="001E1D04" w:rsidRDefault="00035A75" w:rsidP="00035A75">
      <w:pPr>
        <w:pStyle w:val="2"/>
        <w:numPr>
          <w:ilvl w:val="0"/>
          <w:numId w:val="1"/>
        </w:numPr>
        <w:shd w:val="clear" w:color="auto" w:fill="FFFFFF"/>
        <w:spacing w:before="560" w:after="280" w:line="360" w:lineRule="auto"/>
        <w:rPr>
          <w:rFonts w:ascii="KaiTi" w:eastAsia="KaiTi" w:hAnsi="KaiTi"/>
          <w:color w:val="121212"/>
          <w:sz w:val="27"/>
          <w:szCs w:val="27"/>
        </w:rPr>
      </w:pPr>
      <w:r w:rsidRPr="001E1D04">
        <w:rPr>
          <w:rFonts w:ascii="KaiTi" w:eastAsia="KaiTi" w:hAnsi="KaiTi" w:hint="eastAsia"/>
        </w:rPr>
        <w:t>神经心理量表测验</w:t>
      </w:r>
    </w:p>
    <w:p w14:paraId="7588A814" w14:textId="77777777" w:rsidR="00035A75" w:rsidRPr="00CB75DD" w:rsidRDefault="00035A75" w:rsidP="00035A75">
      <w:pPr>
        <w:spacing w:line="360" w:lineRule="auto"/>
        <w:rPr>
          <w:rFonts w:ascii="KaiTi" w:eastAsia="KaiTi" w:hAnsi="KaiTi"/>
          <w:sz w:val="32"/>
          <w:szCs w:val="27"/>
        </w:rPr>
      </w:pPr>
      <w:r w:rsidRPr="00CB75DD">
        <w:rPr>
          <w:rFonts w:ascii="KaiTi" w:eastAsia="KaiTi" w:hAnsi="KaiTi" w:hint="eastAsia"/>
          <w:sz w:val="24"/>
        </w:rPr>
        <w:t>对AD的认知评估领域应该包括记忆功能，言语功能，定向力，应用能力，注意力，知觉和执行功能七个领域，而神经心理评估量表检查在认知能力的定量分析中有着不可或缺的诊断价值，是认知障碍疾病定位定性诊断系统的一个重要组成部分。下面是一些常用的量表：</w:t>
      </w:r>
    </w:p>
    <w:p w14:paraId="16A4FDA8" w14:textId="77777777" w:rsidR="00035A75" w:rsidRPr="00CB75DD" w:rsidRDefault="00035A75" w:rsidP="00035A75">
      <w:pPr>
        <w:spacing w:line="360" w:lineRule="auto"/>
        <w:rPr>
          <w:rFonts w:ascii="KaiTi" w:eastAsia="KaiTi" w:hAnsi="KaiTi" w:hint="eastAsia"/>
          <w:sz w:val="24"/>
          <w:szCs w:val="21"/>
        </w:rPr>
      </w:pPr>
      <w:r w:rsidRPr="00CB75DD">
        <w:rPr>
          <w:rFonts w:ascii="KaiTi" w:eastAsia="KaiTi" w:hAnsi="KaiTi" w:hint="eastAsia"/>
          <w:b/>
          <w:color w:val="FF0000"/>
          <w:sz w:val="24"/>
          <w:szCs w:val="21"/>
        </w:rPr>
        <w:t>简易精神量表（MMSE）：</w:t>
      </w:r>
      <w:r w:rsidRPr="00CB75DD">
        <w:rPr>
          <w:rFonts w:ascii="KaiTi" w:eastAsia="KaiTi" w:hAnsi="KaiTi" w:hint="eastAsia"/>
          <w:sz w:val="24"/>
          <w:szCs w:val="21"/>
        </w:rPr>
        <w:t>内容简练，测定时间短，易被老人接受，是目前临床上测查本病智能损害程度最常见的量表。该量表总</w:t>
      </w:r>
      <w:proofErr w:type="gramStart"/>
      <w:r w:rsidRPr="00CB75DD">
        <w:rPr>
          <w:rFonts w:ascii="KaiTi" w:eastAsia="KaiTi" w:hAnsi="KaiTi" w:hint="eastAsia"/>
          <w:sz w:val="24"/>
          <w:szCs w:val="21"/>
        </w:rPr>
        <w:t>分值数</w:t>
      </w:r>
      <w:proofErr w:type="gramEnd"/>
      <w:r w:rsidRPr="00CB75DD">
        <w:rPr>
          <w:rFonts w:ascii="KaiTi" w:eastAsia="KaiTi" w:hAnsi="KaiTi" w:hint="eastAsia"/>
          <w:sz w:val="24"/>
          <w:szCs w:val="21"/>
        </w:rPr>
        <w:t>与文化教育程度有关，若文盲≤17分；小学程度≤20分；中学程度≤22分；大学程度≤23分，则说明存在认知功能损害。应进一步进行详细神经心理学测验包括记忆力、执行功能、语言、运用和</w:t>
      </w:r>
      <w:proofErr w:type="gramStart"/>
      <w:r w:rsidRPr="00CB75DD">
        <w:rPr>
          <w:rFonts w:ascii="KaiTi" w:eastAsia="KaiTi" w:hAnsi="KaiTi" w:hint="eastAsia"/>
          <w:sz w:val="24"/>
          <w:szCs w:val="21"/>
        </w:rPr>
        <w:t>视空间</w:t>
      </w:r>
      <w:proofErr w:type="gramEnd"/>
      <w:r w:rsidRPr="00CB75DD">
        <w:rPr>
          <w:rFonts w:ascii="KaiTi" w:eastAsia="KaiTi" w:hAnsi="KaiTi" w:hint="eastAsia"/>
          <w:sz w:val="24"/>
          <w:szCs w:val="21"/>
        </w:rPr>
        <w:t>能力等各项认知功能的评估。如AD评定量表认知部分（ADAS-cog）是一个包含11个项目的认知能力成套测验，专门用于检测AD严重程度的变化，但主要用于临床试验。</w:t>
      </w:r>
    </w:p>
    <w:p w14:paraId="52A3C935" w14:textId="77777777" w:rsidR="00035A75" w:rsidRPr="00CB75DD" w:rsidRDefault="00035A75" w:rsidP="00035A75">
      <w:pPr>
        <w:spacing w:line="360" w:lineRule="auto"/>
        <w:rPr>
          <w:rFonts w:ascii="KaiTi" w:eastAsia="KaiTi" w:hAnsi="KaiTi" w:hint="eastAsia"/>
          <w:sz w:val="24"/>
          <w:szCs w:val="21"/>
        </w:rPr>
      </w:pPr>
      <w:r w:rsidRPr="00CB75DD">
        <w:rPr>
          <w:rFonts w:ascii="KaiTi" w:eastAsia="KaiTi" w:hAnsi="KaiTi" w:hint="eastAsia"/>
          <w:b/>
          <w:color w:val="FF0000"/>
          <w:sz w:val="24"/>
          <w:szCs w:val="21"/>
        </w:rPr>
        <w:t>日常生活能力评估：</w:t>
      </w:r>
      <w:r w:rsidRPr="00CB75DD">
        <w:rPr>
          <w:rFonts w:ascii="KaiTi" w:eastAsia="KaiTi" w:hAnsi="KaiTi" w:hint="eastAsia"/>
          <w:sz w:val="24"/>
          <w:szCs w:val="21"/>
        </w:rPr>
        <w:t>如日常生活能力评估（ADL）量表可用于评定患者日常生活功能损害程度。该量表内容有两部分：一是躯体生活自理</w:t>
      </w:r>
      <w:proofErr w:type="gramStart"/>
      <w:r w:rsidRPr="00CB75DD">
        <w:rPr>
          <w:rFonts w:ascii="KaiTi" w:eastAsia="KaiTi" w:hAnsi="KaiTi" w:hint="eastAsia"/>
          <w:sz w:val="24"/>
          <w:szCs w:val="21"/>
        </w:rPr>
        <w:t>能力量表</w:t>
      </w:r>
      <w:proofErr w:type="gramEnd"/>
      <w:r w:rsidRPr="00CB75DD">
        <w:rPr>
          <w:rFonts w:ascii="KaiTi" w:eastAsia="KaiTi" w:hAnsi="KaiTi" w:hint="eastAsia"/>
          <w:sz w:val="24"/>
          <w:szCs w:val="21"/>
        </w:rPr>
        <w:t>，即测定病人照顾自己生活的能力（如穿衣、脱衣、梳头和刷牙等）；二是工具使用</w:t>
      </w:r>
      <w:proofErr w:type="gramStart"/>
      <w:r w:rsidRPr="00CB75DD">
        <w:rPr>
          <w:rFonts w:ascii="KaiTi" w:eastAsia="KaiTi" w:hAnsi="KaiTi" w:hint="eastAsia"/>
          <w:sz w:val="24"/>
          <w:szCs w:val="21"/>
        </w:rPr>
        <w:t>能力量表</w:t>
      </w:r>
      <w:proofErr w:type="gramEnd"/>
      <w:r w:rsidRPr="00CB75DD">
        <w:rPr>
          <w:rFonts w:ascii="KaiTi" w:eastAsia="KaiTi" w:hAnsi="KaiTi" w:hint="eastAsia"/>
          <w:sz w:val="24"/>
          <w:szCs w:val="21"/>
        </w:rPr>
        <w:t>，即测定病人使用日常生活工具的能力（如打电话、乘公共汽车、自己做饭等）。后者更易受疾病早期认知功能下降的影响。</w:t>
      </w:r>
    </w:p>
    <w:p w14:paraId="706AD26A" w14:textId="77777777" w:rsidR="00035A75" w:rsidRPr="00CB75DD" w:rsidRDefault="00035A75" w:rsidP="00035A75">
      <w:pPr>
        <w:spacing w:line="360" w:lineRule="auto"/>
        <w:rPr>
          <w:rFonts w:ascii="KaiTi" w:eastAsia="KaiTi" w:hAnsi="KaiTi" w:hint="eastAsia"/>
          <w:sz w:val="24"/>
          <w:szCs w:val="21"/>
        </w:rPr>
      </w:pPr>
      <w:r w:rsidRPr="00CB75DD">
        <w:rPr>
          <w:rFonts w:ascii="KaiTi" w:eastAsia="KaiTi" w:hAnsi="KaiTi" w:hint="eastAsia"/>
          <w:b/>
          <w:color w:val="FF0000"/>
          <w:sz w:val="24"/>
          <w:szCs w:val="21"/>
        </w:rPr>
        <w:t>行为和精神症状（BPSD）的评估：</w:t>
      </w:r>
      <w:r w:rsidRPr="00CB75DD">
        <w:rPr>
          <w:rFonts w:ascii="KaiTi" w:eastAsia="KaiTi" w:hAnsi="KaiTi" w:hint="eastAsia"/>
          <w:sz w:val="24"/>
          <w:szCs w:val="21"/>
        </w:rPr>
        <w:t>包括阿尔茨海默病行为病理评定量表（BEHAVE-AD）、神经精神症状问卷（NPI）和Cohen-Mansfield激越问卷（CMAI）等，常需要根据知情者提供的信息基线评测，不仅发现症状的有无，还能够评价症状频率、严重程度、对照料者造成的负担，重复评估还能监测治疗效果。Cornell痴呆抑郁量表（CSDD）侧重评价痴呆的激越和抑郁表现，15项老年抑郁量表可用于AD抑郁症状评价。而CSDD灵敏度和特异性更高，但与痴呆的严重程度无关。</w:t>
      </w:r>
    </w:p>
    <w:p w14:paraId="4D171662" w14:textId="77777777" w:rsidR="00035A75" w:rsidRPr="001E1D04" w:rsidRDefault="00035A75" w:rsidP="00035A75">
      <w:pPr>
        <w:pStyle w:val="2"/>
        <w:numPr>
          <w:ilvl w:val="0"/>
          <w:numId w:val="1"/>
        </w:numPr>
        <w:shd w:val="clear" w:color="auto" w:fill="FFFFFF"/>
        <w:spacing w:before="560" w:after="280" w:line="360" w:lineRule="auto"/>
        <w:rPr>
          <w:rFonts w:ascii="KaiTi" w:eastAsia="KaiTi" w:hAnsi="KaiTi"/>
          <w:color w:val="121212"/>
          <w:sz w:val="28"/>
          <w:szCs w:val="28"/>
        </w:rPr>
      </w:pPr>
      <w:r w:rsidRPr="001E1D04">
        <w:rPr>
          <w:rFonts w:ascii="KaiTi" w:eastAsia="KaiTi" w:hAnsi="KaiTi" w:hint="eastAsia"/>
          <w:iCs/>
          <w:color w:val="121212"/>
          <w:sz w:val="28"/>
          <w:szCs w:val="28"/>
        </w:rPr>
        <w:lastRenderedPageBreak/>
        <w:t>血液学检查</w:t>
      </w:r>
    </w:p>
    <w:p w14:paraId="09C27A68" w14:textId="77777777" w:rsidR="00035A75" w:rsidRPr="00702A32" w:rsidRDefault="00035A75" w:rsidP="00035A75">
      <w:pPr>
        <w:spacing w:line="360" w:lineRule="auto"/>
        <w:rPr>
          <w:rFonts w:ascii="KaiTi" w:eastAsia="KaiTi" w:hAnsi="KaiTi" w:hint="eastAsia"/>
          <w:sz w:val="36"/>
          <w:szCs w:val="29"/>
        </w:rPr>
      </w:pPr>
      <w:r w:rsidRPr="00702A32">
        <w:rPr>
          <w:rFonts w:ascii="KaiTi" w:eastAsia="KaiTi" w:hAnsi="KaiTi" w:hint="eastAsia"/>
          <w:sz w:val="24"/>
        </w:rPr>
        <w:t>主要用于发现存在的伴随疾病或并发症、发现潜在的危险因素、排除其他病因所致痴呆。</w:t>
      </w:r>
      <w:r w:rsidRPr="00724BCD">
        <w:rPr>
          <w:rFonts w:ascii="KaiTi" w:eastAsia="KaiTi" w:hAnsi="KaiTi" w:hint="eastAsia"/>
          <w:color w:val="0070C0"/>
          <w:sz w:val="24"/>
        </w:rPr>
        <w:t>包括血常规、血糖、血电解质包括血钙、肾功能和肝功能、维生素B</w:t>
      </w:r>
      <w:r w:rsidRPr="00724BCD">
        <w:rPr>
          <w:rFonts w:ascii="KaiTi" w:eastAsia="KaiTi" w:hAnsi="KaiTi" w:hint="eastAsia"/>
          <w:color w:val="0070C0"/>
          <w:sz w:val="24"/>
          <w:vertAlign w:val="subscript"/>
        </w:rPr>
        <w:t>12</w:t>
      </w:r>
      <w:r w:rsidRPr="00724BCD">
        <w:rPr>
          <w:rFonts w:ascii="KaiTi" w:eastAsia="KaiTi" w:hAnsi="KaiTi" w:hint="eastAsia"/>
          <w:color w:val="0070C0"/>
          <w:sz w:val="24"/>
        </w:rPr>
        <w:t>、叶酸水平、甲状腺素等指标</w:t>
      </w:r>
      <w:r w:rsidRPr="00702A32">
        <w:rPr>
          <w:rFonts w:ascii="KaiTi" w:eastAsia="KaiTi" w:hAnsi="KaiTi" w:hint="eastAsia"/>
          <w:sz w:val="24"/>
        </w:rPr>
        <w:t>。对于高危人群或提示有临床症状的人群应进行梅毒、人体免疫缺陷病毒、</w:t>
      </w:r>
      <w:proofErr w:type="gramStart"/>
      <w:r w:rsidRPr="00702A32">
        <w:rPr>
          <w:rFonts w:ascii="KaiTi" w:eastAsia="KaiTi" w:hAnsi="KaiTi" w:hint="eastAsia"/>
          <w:sz w:val="24"/>
        </w:rPr>
        <w:t>伯氏疏螺旋体</w:t>
      </w:r>
      <w:proofErr w:type="gramEnd"/>
      <w:r w:rsidRPr="00702A32">
        <w:rPr>
          <w:rFonts w:ascii="KaiTi" w:eastAsia="KaiTi" w:hAnsi="KaiTi" w:hint="eastAsia"/>
          <w:sz w:val="24"/>
        </w:rPr>
        <w:t>血清学检查。</w:t>
      </w:r>
    </w:p>
    <w:p w14:paraId="04DEA23B" w14:textId="77777777" w:rsidR="00035A75" w:rsidRPr="001E1D04" w:rsidRDefault="00035A75" w:rsidP="00035A75">
      <w:pPr>
        <w:pStyle w:val="2"/>
        <w:numPr>
          <w:ilvl w:val="0"/>
          <w:numId w:val="1"/>
        </w:numPr>
        <w:shd w:val="clear" w:color="auto" w:fill="FFFFFF"/>
        <w:spacing w:before="560" w:after="280" w:line="360" w:lineRule="auto"/>
        <w:rPr>
          <w:rFonts w:ascii="KaiTi" w:eastAsia="KaiTi" w:hAnsi="KaiTi"/>
          <w:iCs/>
          <w:color w:val="121212"/>
          <w:sz w:val="28"/>
          <w:szCs w:val="28"/>
        </w:rPr>
      </w:pPr>
      <w:r w:rsidRPr="001E1D04">
        <w:rPr>
          <w:rFonts w:ascii="KaiTi" w:eastAsia="KaiTi" w:hAnsi="KaiTi" w:hint="eastAsia"/>
          <w:iCs/>
          <w:color w:val="121212"/>
          <w:sz w:val="28"/>
          <w:szCs w:val="28"/>
        </w:rPr>
        <w:t>神经影像学检查</w:t>
      </w:r>
    </w:p>
    <w:p w14:paraId="6C02589E" w14:textId="77777777" w:rsidR="00035A75" w:rsidRPr="00702A32" w:rsidRDefault="00035A75" w:rsidP="00035A75">
      <w:pPr>
        <w:spacing w:line="360" w:lineRule="auto"/>
        <w:rPr>
          <w:rFonts w:ascii="KaiTi" w:eastAsia="KaiTi" w:hAnsi="KaiTi"/>
          <w:color w:val="121212"/>
          <w:sz w:val="24"/>
          <w:szCs w:val="21"/>
          <w:shd w:val="clear" w:color="auto" w:fill="FFFFFF"/>
        </w:rPr>
      </w:pPr>
      <w:r w:rsidRPr="00702A32">
        <w:rPr>
          <w:rFonts w:ascii="KaiTi" w:eastAsia="KaiTi" w:hAnsi="KaiTi" w:hint="eastAsia"/>
          <w:color w:val="121212"/>
          <w:sz w:val="24"/>
          <w:szCs w:val="21"/>
          <w:shd w:val="clear" w:color="auto" w:fill="FFFFFF"/>
        </w:rPr>
        <w:t>影像学检查是诊断AD的重要手段，包括</w:t>
      </w:r>
      <w:r w:rsidRPr="00702A32">
        <w:rPr>
          <w:rFonts w:ascii="KaiTi" w:eastAsia="KaiTi" w:hAnsi="KaiTi" w:hint="eastAsia"/>
          <w:color w:val="FF0000"/>
          <w:sz w:val="24"/>
          <w:szCs w:val="21"/>
          <w:shd w:val="clear" w:color="auto" w:fill="FFFFFF"/>
        </w:rPr>
        <w:t>CT、MRI和PET</w:t>
      </w:r>
      <w:r w:rsidRPr="00702A32">
        <w:rPr>
          <w:rFonts w:ascii="KaiTi" w:eastAsia="KaiTi" w:hAnsi="KaiTi" w:hint="eastAsia"/>
          <w:color w:val="FF0000"/>
          <w:sz w:val="24"/>
          <w:szCs w:val="21"/>
        </w:rPr>
        <w:br/>
      </w:r>
      <w:r w:rsidRPr="00702A32">
        <w:rPr>
          <w:rFonts w:ascii="KaiTi" w:eastAsia="KaiTi" w:hAnsi="KaiTi" w:hint="eastAsia"/>
          <w:b/>
          <w:color w:val="121212"/>
          <w:sz w:val="24"/>
          <w:szCs w:val="21"/>
          <w:shd w:val="clear" w:color="auto" w:fill="FFFFFF"/>
        </w:rPr>
        <w:t>结构影像学：</w:t>
      </w:r>
      <w:r w:rsidRPr="00702A32">
        <w:rPr>
          <w:rFonts w:ascii="KaiTi" w:eastAsia="KaiTi" w:hAnsi="KaiTi" w:hint="eastAsia"/>
          <w:color w:val="121212"/>
          <w:sz w:val="24"/>
          <w:szCs w:val="21"/>
          <w:shd w:val="clear" w:color="auto" w:fill="FFFFFF"/>
        </w:rPr>
        <w:t>用于排除其他潜在疾病和发现AD的特异性影像学表现。</w:t>
      </w:r>
      <w:r w:rsidRPr="00702A32">
        <w:rPr>
          <w:rFonts w:ascii="KaiTi" w:eastAsia="KaiTi" w:hAnsi="KaiTi" w:hint="eastAsia"/>
          <w:color w:val="121212"/>
          <w:sz w:val="24"/>
          <w:szCs w:val="21"/>
        </w:rPr>
        <w:br/>
      </w:r>
      <w:r w:rsidRPr="00702A32">
        <w:rPr>
          <w:rFonts w:ascii="KaiTi" w:eastAsia="KaiTi" w:hAnsi="KaiTi" w:hint="eastAsia"/>
          <w:color w:val="121212"/>
          <w:sz w:val="24"/>
          <w:szCs w:val="21"/>
          <w:shd w:val="clear" w:color="auto" w:fill="FFFFFF"/>
        </w:rPr>
        <w:t>CT一般表现为脑萎缩，脑沟增宽，脑回变窄和脑室扩大。头CT（薄层扫描）和MRI（冠状位）检查，</w:t>
      </w:r>
      <w:r w:rsidRPr="00724BCD">
        <w:rPr>
          <w:rFonts w:ascii="KaiTi" w:eastAsia="KaiTi" w:hAnsi="KaiTi" w:hint="eastAsia"/>
          <w:color w:val="0070C0"/>
          <w:sz w:val="24"/>
          <w:szCs w:val="21"/>
          <w:shd w:val="clear" w:color="auto" w:fill="FFFFFF"/>
        </w:rPr>
        <w:t>可显示脑皮质萎缩明显，特别是海马及内侧颞叶，</w:t>
      </w:r>
      <w:r w:rsidRPr="00702A32">
        <w:rPr>
          <w:rFonts w:ascii="KaiTi" w:eastAsia="KaiTi" w:hAnsi="KaiTi" w:hint="eastAsia"/>
          <w:color w:val="121212"/>
          <w:sz w:val="24"/>
          <w:szCs w:val="21"/>
          <w:shd w:val="clear" w:color="auto" w:fill="FFFFFF"/>
        </w:rPr>
        <w:t>支持AD的临床诊断。与CT相比，MRI对检测皮质下血管改变（例如关键部位梗死）和提示有特殊疾病（如多发性硬化、</w:t>
      </w:r>
      <w:proofErr w:type="gramStart"/>
      <w:r w:rsidRPr="00702A32">
        <w:rPr>
          <w:rFonts w:ascii="KaiTi" w:eastAsia="KaiTi" w:hAnsi="KaiTi" w:hint="eastAsia"/>
          <w:color w:val="121212"/>
          <w:sz w:val="24"/>
          <w:szCs w:val="21"/>
          <w:shd w:val="clear" w:color="auto" w:fill="FFFFFF"/>
        </w:rPr>
        <w:t>进行性核上</w:t>
      </w:r>
      <w:proofErr w:type="gramEnd"/>
      <w:r w:rsidRPr="00702A32">
        <w:rPr>
          <w:rFonts w:ascii="KaiTi" w:eastAsia="KaiTi" w:hAnsi="KaiTi" w:hint="eastAsia"/>
          <w:color w:val="121212"/>
          <w:sz w:val="24"/>
          <w:szCs w:val="21"/>
          <w:shd w:val="clear" w:color="auto" w:fill="FFFFFF"/>
        </w:rPr>
        <w:t>性麻痹、多系统萎缩、皮质基底节变性、</w:t>
      </w:r>
      <w:proofErr w:type="gramStart"/>
      <w:r w:rsidRPr="00702A32">
        <w:rPr>
          <w:rFonts w:ascii="KaiTi" w:eastAsia="KaiTi" w:hAnsi="KaiTi" w:hint="eastAsia"/>
          <w:color w:val="121212"/>
          <w:sz w:val="24"/>
          <w:szCs w:val="21"/>
          <w:shd w:val="clear" w:color="auto" w:fill="FFFFFF"/>
        </w:rPr>
        <w:t>朊</w:t>
      </w:r>
      <w:proofErr w:type="gramEnd"/>
      <w:r w:rsidRPr="00702A32">
        <w:rPr>
          <w:rFonts w:ascii="KaiTi" w:eastAsia="KaiTi" w:hAnsi="KaiTi" w:hint="eastAsia"/>
          <w:color w:val="121212"/>
          <w:sz w:val="24"/>
          <w:szCs w:val="21"/>
          <w:shd w:val="clear" w:color="auto" w:fill="FFFFFF"/>
        </w:rPr>
        <w:t>蛋白病、额颞叶痴呆等）的改变更敏感。</w:t>
      </w:r>
      <w:r w:rsidRPr="00702A32">
        <w:rPr>
          <w:rFonts w:ascii="KaiTi" w:eastAsia="KaiTi" w:hAnsi="KaiTi" w:hint="eastAsia"/>
          <w:color w:val="121212"/>
          <w:sz w:val="24"/>
          <w:szCs w:val="21"/>
        </w:rPr>
        <w:br/>
      </w:r>
      <w:r w:rsidRPr="00702A32">
        <w:rPr>
          <w:rFonts w:ascii="KaiTi" w:eastAsia="KaiTi" w:hAnsi="KaiTi" w:hint="eastAsia"/>
          <w:b/>
          <w:color w:val="121212"/>
          <w:sz w:val="24"/>
          <w:szCs w:val="21"/>
          <w:shd w:val="clear" w:color="auto" w:fill="FFFFFF"/>
        </w:rPr>
        <w:t>功能性神经影像：</w:t>
      </w:r>
      <w:r w:rsidRPr="00702A32">
        <w:rPr>
          <w:rFonts w:ascii="KaiTi" w:eastAsia="KaiTi" w:hAnsi="KaiTi" w:hint="eastAsia"/>
          <w:color w:val="121212"/>
          <w:sz w:val="24"/>
          <w:szCs w:val="21"/>
          <w:shd w:val="clear" w:color="auto" w:fill="FFFFFF"/>
        </w:rPr>
        <w:t>如正电子扫描（PET）和单光子发射计算机断层扫描（SPECT）可提高痴呆诊断可信度。</w:t>
      </w:r>
      <w:r w:rsidRPr="00702A32">
        <w:rPr>
          <w:rFonts w:ascii="KaiTi" w:eastAsia="KaiTi" w:hAnsi="KaiTi" w:hint="eastAsia"/>
          <w:color w:val="121212"/>
          <w:sz w:val="24"/>
          <w:szCs w:val="21"/>
        </w:rPr>
        <w:br/>
      </w:r>
      <w:r w:rsidRPr="00702A32">
        <w:rPr>
          <w:rFonts w:ascii="KaiTi" w:eastAsia="KaiTi" w:hAnsi="KaiTi" w:hint="eastAsia"/>
          <w:color w:val="121212"/>
          <w:sz w:val="24"/>
          <w:szCs w:val="21"/>
          <w:shd w:val="clear" w:color="auto" w:fill="FFFFFF"/>
        </w:rPr>
        <w:t>PET是一种比较新的影像方法，包括FDG-PET和淀粉样蛋白-PET，前者是脑代谢的有效生物标记物，反映突触活性，而后者是反映脑皮层中淀粉样蛋白沉积的生物标记物。它们都是早期诊断AD的重要生物标志物。</w:t>
      </w:r>
      <w:r w:rsidRPr="00702A32">
        <w:rPr>
          <w:rFonts w:ascii="KaiTi" w:eastAsia="KaiTi" w:hAnsi="KaiTi" w:hint="eastAsia"/>
          <w:color w:val="121212"/>
          <w:sz w:val="24"/>
          <w:szCs w:val="21"/>
        </w:rPr>
        <w:br/>
      </w:r>
      <w:r w:rsidRPr="00702A32">
        <w:rPr>
          <w:rFonts w:ascii="KaiTi" w:eastAsia="KaiTi" w:hAnsi="KaiTi" w:hint="eastAsia"/>
          <w:color w:val="FF0000"/>
          <w:sz w:val="24"/>
          <w:szCs w:val="21"/>
          <w:shd w:val="clear" w:color="auto" w:fill="FFFFFF"/>
        </w:rPr>
        <w:t>18F-脱氧核糖葡萄糖正电子扫描（18FDG-PET）</w:t>
      </w:r>
      <w:r w:rsidRPr="00702A32">
        <w:rPr>
          <w:rFonts w:ascii="KaiTi" w:eastAsia="KaiTi" w:hAnsi="KaiTi" w:hint="eastAsia"/>
          <w:color w:val="121212"/>
          <w:sz w:val="24"/>
          <w:szCs w:val="21"/>
          <w:shd w:val="clear" w:color="auto" w:fill="FFFFFF"/>
        </w:rPr>
        <w:t>可显示</w:t>
      </w:r>
      <w:proofErr w:type="gramStart"/>
      <w:r w:rsidRPr="00702A32">
        <w:rPr>
          <w:rFonts w:ascii="KaiTi" w:eastAsia="KaiTi" w:hAnsi="KaiTi" w:hint="eastAsia"/>
          <w:color w:val="2E74B5" w:themeColor="accent5" w:themeShade="BF"/>
          <w:sz w:val="24"/>
          <w:szCs w:val="21"/>
          <w:shd w:val="clear" w:color="auto" w:fill="FFFFFF"/>
        </w:rPr>
        <w:t>颞</w:t>
      </w:r>
      <w:proofErr w:type="gramEnd"/>
      <w:r w:rsidRPr="00702A32">
        <w:rPr>
          <w:rFonts w:ascii="KaiTi" w:eastAsia="KaiTi" w:hAnsi="KaiTi" w:hint="eastAsia"/>
          <w:color w:val="2E74B5" w:themeColor="accent5" w:themeShade="BF"/>
          <w:sz w:val="24"/>
          <w:szCs w:val="21"/>
          <w:shd w:val="clear" w:color="auto" w:fill="FFFFFF"/>
        </w:rPr>
        <w:t>顶和上</w:t>
      </w:r>
      <w:proofErr w:type="gramStart"/>
      <w:r w:rsidRPr="00702A32">
        <w:rPr>
          <w:rFonts w:ascii="KaiTi" w:eastAsia="KaiTi" w:hAnsi="KaiTi" w:hint="eastAsia"/>
          <w:color w:val="2E74B5" w:themeColor="accent5" w:themeShade="BF"/>
          <w:sz w:val="24"/>
          <w:szCs w:val="21"/>
          <w:shd w:val="clear" w:color="auto" w:fill="FFFFFF"/>
        </w:rPr>
        <w:t>颞</w:t>
      </w:r>
      <w:proofErr w:type="gramEnd"/>
      <w:r w:rsidRPr="00702A32">
        <w:rPr>
          <w:rFonts w:ascii="KaiTi" w:eastAsia="KaiTi" w:hAnsi="KaiTi" w:hint="eastAsia"/>
          <w:color w:val="2E74B5" w:themeColor="accent5" w:themeShade="BF"/>
          <w:sz w:val="24"/>
          <w:szCs w:val="21"/>
          <w:shd w:val="clear" w:color="auto" w:fill="FFFFFF"/>
        </w:rPr>
        <w:t>/后颞区、后扣带回皮质和楔前叶葡萄糖代谢降低，揭示AD的特异性异常改变。</w:t>
      </w:r>
      <w:r w:rsidRPr="00702A32">
        <w:rPr>
          <w:rFonts w:ascii="KaiTi" w:eastAsia="KaiTi" w:hAnsi="KaiTi" w:hint="eastAsia"/>
          <w:color w:val="121212"/>
          <w:sz w:val="24"/>
          <w:szCs w:val="21"/>
          <w:shd w:val="clear" w:color="auto" w:fill="FFFFFF"/>
        </w:rPr>
        <w:t>AD晚期可见额叶代谢减低。18FDG-PET对AD病理学诊断的灵敏度为93%，特异性为63%，已成为一种实用性较强的工具，尤其适用于AD与其他痴呆的鉴别诊断。</w:t>
      </w:r>
    </w:p>
    <w:p w14:paraId="310EA587" w14:textId="77777777" w:rsidR="00035A75" w:rsidRPr="001E1D04" w:rsidRDefault="00035A75" w:rsidP="00035A75">
      <w:pPr>
        <w:pStyle w:val="2"/>
        <w:numPr>
          <w:ilvl w:val="0"/>
          <w:numId w:val="1"/>
        </w:numPr>
        <w:rPr>
          <w:rFonts w:ascii="KaiTi" w:eastAsia="KaiTi" w:hAnsi="KaiTi" w:hint="eastAsia"/>
          <w:sz w:val="28"/>
          <w:szCs w:val="28"/>
        </w:rPr>
      </w:pPr>
      <w:r w:rsidRPr="001E1D04">
        <w:rPr>
          <w:rFonts w:ascii="KaiTi" w:eastAsia="KaiTi" w:hAnsi="KaiTi" w:hint="eastAsia"/>
          <w:sz w:val="28"/>
          <w:szCs w:val="28"/>
        </w:rPr>
        <w:t>脑电图（EEG）</w:t>
      </w:r>
    </w:p>
    <w:p w14:paraId="19F0F6E6" w14:textId="77777777" w:rsidR="00035A75" w:rsidRPr="00702A32" w:rsidRDefault="00035A75" w:rsidP="00035A75">
      <w:pPr>
        <w:pStyle w:val="a7"/>
        <w:shd w:val="clear" w:color="auto" w:fill="FFFFFF"/>
        <w:spacing w:before="336" w:beforeAutospacing="0" w:after="336" w:afterAutospacing="0" w:line="360" w:lineRule="auto"/>
        <w:rPr>
          <w:rFonts w:ascii="KaiTi" w:eastAsia="KaiTi" w:hAnsi="KaiTi" w:hint="eastAsia"/>
          <w:color w:val="121212"/>
          <w:szCs w:val="21"/>
        </w:rPr>
      </w:pPr>
      <w:r w:rsidRPr="00702A32">
        <w:rPr>
          <w:rFonts w:ascii="KaiTi" w:eastAsia="KaiTi" w:hAnsi="KaiTi" w:hint="eastAsia"/>
          <w:color w:val="121212"/>
          <w:szCs w:val="21"/>
        </w:rPr>
        <w:t>AD的EEG表现</w:t>
      </w:r>
      <w:r w:rsidRPr="00724BCD">
        <w:rPr>
          <w:rFonts w:ascii="KaiTi" w:eastAsia="KaiTi" w:hAnsi="KaiTi" w:hint="eastAsia"/>
          <w:color w:val="0070C0"/>
          <w:szCs w:val="21"/>
        </w:rPr>
        <w:t>为α波减少、θ波增高、平均频率降低的特征</w:t>
      </w:r>
      <w:r w:rsidRPr="00702A32">
        <w:rPr>
          <w:rFonts w:ascii="KaiTi" w:eastAsia="KaiTi" w:hAnsi="KaiTi" w:hint="eastAsia"/>
          <w:color w:val="121212"/>
          <w:szCs w:val="21"/>
        </w:rPr>
        <w:t>。在AD早期，</w:t>
      </w:r>
      <w:r w:rsidRPr="00724BCD">
        <w:rPr>
          <w:rFonts w:ascii="KaiTi" w:eastAsia="KaiTi" w:hAnsi="KaiTi" w:hint="eastAsia"/>
          <w:color w:val="0070C0"/>
          <w:szCs w:val="21"/>
        </w:rPr>
        <w:t>脑电波主要表现为波幅降低和α节律减慢</w:t>
      </w:r>
      <w:r w:rsidRPr="00702A32">
        <w:rPr>
          <w:rFonts w:ascii="KaiTi" w:eastAsia="KaiTi" w:hAnsi="KaiTi" w:hint="eastAsia"/>
          <w:color w:val="121212"/>
          <w:szCs w:val="21"/>
        </w:rPr>
        <w:t>，随着病情的进展，可以逐渐出现较广</w:t>
      </w:r>
      <w:r w:rsidRPr="00702A32">
        <w:rPr>
          <w:rFonts w:ascii="KaiTi" w:eastAsia="KaiTi" w:hAnsi="KaiTi" w:hint="eastAsia"/>
          <w:color w:val="121212"/>
          <w:szCs w:val="21"/>
        </w:rPr>
        <w:lastRenderedPageBreak/>
        <w:t>泛的θ活动，以额叶，顶叶明显，晚期则表现为弥漫性慢波。但14%的患者在疾病早期EEG正常。EEG用于AD的鉴别诊断，可</w:t>
      </w:r>
      <w:r w:rsidRPr="00724BCD">
        <w:rPr>
          <w:rFonts w:ascii="KaiTi" w:eastAsia="KaiTi" w:hAnsi="KaiTi" w:hint="eastAsia"/>
          <w:color w:val="0070C0"/>
          <w:szCs w:val="21"/>
        </w:rPr>
        <w:t>提供</w:t>
      </w:r>
      <w:proofErr w:type="gramStart"/>
      <w:r w:rsidRPr="00724BCD">
        <w:rPr>
          <w:rFonts w:ascii="KaiTi" w:eastAsia="KaiTi" w:hAnsi="KaiTi" w:hint="eastAsia"/>
          <w:color w:val="0070C0"/>
          <w:szCs w:val="21"/>
        </w:rPr>
        <w:t>朊</w:t>
      </w:r>
      <w:proofErr w:type="gramEnd"/>
      <w:r w:rsidRPr="00724BCD">
        <w:rPr>
          <w:rFonts w:ascii="KaiTi" w:eastAsia="KaiTi" w:hAnsi="KaiTi" w:hint="eastAsia"/>
          <w:color w:val="0070C0"/>
          <w:szCs w:val="21"/>
        </w:rPr>
        <w:t>蛋白病的早期证据</w:t>
      </w:r>
      <w:r w:rsidRPr="00702A32">
        <w:rPr>
          <w:rFonts w:ascii="KaiTi" w:eastAsia="KaiTi" w:hAnsi="KaiTi" w:hint="eastAsia"/>
          <w:color w:val="121212"/>
          <w:szCs w:val="21"/>
        </w:rPr>
        <w:t>，或提示可能存在中毒-代谢异常、暂时性</w:t>
      </w:r>
      <w:proofErr w:type="gramStart"/>
      <w:r w:rsidRPr="00702A32">
        <w:rPr>
          <w:rFonts w:ascii="KaiTi" w:eastAsia="KaiTi" w:hAnsi="KaiTi" w:hint="eastAsia"/>
          <w:color w:val="121212"/>
          <w:szCs w:val="21"/>
        </w:rPr>
        <w:t>癫痫性失忆</w:t>
      </w:r>
      <w:proofErr w:type="gramEnd"/>
      <w:r w:rsidRPr="00702A32">
        <w:rPr>
          <w:rFonts w:ascii="KaiTi" w:eastAsia="KaiTi" w:hAnsi="KaiTi" w:hint="eastAsia"/>
          <w:color w:val="121212"/>
          <w:szCs w:val="21"/>
        </w:rPr>
        <w:t>或其他癫痫疾病。</w:t>
      </w:r>
    </w:p>
    <w:p w14:paraId="4C3C9AA3" w14:textId="77777777" w:rsidR="00035A75" w:rsidRPr="001E1D04" w:rsidRDefault="00035A75" w:rsidP="00035A75">
      <w:pPr>
        <w:pStyle w:val="2"/>
        <w:numPr>
          <w:ilvl w:val="0"/>
          <w:numId w:val="1"/>
        </w:numPr>
        <w:rPr>
          <w:rFonts w:ascii="KaiTi" w:eastAsia="KaiTi" w:hAnsi="KaiTi"/>
          <w:sz w:val="28"/>
          <w:szCs w:val="28"/>
        </w:rPr>
      </w:pPr>
      <w:r w:rsidRPr="001E1D04">
        <w:rPr>
          <w:rFonts w:ascii="KaiTi" w:eastAsia="KaiTi" w:hAnsi="KaiTi" w:hint="eastAsia"/>
          <w:sz w:val="28"/>
          <w:szCs w:val="28"/>
        </w:rPr>
        <w:t>脑脊液监测</w:t>
      </w:r>
    </w:p>
    <w:p w14:paraId="4C054B30" w14:textId="77777777" w:rsidR="00035A75" w:rsidRPr="00702A32" w:rsidRDefault="00035A75" w:rsidP="00035A75">
      <w:pPr>
        <w:spacing w:line="360" w:lineRule="auto"/>
        <w:rPr>
          <w:rFonts w:ascii="KaiTi" w:eastAsia="KaiTi" w:hAnsi="KaiTi" w:hint="eastAsia"/>
          <w:sz w:val="24"/>
          <w:shd w:val="clear" w:color="auto" w:fill="FFFFFF"/>
        </w:rPr>
      </w:pPr>
      <w:r w:rsidRPr="00702A32">
        <w:rPr>
          <w:rFonts w:ascii="KaiTi" w:eastAsia="KaiTi" w:hAnsi="KaiTi"/>
          <w:bCs/>
          <w:sz w:val="24"/>
          <w:shd w:val="clear" w:color="auto" w:fill="FFFFFF"/>
        </w:rPr>
        <w:t>脑脊液细胞计数、蛋白质、葡萄糖和蛋白电泳分析：血管炎、感染或脱髓鞘疾病疑似者应进行检测。快速进展的痴呆患者应行14-3-3蛋白检查，有助于</w:t>
      </w:r>
      <w:proofErr w:type="gramStart"/>
      <w:r w:rsidRPr="00702A32">
        <w:rPr>
          <w:rFonts w:ascii="KaiTi" w:eastAsia="KaiTi" w:hAnsi="KaiTi"/>
          <w:bCs/>
          <w:sz w:val="24"/>
          <w:shd w:val="clear" w:color="auto" w:fill="FFFFFF"/>
        </w:rPr>
        <w:t>朊</w:t>
      </w:r>
      <w:proofErr w:type="gramEnd"/>
      <w:r w:rsidRPr="00702A32">
        <w:rPr>
          <w:rFonts w:ascii="KaiTi" w:eastAsia="KaiTi" w:hAnsi="KaiTi"/>
          <w:bCs/>
          <w:sz w:val="24"/>
          <w:shd w:val="clear" w:color="auto" w:fill="FFFFFF"/>
        </w:rPr>
        <w:t>蛋白病的诊断。</w:t>
      </w:r>
      <w:r w:rsidRPr="00702A32">
        <w:rPr>
          <w:rFonts w:ascii="KaiTi" w:eastAsia="KaiTi" w:hAnsi="KaiTi"/>
          <w:sz w:val="24"/>
        </w:rPr>
        <w:br/>
      </w:r>
      <w:r w:rsidRPr="00702A32">
        <w:rPr>
          <w:rFonts w:ascii="KaiTi" w:eastAsia="KaiTi" w:hAnsi="KaiTi"/>
          <w:sz w:val="24"/>
          <w:shd w:val="clear" w:color="auto" w:fill="FFFFFF"/>
        </w:rPr>
        <w:t>脑脊液β淀粉样蛋白、Tau蛋白检测：AD患者的脑脊液中β淀粉样蛋白（Aβ42）水平下降（由于Aβ42在脑内沉积，使得脑脊液中Aβ42含量减少），总Tau蛋白或磷酸化Tau蛋白升高。研究显示，Aβ42诊断的灵敏度86%，特异性90%；总Tau蛋白诊断的灵敏度81%，特异性90%；磷酸化Tau蛋白诊断的灵敏度80%和特异性92%；Aβ42和总Tau蛋白联合诊断AD与对照比较的灵敏度可达85%～94%，特异性为83%～100%。这些标记物可用于支持AD诊断，但鉴别AD与其他痴呆诊断时特异性低（39%～90%）。目前尚缺乏统一的检测和样本处理方法。</w:t>
      </w:r>
      <w:r w:rsidRPr="00702A32">
        <w:rPr>
          <w:rFonts w:ascii="KaiTi" w:eastAsia="KaiTi" w:hAnsi="KaiTi"/>
          <w:sz w:val="24"/>
        </w:rPr>
        <w:br/>
      </w:r>
      <w:r w:rsidRPr="00702A32">
        <w:rPr>
          <w:rFonts w:ascii="KaiTi" w:eastAsia="KaiTi" w:hAnsi="KaiTi"/>
          <w:sz w:val="24"/>
          <w:shd w:val="clear" w:color="auto" w:fill="FFFFFF"/>
        </w:rPr>
        <w:t>通过检测脑脊液中的Aβ和tau蛋白水平，尤其是联合Aβ和tau</w:t>
      </w:r>
      <w:r w:rsidRPr="00702A32">
        <w:rPr>
          <w:rFonts w:ascii="KaiTi" w:eastAsia="KaiTi" w:hAnsi="KaiTi" w:hint="eastAsia"/>
          <w:sz w:val="24"/>
          <w:shd w:val="clear" w:color="auto" w:fill="FFFFFF"/>
        </w:rPr>
        <w:t>-</w:t>
      </w:r>
      <w:r w:rsidRPr="00702A32">
        <w:rPr>
          <w:rFonts w:ascii="KaiTi" w:eastAsia="KaiTi" w:hAnsi="KaiTi"/>
          <w:sz w:val="24"/>
          <w:shd w:val="clear" w:color="auto" w:fill="FFFFFF"/>
        </w:rPr>
        <w:t>PET检查，可以用于在没有症状的临床前期诊断AD。为AD的早期干预提供可能。</w:t>
      </w:r>
      <w:r w:rsidRPr="00702A32">
        <w:rPr>
          <w:rFonts w:ascii="KaiTi" w:eastAsia="KaiTi" w:hAnsi="KaiTi"/>
          <w:sz w:val="24"/>
        </w:rPr>
        <w:br/>
      </w:r>
      <w:r w:rsidRPr="00702A32">
        <w:rPr>
          <w:rFonts w:ascii="KaiTi" w:eastAsia="KaiTi" w:hAnsi="KaiTi"/>
          <w:sz w:val="24"/>
          <w:shd w:val="clear" w:color="auto" w:fill="FFFFFF"/>
        </w:rPr>
        <w:t>但是，由于脑脊液检查的有创性，并且各项检测值的界限还有待确定，所以在临床上并没有得到普遍应用。</w:t>
      </w:r>
    </w:p>
    <w:p w14:paraId="02224077" w14:textId="77777777" w:rsidR="00035A75" w:rsidRPr="001E1D04" w:rsidRDefault="00035A75" w:rsidP="00035A75">
      <w:pPr>
        <w:pStyle w:val="2"/>
        <w:numPr>
          <w:ilvl w:val="0"/>
          <w:numId w:val="1"/>
        </w:numPr>
        <w:shd w:val="clear" w:color="auto" w:fill="FFFFFF"/>
        <w:spacing w:before="560" w:after="280" w:line="360" w:lineRule="auto"/>
        <w:rPr>
          <w:rFonts w:ascii="KaiTi" w:eastAsia="KaiTi" w:hAnsi="KaiTi" w:hint="eastAsia"/>
          <w:color w:val="121212"/>
          <w:sz w:val="28"/>
          <w:szCs w:val="28"/>
        </w:rPr>
      </w:pPr>
      <w:r w:rsidRPr="001E1D04">
        <w:rPr>
          <w:rFonts w:ascii="KaiTi" w:eastAsia="KaiTi" w:hAnsi="KaiTi" w:hint="eastAsia"/>
          <w:iCs/>
          <w:color w:val="121212"/>
          <w:sz w:val="28"/>
          <w:szCs w:val="28"/>
        </w:rPr>
        <w:t>基因检测</w:t>
      </w:r>
    </w:p>
    <w:p w14:paraId="770FC867" w14:textId="77777777" w:rsidR="00035A75" w:rsidRDefault="00035A75" w:rsidP="00035A75">
      <w:pPr>
        <w:pStyle w:val="a7"/>
        <w:shd w:val="clear" w:color="auto" w:fill="FFFFFF"/>
        <w:spacing w:before="336" w:beforeAutospacing="0" w:after="336" w:afterAutospacing="0" w:line="360" w:lineRule="auto"/>
        <w:jc w:val="both"/>
        <w:rPr>
          <w:rFonts w:ascii="KaiTi" w:eastAsia="KaiTi" w:hAnsi="KaiTi"/>
          <w:color w:val="121212"/>
          <w:szCs w:val="21"/>
        </w:rPr>
      </w:pPr>
      <w:r w:rsidRPr="00702A32">
        <w:rPr>
          <w:rFonts w:ascii="KaiTi" w:eastAsia="KaiTi" w:hAnsi="KaiTi" w:hint="eastAsia"/>
          <w:color w:val="121212"/>
          <w:szCs w:val="21"/>
        </w:rPr>
        <w:t>可为诊断提供参考。淀粉样蛋白前体蛋白基因（APP）、早老素1、2基因（PS1、PS2）突变在家族性早发型AD中占50%。载脂蛋白APOE4基因检测可作为散发性AD的参考依据。</w:t>
      </w:r>
    </w:p>
    <w:p w14:paraId="22622BF9" w14:textId="77777777" w:rsidR="006D7332" w:rsidRPr="00035A75" w:rsidRDefault="006D7332"/>
    <w:sectPr w:rsidR="006D7332" w:rsidRPr="00035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22022" w14:textId="77777777" w:rsidR="00F23996" w:rsidRDefault="00F23996" w:rsidP="00035A75">
      <w:r>
        <w:separator/>
      </w:r>
    </w:p>
  </w:endnote>
  <w:endnote w:type="continuationSeparator" w:id="0">
    <w:p w14:paraId="3171132D" w14:textId="77777777" w:rsidR="00F23996" w:rsidRDefault="00F23996" w:rsidP="0003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C196A" w14:textId="77777777" w:rsidR="00F23996" w:rsidRDefault="00F23996" w:rsidP="00035A75">
      <w:r>
        <w:separator/>
      </w:r>
    </w:p>
  </w:footnote>
  <w:footnote w:type="continuationSeparator" w:id="0">
    <w:p w14:paraId="22AA1416" w14:textId="77777777" w:rsidR="00F23996" w:rsidRDefault="00F23996" w:rsidP="0003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5pt;height:11.55pt" o:bullet="t">
        <v:imagedata r:id="rId1" o:title="mso5853"/>
      </v:shape>
    </w:pict>
  </w:numPicBullet>
  <w:abstractNum w:abstractNumId="0" w15:restartNumberingAfterBreak="0">
    <w:nsid w:val="26DD30B4"/>
    <w:multiLevelType w:val="hybridMultilevel"/>
    <w:tmpl w:val="94DC3D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62"/>
    <w:rsid w:val="00035A75"/>
    <w:rsid w:val="003D7862"/>
    <w:rsid w:val="006433B1"/>
    <w:rsid w:val="006A2A71"/>
    <w:rsid w:val="006D7332"/>
    <w:rsid w:val="00772AF6"/>
    <w:rsid w:val="00A62146"/>
    <w:rsid w:val="00F2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E8765-9DC8-404A-9685-CBE0CFA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5A75"/>
    <w:pPr>
      <w:widowControl w:val="0"/>
      <w:jc w:val="both"/>
    </w:pPr>
    <w:rPr>
      <w:rFonts w:ascii="Calibri" w:eastAsia="宋体" w:hAnsi="Calibri" w:cs="Times New Roman"/>
    </w:rPr>
  </w:style>
  <w:style w:type="paragraph" w:styleId="1">
    <w:name w:val="heading 1"/>
    <w:basedOn w:val="a"/>
    <w:next w:val="a"/>
    <w:link w:val="10"/>
    <w:uiPriority w:val="9"/>
    <w:qFormat/>
    <w:rsid w:val="00035A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5A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A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A75"/>
    <w:rPr>
      <w:sz w:val="18"/>
      <w:szCs w:val="18"/>
    </w:rPr>
  </w:style>
  <w:style w:type="paragraph" w:styleId="a5">
    <w:name w:val="footer"/>
    <w:basedOn w:val="a"/>
    <w:link w:val="a6"/>
    <w:uiPriority w:val="99"/>
    <w:unhideWhenUsed/>
    <w:rsid w:val="00035A75"/>
    <w:pPr>
      <w:tabs>
        <w:tab w:val="center" w:pos="4153"/>
        <w:tab w:val="right" w:pos="8306"/>
      </w:tabs>
      <w:snapToGrid w:val="0"/>
      <w:jc w:val="left"/>
    </w:pPr>
    <w:rPr>
      <w:sz w:val="18"/>
      <w:szCs w:val="18"/>
    </w:rPr>
  </w:style>
  <w:style w:type="character" w:customStyle="1" w:styleId="a6">
    <w:name w:val="页脚 字符"/>
    <w:basedOn w:val="a0"/>
    <w:link w:val="a5"/>
    <w:uiPriority w:val="99"/>
    <w:rsid w:val="00035A75"/>
    <w:rPr>
      <w:sz w:val="18"/>
      <w:szCs w:val="18"/>
    </w:rPr>
  </w:style>
  <w:style w:type="character" w:customStyle="1" w:styleId="10">
    <w:name w:val="标题 1 字符"/>
    <w:basedOn w:val="a0"/>
    <w:link w:val="1"/>
    <w:uiPriority w:val="9"/>
    <w:rsid w:val="00035A75"/>
    <w:rPr>
      <w:rFonts w:ascii="Calibri" w:eastAsia="宋体" w:hAnsi="Calibri" w:cs="Times New Roman"/>
      <w:b/>
      <w:bCs/>
      <w:kern w:val="44"/>
      <w:sz w:val="44"/>
      <w:szCs w:val="44"/>
    </w:rPr>
  </w:style>
  <w:style w:type="character" w:customStyle="1" w:styleId="20">
    <w:name w:val="标题 2 字符"/>
    <w:basedOn w:val="a0"/>
    <w:link w:val="2"/>
    <w:uiPriority w:val="9"/>
    <w:rsid w:val="00035A75"/>
    <w:rPr>
      <w:rFonts w:asciiTheme="majorHAnsi" w:eastAsiaTheme="majorEastAsia" w:hAnsiTheme="majorHAnsi" w:cstheme="majorBidi"/>
      <w:b/>
      <w:bCs/>
      <w:sz w:val="32"/>
      <w:szCs w:val="32"/>
    </w:rPr>
  </w:style>
  <w:style w:type="paragraph" w:styleId="a7">
    <w:name w:val="Normal (Web)"/>
    <w:basedOn w:val="a"/>
    <w:uiPriority w:val="99"/>
    <w:unhideWhenUsed/>
    <w:rsid w:val="00035A7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fengtao</dc:creator>
  <cp:keywords/>
  <dc:description/>
  <cp:lastModifiedBy>fengtao</cp:lastModifiedBy>
  <cp:revision>2</cp:revision>
  <dcterms:created xsi:type="dcterms:W3CDTF">2021-03-12T04:57:00Z</dcterms:created>
  <dcterms:modified xsi:type="dcterms:W3CDTF">2021-03-12T04:57:00Z</dcterms:modified>
</cp:coreProperties>
</file>