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300437" w14:textId="39A6C77A" w:rsidR="001501C4" w:rsidRPr="00D6221C" w:rsidRDefault="001A790D" w:rsidP="00D6221C">
      <w:pPr>
        <w:jc w:val="center"/>
        <w:rPr>
          <w:b/>
          <w:u w:val="single"/>
        </w:rPr>
      </w:pPr>
      <w:r>
        <w:rPr>
          <w:b/>
          <w:u w:val="single"/>
        </w:rPr>
        <w:t>Memo:</w:t>
      </w:r>
      <w:r w:rsidR="00E666A0">
        <w:rPr>
          <w:b/>
          <w:u w:val="single"/>
        </w:rPr>
        <w:t xml:space="preserve"> </w:t>
      </w:r>
      <w:r w:rsidR="00A7398D">
        <w:rPr>
          <w:b/>
          <w:u w:val="single"/>
        </w:rPr>
        <w:t>Model for</w:t>
      </w:r>
      <w:bookmarkStart w:id="0" w:name="_GoBack"/>
      <w:bookmarkEnd w:id="0"/>
      <w:r w:rsidR="00E666A0">
        <w:rPr>
          <w:b/>
          <w:u w:val="single"/>
        </w:rPr>
        <w:t xml:space="preserve"> fuel fabrication</w:t>
      </w:r>
      <w:r w:rsidR="00A7398D">
        <w:rPr>
          <w:b/>
          <w:u w:val="single"/>
        </w:rPr>
        <w:t xml:space="preserve"> in EG29</w:t>
      </w:r>
    </w:p>
    <w:p w14:paraId="4C1E727E" w14:textId="77777777" w:rsidR="00E23D5B" w:rsidRDefault="00E23D5B" w:rsidP="00D6221C">
      <w:pPr>
        <w:jc w:val="center"/>
      </w:pPr>
    </w:p>
    <w:p w14:paraId="471B34AC" w14:textId="77777777" w:rsidR="00E23D5B" w:rsidRDefault="00E23D5B" w:rsidP="00D6221C">
      <w:pPr>
        <w:jc w:val="center"/>
        <w:rPr>
          <w:u w:val="single"/>
        </w:rPr>
      </w:pPr>
    </w:p>
    <w:p w14:paraId="79C08FB6" w14:textId="2F334D5D" w:rsidR="00E23D5B" w:rsidRDefault="00E666A0" w:rsidP="00D6221C">
      <w:pPr>
        <w:jc w:val="center"/>
      </w:pPr>
      <w:r>
        <w:t xml:space="preserve">Baptiste </w:t>
      </w:r>
      <w:r w:rsidR="00E83834">
        <w:t>MOUGINOT</w:t>
      </w:r>
      <w:r>
        <w:t>,</w:t>
      </w:r>
    </w:p>
    <w:p w14:paraId="6B56222A" w14:textId="77777777" w:rsidR="00E23D5B" w:rsidRDefault="00E23D5B" w:rsidP="00E23D5B">
      <w:pPr>
        <w:jc w:val="center"/>
      </w:pPr>
    </w:p>
    <w:p w14:paraId="62699892" w14:textId="33AB3343" w:rsidR="00D6221C" w:rsidRDefault="00D6221C" w:rsidP="00D6221C">
      <w:pPr>
        <w:jc w:val="center"/>
      </w:pPr>
      <w:r>
        <w:t xml:space="preserve">April </w:t>
      </w:r>
      <w:r w:rsidR="00E666A0">
        <w:t>2</w:t>
      </w:r>
      <w:r w:rsidR="00D64DE5">
        <w:t>9</w:t>
      </w:r>
      <w:r>
        <w:t>, 2016</w:t>
      </w:r>
    </w:p>
    <w:p w14:paraId="080F07DD" w14:textId="77777777" w:rsidR="00D6221C" w:rsidRDefault="00D6221C" w:rsidP="00D6221C">
      <w:pPr>
        <w:jc w:val="center"/>
      </w:pPr>
    </w:p>
    <w:p w14:paraId="43AD4F33" w14:textId="77777777" w:rsidR="00E23D5B" w:rsidRDefault="00E23D5B" w:rsidP="00D6221C">
      <w:pPr>
        <w:jc w:val="center"/>
      </w:pPr>
    </w:p>
    <w:p w14:paraId="6AC42DEB" w14:textId="77777777" w:rsidR="00D6221C" w:rsidRPr="00CD14F0" w:rsidRDefault="00E666A0" w:rsidP="00D6221C">
      <w:pPr>
        <w:rPr>
          <w:b/>
          <w:u w:val="single"/>
        </w:rPr>
      </w:pPr>
      <w:r>
        <w:rPr>
          <w:b/>
          <w:u w:val="single"/>
        </w:rPr>
        <w:t>introduction</w:t>
      </w:r>
    </w:p>
    <w:p w14:paraId="03227AC6" w14:textId="77777777" w:rsidR="00D6221C" w:rsidRDefault="00D6221C" w:rsidP="00D6221C">
      <w:pPr>
        <w:rPr>
          <w:u w:val="single"/>
        </w:rPr>
      </w:pPr>
    </w:p>
    <w:p w14:paraId="042C594C" w14:textId="3C0B34CB" w:rsidR="00C02EED" w:rsidRDefault="00E666A0" w:rsidP="00E666A0">
      <w:pPr>
        <w:jc w:val="both"/>
      </w:pPr>
      <w:r>
        <w:t>This memo is about the difference in the modeling of the Case 1.1 to 1.3 of</w:t>
      </w:r>
      <w:r w:rsidR="00D6221C">
        <w:t xml:space="preserve"> EG29 s</w:t>
      </w:r>
      <w:r>
        <w:t>t</w:t>
      </w:r>
      <w:r w:rsidR="00162640">
        <w:t>udy, induced by the use of a Pu-</w:t>
      </w:r>
      <w:r>
        <w:t>equivalent model for the fuel fabrication. The case 1 of the EG29 calculation correspond to the modeling of s</w:t>
      </w:r>
      <w:r w:rsidR="00D6221C">
        <w:t>ingle MOX-PWR at steady-state</w:t>
      </w:r>
      <w:r>
        <w:t xml:space="preserve"> (see figure 1)</w:t>
      </w:r>
      <w:r w:rsidR="00D43670">
        <w:t>. This case 1 is subdivide in three sub</w:t>
      </w:r>
      <w:r w:rsidR="00FA33D0">
        <w:t>case</w:t>
      </w:r>
      <w:r w:rsidR="00395EAD">
        <w:t>s</w:t>
      </w:r>
      <w:r w:rsidR="00FA33D0">
        <w:t xml:space="preserve"> correspond</w:t>
      </w:r>
      <w:r w:rsidR="00D43670">
        <w:t>ing</w:t>
      </w:r>
      <w:r w:rsidR="00FA33D0">
        <w:t xml:space="preserve"> respectively</w:t>
      </w:r>
      <w:r w:rsidR="00AF0224">
        <w:t xml:space="preserve">: </w:t>
      </w:r>
    </w:p>
    <w:p w14:paraId="0B6D4149" w14:textId="77777777" w:rsidR="00C02EED" w:rsidRDefault="00C02EED" w:rsidP="00C02EED">
      <w:pPr>
        <w:pStyle w:val="Pardeliste"/>
        <w:numPr>
          <w:ilvl w:val="0"/>
          <w:numId w:val="1"/>
        </w:numPr>
        <w:jc w:val="both"/>
      </w:pPr>
      <w:r>
        <w:t xml:space="preserve">1: </w:t>
      </w:r>
      <w:r w:rsidR="00AF0224">
        <w:t xml:space="preserve">calculation without isotopic composition, </w:t>
      </w:r>
    </w:p>
    <w:p w14:paraId="0496E045" w14:textId="14ECA0E7" w:rsidR="00C8752C" w:rsidRDefault="00C02EED" w:rsidP="00831C86">
      <w:pPr>
        <w:pStyle w:val="Pardeliste"/>
        <w:numPr>
          <w:ilvl w:val="0"/>
          <w:numId w:val="1"/>
        </w:numPr>
        <w:jc w:val="both"/>
      </w:pPr>
      <w:r>
        <w:t xml:space="preserve">2: </w:t>
      </w:r>
      <w:r w:rsidR="00AF0224">
        <w:t>with isotopic composition</w:t>
      </w:r>
      <w:r w:rsidR="00C8752C">
        <w:t xml:space="preserve"> and no decay</w:t>
      </w:r>
      <w:r w:rsidR="00D43670">
        <w:t>,</w:t>
      </w:r>
    </w:p>
    <w:p w14:paraId="5CCCAEB5" w14:textId="7BE64742" w:rsidR="00D6221C" w:rsidRDefault="00C8752C" w:rsidP="00831C86">
      <w:pPr>
        <w:pStyle w:val="Pardeliste"/>
        <w:numPr>
          <w:ilvl w:val="0"/>
          <w:numId w:val="1"/>
        </w:numPr>
        <w:jc w:val="both"/>
      </w:pPr>
      <w:r>
        <w:t>3:</w:t>
      </w:r>
      <w:r w:rsidR="00AF0224">
        <w:t xml:space="preserve"> with isotopic</w:t>
      </w:r>
      <w:r w:rsidR="00DD2279">
        <w:t xml:space="preserve"> composition </w:t>
      </w:r>
      <w:r w:rsidR="00AF0224">
        <w:t>and decay.</w:t>
      </w:r>
    </w:p>
    <w:p w14:paraId="3357391D" w14:textId="77777777" w:rsidR="00D6221C" w:rsidRDefault="00D6221C" w:rsidP="00D6221C">
      <w:pPr>
        <w:jc w:val="center"/>
        <w:rPr>
          <w:b/>
        </w:rPr>
      </w:pPr>
    </w:p>
    <w:p w14:paraId="3436D278" w14:textId="5DFE4FC6" w:rsidR="00D6221C" w:rsidRDefault="00FE7718" w:rsidP="00D6221C">
      <w:pPr>
        <w:jc w:val="center"/>
        <w:rPr>
          <w:b/>
        </w:rPr>
      </w:pPr>
      <w:r w:rsidRPr="00D26D84">
        <w:rPr>
          <w:noProof/>
          <w:lang w:val="fr-FR" w:eastAsia="fr-FR"/>
        </w:rPr>
        <w:drawing>
          <wp:inline distT="0" distB="0" distL="0" distR="0" wp14:anchorId="10F9D6BB" wp14:editId="77C50FDC">
            <wp:extent cx="5943600" cy="23673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4CCFF" w14:textId="77777777" w:rsidR="00FE7718" w:rsidRDefault="00FE7718" w:rsidP="00FE7718">
      <w:pPr>
        <w:pStyle w:val="Lgende"/>
      </w:pPr>
      <w:bookmarkStart w:id="1" w:name="_Ref442436698"/>
      <w:r>
        <w:t xml:space="preserve">Figure </w:t>
      </w:r>
      <w:r w:rsidR="00A7398D">
        <w:fldChar w:fldCharType="begin"/>
      </w:r>
      <w:r w:rsidR="00A7398D">
        <w:instrText xml:space="preserve"> SEQ Figure \* ARABIC </w:instrText>
      </w:r>
      <w:r w:rsidR="00A7398D">
        <w:fldChar w:fldCharType="separate"/>
      </w:r>
      <w:r>
        <w:rPr>
          <w:noProof/>
        </w:rPr>
        <w:t>1</w:t>
      </w:r>
      <w:r w:rsidR="00A7398D">
        <w:rPr>
          <w:noProof/>
        </w:rPr>
        <w:fldChar w:fldCharType="end"/>
      </w:r>
      <w:bookmarkEnd w:id="1"/>
      <w:r>
        <w:t xml:space="preserve"> Schematic of Pu mass flow for Case 1</w:t>
      </w:r>
    </w:p>
    <w:p w14:paraId="2FA4AFC1" w14:textId="77777777" w:rsidR="00D6221C" w:rsidRPr="00D6221C" w:rsidRDefault="00D6221C" w:rsidP="00D6221C">
      <w:pPr>
        <w:jc w:val="center"/>
        <w:rPr>
          <w:b/>
        </w:rPr>
      </w:pPr>
    </w:p>
    <w:p w14:paraId="5BF757E7" w14:textId="77777777" w:rsidR="00D6221C" w:rsidRPr="00CD14F0" w:rsidRDefault="00D6221C" w:rsidP="00D6221C">
      <w:pPr>
        <w:rPr>
          <w:b/>
        </w:rPr>
      </w:pPr>
    </w:p>
    <w:p w14:paraId="3AF41C20" w14:textId="5141C8D5" w:rsidR="00E23D5B" w:rsidRDefault="00FE7718" w:rsidP="00E23D5B">
      <w:pPr>
        <w:rPr>
          <w:u w:val="single"/>
        </w:rPr>
      </w:pPr>
      <w:r>
        <w:rPr>
          <w:b/>
          <w:u w:val="single"/>
        </w:rPr>
        <w:t>Calculation:</w:t>
      </w:r>
    </w:p>
    <w:p w14:paraId="63C2626D" w14:textId="27367FC5" w:rsidR="00FE7718" w:rsidRDefault="00FE7718" w:rsidP="00496DC5">
      <w:pPr>
        <w:jc w:val="both"/>
      </w:pPr>
      <w:r w:rsidRPr="00FE7718">
        <w:t>For each</w:t>
      </w:r>
      <w:r>
        <w:t xml:space="preserve"> sub</w:t>
      </w:r>
      <w:r w:rsidR="008D751E">
        <w:t>-</w:t>
      </w:r>
      <w:r>
        <w:t>case (</w:t>
      </w:r>
      <w:r w:rsidR="007C1F9D">
        <w:t>1.</w:t>
      </w:r>
      <w:r>
        <w:t xml:space="preserve">1 to </w:t>
      </w:r>
      <w:r w:rsidR="007C1F9D">
        <w:t>1.</w:t>
      </w:r>
      <w:r>
        <w:t xml:space="preserve">3), 2 </w:t>
      </w:r>
      <w:r w:rsidR="008D751E">
        <w:t>calculations</w:t>
      </w:r>
      <w:r>
        <w:t xml:space="preserve"> have been done</w:t>
      </w:r>
      <w:r w:rsidR="008D751E">
        <w:t>.</w:t>
      </w:r>
      <w:r>
        <w:t xml:space="preserve"> </w:t>
      </w:r>
      <w:r w:rsidR="008D751E">
        <w:t>O</w:t>
      </w:r>
      <w:r w:rsidR="000B46FB">
        <w:t>ne using a standard mixing fab/c</w:t>
      </w:r>
      <w:r w:rsidR="008D751E">
        <w:t>y</w:t>
      </w:r>
      <w:r w:rsidR="000B46FB">
        <w:t xml:space="preserve">camore::mixer, </w:t>
      </w:r>
      <w:r>
        <w:t>mixing the E3”</w:t>
      </w:r>
      <w:r w:rsidR="000B46FB">
        <w:t xml:space="preserve"> and the J1” str</w:t>
      </w:r>
      <w:r w:rsidR="008D751E">
        <w:t>eam using constant mixing ratio to build the MOX fuel for the PWR</w:t>
      </w:r>
      <w:r w:rsidR="000B414D">
        <w:t xml:space="preserve"> and will be labelled “M”</w:t>
      </w:r>
      <w:r w:rsidR="008D751E">
        <w:t xml:space="preserve">. </w:t>
      </w:r>
      <w:r w:rsidR="00D610BD">
        <w:t>The</w:t>
      </w:r>
      <w:r w:rsidR="008D751E">
        <w:t xml:space="preserve"> second calculation </w:t>
      </w:r>
      <w:r w:rsidR="00D610BD">
        <w:t>is using</w:t>
      </w:r>
      <w:r w:rsidR="008D751E">
        <w:t xml:space="preserve"> the plutonium equivalent theory to determine the mixing fraction of each stream to build the MOX fuel</w:t>
      </w:r>
      <w:r w:rsidR="003373BF">
        <w:t xml:space="preserve"> and labelled</w:t>
      </w:r>
      <w:r w:rsidR="00373794">
        <w:t xml:space="preserve"> “W”</w:t>
      </w:r>
      <w:r w:rsidR="008D751E">
        <w:t>.</w:t>
      </w:r>
    </w:p>
    <w:p w14:paraId="3DE22FDA" w14:textId="77777777" w:rsidR="00804184" w:rsidRDefault="00804184" w:rsidP="00496DC5">
      <w:pPr>
        <w:jc w:val="both"/>
      </w:pPr>
    </w:p>
    <w:p w14:paraId="2F6AF775" w14:textId="77777777" w:rsidR="00507DF7" w:rsidRDefault="00507DF7" w:rsidP="00496DC5">
      <w:pPr>
        <w:jc w:val="both"/>
      </w:pPr>
    </w:p>
    <w:p w14:paraId="35A41F24" w14:textId="77777777" w:rsidR="00507DF7" w:rsidRDefault="00507DF7" w:rsidP="00496DC5">
      <w:pPr>
        <w:jc w:val="both"/>
      </w:pPr>
    </w:p>
    <w:p w14:paraId="744B8789" w14:textId="77777777" w:rsidR="00507DF7" w:rsidRDefault="00507DF7" w:rsidP="00496DC5">
      <w:pPr>
        <w:jc w:val="both"/>
      </w:pPr>
    </w:p>
    <w:p w14:paraId="109B7C59" w14:textId="77777777" w:rsidR="00507DF7" w:rsidRDefault="00507DF7" w:rsidP="00496DC5">
      <w:pPr>
        <w:jc w:val="both"/>
      </w:pPr>
    </w:p>
    <w:p w14:paraId="37FE1343" w14:textId="77777777" w:rsidR="00507DF7" w:rsidRDefault="00507DF7" w:rsidP="00496DC5">
      <w:pPr>
        <w:jc w:val="both"/>
      </w:pPr>
    </w:p>
    <w:p w14:paraId="2DA213E6" w14:textId="61153DA3" w:rsidR="00804184" w:rsidRDefault="00804184" w:rsidP="00804184">
      <w:pPr>
        <w:rPr>
          <w:u w:val="single"/>
        </w:rPr>
      </w:pPr>
      <w:r>
        <w:rPr>
          <w:b/>
          <w:u w:val="single"/>
        </w:rPr>
        <w:lastRenderedPageBreak/>
        <w:t>Results:</w:t>
      </w:r>
    </w:p>
    <w:p w14:paraId="3C058DCD" w14:textId="631C1739" w:rsidR="00CC56C6" w:rsidRDefault="00F0228F" w:rsidP="00496DC5">
      <w:pPr>
        <w:jc w:val="both"/>
      </w:pPr>
      <w:r>
        <w:t>The difference</w:t>
      </w:r>
      <w:r w:rsidR="008D751E">
        <w:t xml:space="preserve"> in the plutonium contribution to build the MOX fuel</w:t>
      </w:r>
      <w:r w:rsidR="00F922D7">
        <w:t xml:space="preserve"> are shown figure 2. Those contribution</w:t>
      </w:r>
      <w:r w:rsidR="000B414D">
        <w:t>s</w:t>
      </w:r>
      <w:r w:rsidR="00F922D7">
        <w:t xml:space="preserve"> are normalize</w:t>
      </w:r>
      <w:r w:rsidR="000B414D">
        <w:t>d</w:t>
      </w:r>
      <w:r w:rsidR="00F922D7">
        <w:t xml:space="preserve"> by the tPu/y (as in figure 1).</w:t>
      </w:r>
      <w:r w:rsidR="006C0547">
        <w:t xml:space="preserve"> As expected the calculation using the mixer results in a constant contribution of both stream for the first </w:t>
      </w:r>
      <w:r w:rsidR="007C1F9D">
        <w:t>1.</w:t>
      </w:r>
      <w:r w:rsidR="006C0547">
        <w:t>2 cases</w:t>
      </w:r>
      <w:r w:rsidR="00C77685">
        <w:t>.</w:t>
      </w:r>
      <w:r w:rsidR="00D43832">
        <w:t xml:space="preserve"> The variation observe in the third case is just due to the d</w:t>
      </w:r>
      <w:r w:rsidR="00CC56C6">
        <w:t>ecay</w:t>
      </w:r>
      <w:r w:rsidR="00D43832">
        <w:t xml:space="preserve"> of</w:t>
      </w:r>
      <w:r w:rsidR="00CC56C6">
        <w:t xml:space="preserve"> 241Pu</w:t>
      </w:r>
      <w:r>
        <w:t>, which contribute after decay as 241Am</w:t>
      </w:r>
      <w:r w:rsidR="00CC56C6">
        <w:t>.</w:t>
      </w:r>
    </w:p>
    <w:p w14:paraId="6FD42647" w14:textId="0EE12458" w:rsidR="008D751E" w:rsidRDefault="00CC56C6" w:rsidP="00496DC5">
      <w:pPr>
        <w:jc w:val="both"/>
      </w:pPr>
      <w:r>
        <w:t xml:space="preserve">Concerning the calculation using the plutonium equivalent, the case </w:t>
      </w:r>
      <w:r w:rsidR="007C1F9D">
        <w:t>1.</w:t>
      </w:r>
      <w:r>
        <w:t>1 reproduce exact</w:t>
      </w:r>
      <w:r w:rsidR="002E51DB">
        <w:t>ly the calculation with the fix</w:t>
      </w:r>
      <w:r>
        <w:t xml:space="preserve"> mixing ratio. The small discrepancy on case </w:t>
      </w:r>
      <w:r w:rsidR="007C1F9D">
        <w:t>1.</w:t>
      </w:r>
      <w:r>
        <w:t>2 is not expected.</w:t>
      </w:r>
      <w:r w:rsidR="00826E78">
        <w:t xml:space="preserve"> This is probably due to a r</w:t>
      </w:r>
      <w:r w:rsidR="007D460D">
        <w:t>ounding discrepancy…</w:t>
      </w:r>
    </w:p>
    <w:p w14:paraId="0174B25D" w14:textId="24FB27D9" w:rsidR="00F922D7" w:rsidRDefault="007C1F9D" w:rsidP="00496DC5">
      <w:pPr>
        <w:jc w:val="both"/>
      </w:pPr>
      <w:r>
        <w:rPr>
          <w:noProof/>
          <w:lang w:val="fr-FR" w:eastAsia="fr-FR"/>
        </w:rPr>
        <w:drawing>
          <wp:inline distT="0" distB="0" distL="0" distR="0" wp14:anchorId="2AA766EA" wp14:editId="667F73F1">
            <wp:extent cx="2908935" cy="2180690"/>
            <wp:effectExtent l="0" t="0" r="12065" b="3810"/>
            <wp:docPr id="1" name="Image 1" descr="C_1.x.E3_contrib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_1.x.E3_contributi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539" cy="2187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drawing>
          <wp:inline distT="0" distB="0" distL="0" distR="0" wp14:anchorId="0854E95C" wp14:editId="0B6F492D">
            <wp:extent cx="2905411" cy="2178050"/>
            <wp:effectExtent l="0" t="0" r="0" b="6350"/>
            <wp:docPr id="4" name="Image 4" descr="C_1.x.J1_contrib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_1.x.J1_contributi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812" cy="219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D3B9D" w14:textId="15E2B308" w:rsidR="00F922D7" w:rsidRDefault="00F922D7" w:rsidP="00F922D7">
      <w:pPr>
        <w:pStyle w:val="Lgende"/>
      </w:pPr>
      <w:r>
        <w:t xml:space="preserve">Figure </w:t>
      </w:r>
      <w:r w:rsidR="00A7398D">
        <w:fldChar w:fldCharType="begin"/>
      </w:r>
      <w:r w:rsidR="00A7398D">
        <w:instrText xml:space="preserve"> SEQ Figure \* ARABIC </w:instrText>
      </w:r>
      <w:r w:rsidR="00A7398D">
        <w:fldChar w:fldCharType="separate"/>
      </w:r>
      <w:r>
        <w:rPr>
          <w:noProof/>
        </w:rPr>
        <w:t>2</w:t>
      </w:r>
      <w:r w:rsidR="00A7398D">
        <w:rPr>
          <w:noProof/>
        </w:rPr>
        <w:fldChar w:fldCharType="end"/>
      </w:r>
      <w:r w:rsidR="001D31D0">
        <w:t xml:space="preserve"> </w:t>
      </w:r>
      <w:r w:rsidR="005C41A4">
        <w:t>Evolution</w:t>
      </w:r>
      <w:r w:rsidR="001D31D0">
        <w:t xml:space="preserve"> of Pu </w:t>
      </w:r>
      <w:r w:rsidR="005C41A4">
        <w:t>contribution</w:t>
      </w:r>
      <w:r w:rsidR="00033A1F">
        <w:t xml:space="preserve"> on J1” stream (left figure) and E3” stream (right figure)</w:t>
      </w:r>
    </w:p>
    <w:p w14:paraId="78C6E392" w14:textId="77777777" w:rsidR="006C2F51" w:rsidRDefault="006C2F51" w:rsidP="00BA7049">
      <w:pPr>
        <w:jc w:val="both"/>
      </w:pPr>
    </w:p>
    <w:p w14:paraId="24F75DC4" w14:textId="3468266B" w:rsidR="00BA7049" w:rsidRDefault="00BA7049" w:rsidP="00BA7049">
      <w:pPr>
        <w:jc w:val="both"/>
      </w:pPr>
      <w:r>
        <w:t>On Case 1.3</w:t>
      </w:r>
      <w:r w:rsidR="006C2F51">
        <w:t>, which include isotopic compositions and decay, one can see a much large discrepancy on both calculations. In the fix mixing ratio calculation</w:t>
      </w:r>
      <w:r w:rsidR="006C325C">
        <w:t xml:space="preserve"> (M)</w:t>
      </w:r>
      <w:r w:rsidR="006C2F51">
        <w:t>, the only fluctuations are coming from the decay of Pu241</w:t>
      </w:r>
      <w:r w:rsidR="007D460D">
        <w:t xml:space="preserve"> of the stream J1’’</w:t>
      </w:r>
      <w:r w:rsidR="009F47BD">
        <w:t>. The E3’’ stream containing very few short-living plutonium is not impacted by the decay</w:t>
      </w:r>
      <w:r w:rsidR="006C2F51">
        <w:t>.</w:t>
      </w:r>
    </w:p>
    <w:p w14:paraId="6E3DA23B" w14:textId="22E91D93" w:rsidR="006C2F51" w:rsidRDefault="0093030C" w:rsidP="00BA7049">
      <w:pPr>
        <w:jc w:val="both"/>
      </w:pPr>
      <w:r>
        <w:t xml:space="preserve">For the calculation using the </w:t>
      </w:r>
      <w:r w:rsidR="00201E51">
        <w:t>P</w:t>
      </w:r>
      <w:r>
        <w:t>u equivalent model</w:t>
      </w:r>
      <w:r w:rsidR="006C325C">
        <w:t>(W)</w:t>
      </w:r>
      <w:r>
        <w:t xml:space="preserve">, the </w:t>
      </w:r>
      <w:r w:rsidR="00201E51">
        <w:t xml:space="preserve">decay of Pu241 have a large impact on the fabrication of the MOX fuel: as the Pu241 is transmutation in Am241, the plutonium from the J1” stream loose a part of its </w:t>
      </w:r>
      <w:r w:rsidR="00A70D20">
        <w:t>“</w:t>
      </w:r>
      <w:r w:rsidR="00201E51">
        <w:t xml:space="preserve">reactivity </w:t>
      </w:r>
      <w:r w:rsidR="00A70D20">
        <w:t>potential”</w:t>
      </w:r>
      <w:r w:rsidR="00201E51">
        <w:t xml:space="preserve">, forcing the increase of E3” stream </w:t>
      </w:r>
      <w:r w:rsidR="006C325C">
        <w:t xml:space="preserve">amount </w:t>
      </w:r>
      <w:r w:rsidR="00201E51">
        <w:t>in the mix</w:t>
      </w:r>
      <w:r w:rsidR="00D44772">
        <w:t xml:space="preserve"> from 0.210</w:t>
      </w:r>
      <w:r w:rsidR="004D66B7">
        <w:t xml:space="preserve"> tPu/y to almost 0.3 tPu/y</w:t>
      </w:r>
      <w:r w:rsidR="00201E51">
        <w:t>.</w:t>
      </w:r>
    </w:p>
    <w:p w14:paraId="74EB4970" w14:textId="3A547483" w:rsidR="00F922D7" w:rsidRDefault="007C1F9D" w:rsidP="00496DC5">
      <w:pPr>
        <w:jc w:val="both"/>
      </w:pPr>
      <w:r>
        <w:rPr>
          <w:noProof/>
          <w:lang w:val="fr-FR" w:eastAsia="fr-FR"/>
        </w:rPr>
        <w:drawing>
          <wp:inline distT="0" distB="0" distL="0" distR="0" wp14:anchorId="6E9E0A71" wp14:editId="1B5F9158">
            <wp:extent cx="2908935" cy="2180691"/>
            <wp:effectExtent l="0" t="0" r="12065" b="3810"/>
            <wp:docPr id="8" name="Image 8" descr="C_1.x.E3_Pu_compos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_1.x.E3_Pu_compositi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064" cy="219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drawing>
          <wp:inline distT="0" distB="0" distL="0" distR="0" wp14:anchorId="70F4EB7C" wp14:editId="51ACD776">
            <wp:extent cx="2919908" cy="2188919"/>
            <wp:effectExtent l="0" t="0" r="1270" b="0"/>
            <wp:docPr id="9" name="Image 9" descr="C_1.x.J1_Pu_compos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_1.x.J1_Pu_composit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059" cy="221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2EE0D" w14:textId="0C7F20A1" w:rsidR="001D31D0" w:rsidRDefault="001D31D0" w:rsidP="001D31D0">
      <w:pPr>
        <w:pStyle w:val="Lgende"/>
      </w:pPr>
      <w:r>
        <w:t xml:space="preserve">Figure </w:t>
      </w:r>
      <w:r w:rsidR="00A7398D">
        <w:fldChar w:fldCharType="begin"/>
      </w:r>
      <w:r w:rsidR="00A7398D">
        <w:instrText xml:space="preserve"> SEQ Figure \* ARABIC </w:instrText>
      </w:r>
      <w:r w:rsidR="00A7398D">
        <w:fldChar w:fldCharType="separate"/>
      </w:r>
      <w:r>
        <w:rPr>
          <w:noProof/>
        </w:rPr>
        <w:t>3</w:t>
      </w:r>
      <w:r w:rsidR="00A7398D">
        <w:rPr>
          <w:noProof/>
        </w:rPr>
        <w:fldChar w:fldCharType="end"/>
      </w:r>
      <w:r>
        <w:t xml:space="preserve"> </w:t>
      </w:r>
      <w:r w:rsidR="0092487E">
        <w:t>Evolution of the plutonium composition in Case 1.3</w:t>
      </w:r>
    </w:p>
    <w:p w14:paraId="6FE76FA5" w14:textId="77777777" w:rsidR="001D31D0" w:rsidRPr="00FE7718" w:rsidRDefault="001D31D0" w:rsidP="00496DC5">
      <w:pPr>
        <w:jc w:val="both"/>
      </w:pPr>
    </w:p>
    <w:sectPr w:rsidR="001D31D0" w:rsidRPr="00FE7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1A3245"/>
    <w:multiLevelType w:val="hybridMultilevel"/>
    <w:tmpl w:val="F468D15C"/>
    <w:lvl w:ilvl="0" w:tplc="C440481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6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21C"/>
    <w:rsid w:val="00033A1F"/>
    <w:rsid w:val="00097E00"/>
    <w:rsid w:val="000A23CF"/>
    <w:rsid w:val="000B09A4"/>
    <w:rsid w:val="000B414D"/>
    <w:rsid w:val="000B46FB"/>
    <w:rsid w:val="00115662"/>
    <w:rsid w:val="001349E9"/>
    <w:rsid w:val="001501C4"/>
    <w:rsid w:val="00162640"/>
    <w:rsid w:val="001A790D"/>
    <w:rsid w:val="001C6191"/>
    <w:rsid w:val="001D31D0"/>
    <w:rsid w:val="001E4B25"/>
    <w:rsid w:val="00201E51"/>
    <w:rsid w:val="002E51DB"/>
    <w:rsid w:val="003373BF"/>
    <w:rsid w:val="00373794"/>
    <w:rsid w:val="003773FA"/>
    <w:rsid w:val="00395EAD"/>
    <w:rsid w:val="003C32DB"/>
    <w:rsid w:val="004028CB"/>
    <w:rsid w:val="0045321C"/>
    <w:rsid w:val="00472894"/>
    <w:rsid w:val="00496DC5"/>
    <w:rsid w:val="004A4BF9"/>
    <w:rsid w:val="004B5ADB"/>
    <w:rsid w:val="004C0DC7"/>
    <w:rsid w:val="004D66B7"/>
    <w:rsid w:val="004F340A"/>
    <w:rsid w:val="00507DF7"/>
    <w:rsid w:val="005914E0"/>
    <w:rsid w:val="005A1F37"/>
    <w:rsid w:val="005A7940"/>
    <w:rsid w:val="005C41A4"/>
    <w:rsid w:val="00616D78"/>
    <w:rsid w:val="00686F2D"/>
    <w:rsid w:val="006C0547"/>
    <w:rsid w:val="006C2F51"/>
    <w:rsid w:val="006C325C"/>
    <w:rsid w:val="006E1D6E"/>
    <w:rsid w:val="006F31AD"/>
    <w:rsid w:val="00712C32"/>
    <w:rsid w:val="00720196"/>
    <w:rsid w:val="00762652"/>
    <w:rsid w:val="007C1F9D"/>
    <w:rsid w:val="007D460D"/>
    <w:rsid w:val="007D622B"/>
    <w:rsid w:val="007D7302"/>
    <w:rsid w:val="00804184"/>
    <w:rsid w:val="00812650"/>
    <w:rsid w:val="00826E78"/>
    <w:rsid w:val="008964D7"/>
    <w:rsid w:val="008A4EB0"/>
    <w:rsid w:val="008C753C"/>
    <w:rsid w:val="008D751E"/>
    <w:rsid w:val="0092487E"/>
    <w:rsid w:val="0093030C"/>
    <w:rsid w:val="009522E5"/>
    <w:rsid w:val="009647C3"/>
    <w:rsid w:val="0097006F"/>
    <w:rsid w:val="00985EA1"/>
    <w:rsid w:val="009C2F86"/>
    <w:rsid w:val="009F47BD"/>
    <w:rsid w:val="00A24525"/>
    <w:rsid w:val="00A55759"/>
    <w:rsid w:val="00A61CD0"/>
    <w:rsid w:val="00A70D20"/>
    <w:rsid w:val="00A7398D"/>
    <w:rsid w:val="00A73A0C"/>
    <w:rsid w:val="00A73D0D"/>
    <w:rsid w:val="00A7562B"/>
    <w:rsid w:val="00A93D62"/>
    <w:rsid w:val="00AE07C9"/>
    <w:rsid w:val="00AF0224"/>
    <w:rsid w:val="00B01B7C"/>
    <w:rsid w:val="00B10BFA"/>
    <w:rsid w:val="00B67901"/>
    <w:rsid w:val="00B97F34"/>
    <w:rsid w:val="00BA2E6E"/>
    <w:rsid w:val="00BA7049"/>
    <w:rsid w:val="00BF7E78"/>
    <w:rsid w:val="00C02EED"/>
    <w:rsid w:val="00C13024"/>
    <w:rsid w:val="00C212C6"/>
    <w:rsid w:val="00C77685"/>
    <w:rsid w:val="00C82832"/>
    <w:rsid w:val="00C8752C"/>
    <w:rsid w:val="00C94F8A"/>
    <w:rsid w:val="00CC56C6"/>
    <w:rsid w:val="00CD14F0"/>
    <w:rsid w:val="00CE5F9A"/>
    <w:rsid w:val="00CF6CF0"/>
    <w:rsid w:val="00D07FAD"/>
    <w:rsid w:val="00D129F7"/>
    <w:rsid w:val="00D43670"/>
    <w:rsid w:val="00D43832"/>
    <w:rsid w:val="00D44772"/>
    <w:rsid w:val="00D46693"/>
    <w:rsid w:val="00D5566F"/>
    <w:rsid w:val="00D610BD"/>
    <w:rsid w:val="00D6221C"/>
    <w:rsid w:val="00D64DE5"/>
    <w:rsid w:val="00D70368"/>
    <w:rsid w:val="00DD2279"/>
    <w:rsid w:val="00DE313C"/>
    <w:rsid w:val="00E03231"/>
    <w:rsid w:val="00E23D5B"/>
    <w:rsid w:val="00E666A0"/>
    <w:rsid w:val="00E83834"/>
    <w:rsid w:val="00EB6078"/>
    <w:rsid w:val="00F001C3"/>
    <w:rsid w:val="00F0228F"/>
    <w:rsid w:val="00F127BB"/>
    <w:rsid w:val="00F21C50"/>
    <w:rsid w:val="00F922D7"/>
    <w:rsid w:val="00F94FB9"/>
    <w:rsid w:val="00FA33D0"/>
    <w:rsid w:val="00FB2D0B"/>
    <w:rsid w:val="00FC6AD8"/>
    <w:rsid w:val="00FE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8C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6221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221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23D5B"/>
    <w:rPr>
      <w:color w:val="0000FF" w:themeColor="hyperlink"/>
      <w:u w:val="single"/>
    </w:rPr>
  </w:style>
  <w:style w:type="paragraph" w:styleId="Lgende">
    <w:name w:val="caption"/>
    <w:aliases w:val="Table Title,Caption_figure"/>
    <w:next w:val="Normal"/>
    <w:link w:val="LgendeCar"/>
    <w:uiPriority w:val="35"/>
    <w:qFormat/>
    <w:rsid w:val="00FE7718"/>
    <w:pPr>
      <w:spacing w:before="120"/>
      <w:jc w:val="center"/>
    </w:pPr>
    <w:rPr>
      <w:rFonts w:eastAsia="Batang" w:cs="Times New Roman"/>
      <w:b/>
      <w:bCs/>
      <w:sz w:val="22"/>
      <w:szCs w:val="24"/>
    </w:rPr>
  </w:style>
  <w:style w:type="character" w:customStyle="1" w:styleId="LgendeCar">
    <w:name w:val="Légende Car"/>
    <w:aliases w:val="Table Title Car,Caption_figure Car"/>
    <w:link w:val="Lgende"/>
    <w:uiPriority w:val="35"/>
    <w:rsid w:val="00FE7718"/>
    <w:rPr>
      <w:rFonts w:eastAsia="Batang" w:cs="Times New Roman"/>
      <w:b/>
      <w:bCs/>
      <w:sz w:val="22"/>
      <w:szCs w:val="24"/>
    </w:rPr>
  </w:style>
  <w:style w:type="paragraph" w:styleId="Pardeliste">
    <w:name w:val="List Paragraph"/>
    <w:basedOn w:val="Normal"/>
    <w:uiPriority w:val="34"/>
    <w:qFormat/>
    <w:rsid w:val="00C02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0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392</Words>
  <Characters>2159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Feng, Bo</dc:creator>
  <cp:lastModifiedBy>Baptiste MOUGINOT</cp:lastModifiedBy>
  <cp:revision>15</cp:revision>
  <dcterms:created xsi:type="dcterms:W3CDTF">2016-04-22T22:18:00Z</dcterms:created>
  <dcterms:modified xsi:type="dcterms:W3CDTF">2016-04-29T21:50:00Z</dcterms:modified>
</cp:coreProperties>
</file>