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چگونگی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اجازه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دادن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به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یک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user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  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برای</w:t>
      </w:r>
      <w:r w:rsidDel="00000000" w:rsidR="00000000" w:rsidRPr="00000000">
        <w:rPr>
          <w:b w:val="1"/>
          <w:color w:val="980000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rdp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Open Terminal Services Configuration.1</w:t>
      </w:r>
    </w:p>
    <w:p w:rsidR="00000000" w:rsidDel="00000000" w:rsidP="00000000" w:rsidRDefault="00000000" w:rsidRPr="00000000" w14:paraId="00000006">
      <w:pPr>
        <w:shd w:fill="ffffff" w:val="clear"/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2.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Connections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RDP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Properties</w:t>
      </w:r>
      <w:r w:rsidDel="00000000" w:rsidR="00000000" w:rsidRPr="00000000">
        <w:rPr>
          <w:sz w:val="28"/>
          <w:szCs w:val="28"/>
          <w:rtl w:val="1"/>
        </w:rPr>
        <w:t xml:space="preserve"> .3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4.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مجوزها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گروه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اضافه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0"/>
        </w:rPr>
        <w:t xml:space="preserve">Computer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کلیک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0"/>
        </w:rPr>
        <w:t xml:space="preserve">Properties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 "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 "</w:t>
      </w:r>
      <w:r w:rsidDel="00000000" w:rsidR="00000000" w:rsidRPr="00000000">
        <w:rPr>
          <w:sz w:val="28"/>
          <w:szCs w:val="28"/>
          <w:rtl w:val="0"/>
        </w:rPr>
        <w:t xml:space="preserve">Allow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remote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connections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computer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رایانه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علاوه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مالک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سرپرست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رایانه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Setup</w:t>
      </w:r>
      <w:r w:rsidDel="00000000" w:rsidR="00000000" w:rsidRPr="00000000">
        <w:rPr>
          <w:sz w:val="28"/>
          <w:szCs w:val="28"/>
          <w:rtl w:val="0"/>
        </w:rPr>
        <w:t xml:space="preserve">، </w:t>
      </w:r>
      <w:r w:rsidDel="00000000" w:rsidR="00000000" w:rsidRPr="00000000">
        <w:rPr>
          <w:sz w:val="28"/>
          <w:szCs w:val="28"/>
          <w:rtl w:val="0"/>
        </w:rPr>
        <w:t xml:space="preserve">Users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Quick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Find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Users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Permission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Assignments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Edit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Assignments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اختصاص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مجوز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مجوزهای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مجوز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Enabled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Permission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Remove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