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DA74" w14:textId="77777777" w:rsidR="00153870" w:rsidRDefault="00000000">
      <w:pPr>
        <w:spacing w:after="40"/>
        <w:jc w:val="center"/>
      </w:pPr>
      <w:r>
        <w:rPr>
          <w:b/>
        </w:rPr>
        <w:t>SOUTHSHORE UNIVERSITY COLLEGE</w:t>
      </w:r>
    </w:p>
    <w:p w14:paraId="34AC54F4" w14:textId="77777777" w:rsidR="00153870" w:rsidRDefault="00000000">
      <w:pPr>
        <w:spacing w:after="40"/>
        <w:jc w:val="center"/>
      </w:pPr>
      <w:r>
        <w:rPr>
          <w:b/>
        </w:rPr>
        <w:t>END OF SEMESTER EXAMINATION , PHD CLASS</w:t>
      </w:r>
    </w:p>
    <w:p w14:paraId="5243F30D" w14:textId="77777777" w:rsidR="00153870" w:rsidRDefault="00153870">
      <w:pPr>
        <w:spacing w:after="40"/>
        <w:jc w:val="center"/>
      </w:pPr>
    </w:p>
    <w:p w14:paraId="13D00E78" w14:textId="77777777" w:rsidR="00153870" w:rsidRDefault="00000000">
      <w:pPr>
        <w:spacing w:after="40"/>
        <w:jc w:val="center"/>
      </w:pPr>
      <w:r>
        <w:t>Organisational Behaviour and Management , GMM 533</w:t>
      </w:r>
    </w:p>
    <w:p w14:paraId="2FC7D5C8" w14:textId="77777777" w:rsidR="00153870" w:rsidRDefault="00000000">
      <w:pPr>
        <w:spacing w:after="40"/>
        <w:jc w:val="center"/>
      </w:pPr>
      <w:r>
        <w:t>Academic Year 2026/2027, Semester One</w:t>
      </w:r>
    </w:p>
    <w:p w14:paraId="20611860" w14:textId="77777777" w:rsidR="00153870" w:rsidRDefault="00153870">
      <w:pPr>
        <w:spacing w:after="40"/>
        <w:jc w:val="center"/>
      </w:pPr>
    </w:p>
    <w:p w14:paraId="47F0CFA0" w14:textId="77777777" w:rsidR="00153870" w:rsidRDefault="00000000">
      <w:pPr>
        <w:spacing w:after="40"/>
        <w:jc w:val="center"/>
      </w:pPr>
      <w:r>
        <w:t>Student Name: Joseph Yammin</w:t>
      </w:r>
    </w:p>
    <w:p w14:paraId="7C5A022A" w14:textId="0AA873A5" w:rsidR="00153870" w:rsidRDefault="00000000">
      <w:pPr>
        <w:spacing w:after="40"/>
        <w:jc w:val="center"/>
      </w:pPr>
      <w:r>
        <w:t xml:space="preserve">Index Number: </w:t>
      </w:r>
    </w:p>
    <w:p w14:paraId="24120BAE" w14:textId="77777777" w:rsidR="00153870" w:rsidRDefault="00153870">
      <w:pPr>
        <w:spacing w:after="120"/>
      </w:pPr>
    </w:p>
    <w:p w14:paraId="6356E6F4" w14:textId="77777777" w:rsidR="00153870" w:rsidRDefault="00000000">
      <w:pPr>
        <w:spacing w:before="160" w:after="40"/>
      </w:pPr>
      <w:r>
        <w:rPr>
          <w:b/>
        </w:rPr>
        <w:t>SECTION A , QUESTION ONE (20 marks)</w:t>
      </w:r>
    </w:p>
    <w:p w14:paraId="17E70931" w14:textId="77777777" w:rsidR="00153870" w:rsidRDefault="00000000">
      <w:pPr>
        <w:spacing w:before="160" w:after="40"/>
      </w:pPr>
      <w:r>
        <w:rPr>
          <w:b/>
        </w:rPr>
        <w:t>Capitalism, Neoliberalism, Globalisation, and Institutional Pressures on Ghanaian Organisations</w:t>
      </w:r>
    </w:p>
    <w:p w14:paraId="15585B85" w14:textId="77777777" w:rsidR="00153870" w:rsidRDefault="00000000">
      <w:pPr>
        <w:spacing w:after="80"/>
        <w:ind w:firstLine="720"/>
        <w:jc w:val="both"/>
      </w:pPr>
      <w:r>
        <w:t>The global economic landscape over the past four decades has been decisively shaped by three interconnected forces: capitalism as the dominant system of production and accumulation, neoliberalism as the policy framework promoting market liberalisation and state retreat, and globalisation as the intensification of cross-border economic, cultural, and institutional integration. For organisations in sub-Saharan Africa, and Ghana in particular, these forces do not operate as external abstractions. They materialise as concrete, daily pressures on organisational structure, governance, human resource practices, and strategic behaviour. Institutional theory, as articulated by DiMaggio and Powell (1983) and subsequently elaborated by Scott (2008), provides the most analytically productive framework for explaining how these macro-level forces translate into micro-level organisational conformity.</w:t>
      </w:r>
    </w:p>
    <w:p w14:paraId="79BBB210" w14:textId="77777777" w:rsidR="00153870" w:rsidRDefault="00000000">
      <w:pPr>
        <w:spacing w:before="160" w:after="40"/>
      </w:pPr>
      <w:r>
        <w:rPr>
          <w:b/>
        </w:rPr>
        <w:t>Institutional Theory: Three Pillars of Pressure</w:t>
      </w:r>
    </w:p>
    <w:p w14:paraId="30AB0B38" w14:textId="77777777" w:rsidR="00153870" w:rsidRDefault="00000000">
      <w:pPr>
        <w:spacing w:after="80"/>
        <w:ind w:firstLine="720"/>
        <w:jc w:val="both"/>
      </w:pPr>
      <w:r>
        <w:t>Scott (2008) identifies three pillars through which institutional pressures operate: regulative (coercive), normative, and cultural-cognitive. DiMaggio and Powell (1983) offer a parallel taxonomy of isomorphic mechanisms , coercive, normative, and mimetic , that explains why organisations within the same institutional field come to resemble one another over time regardless of whether that conformity produces efficiency gains.</w:t>
      </w:r>
    </w:p>
    <w:p w14:paraId="2CDA437A" w14:textId="77777777" w:rsidR="00153870" w:rsidRDefault="00000000">
      <w:pPr>
        <w:spacing w:after="80"/>
        <w:ind w:firstLine="720"/>
        <w:jc w:val="both"/>
      </w:pPr>
      <w:r>
        <w:lastRenderedPageBreak/>
        <w:t>Coercive pressures arise from formal regulatory requirements, legal mandates, and the conditions attached to resource dependencies. In the Ghanaian banking sector , the sector I will use to ground this analysis , coercive pressures are most visibly manifested through the conditions attached to IMF and World Bank structural adjustment programmes, Bank of Ghana prudential regulations, and Basel III capital adequacy standards. The neoliberal content of these requirements is explicit: banks are required to maintain capital ratios, adopt risk-based supervision frameworks, and observe corporate governance standards that were developed in the context of Western financial systems. Compliance is not optional. Banks that fail to meet these requirements face regulatory sanctions, loss of operating licences, or exclusion from international correspondent banking relationships (Lartey et al., 2022). The coercive dimension is therefore not simply a matter of legal obligation but of existential survival in an internationalised financial system.</w:t>
      </w:r>
    </w:p>
    <w:p w14:paraId="4C5B7AE2" w14:textId="77777777" w:rsidR="00153870" w:rsidRDefault="00000000">
      <w:pPr>
        <w:spacing w:after="80"/>
        <w:ind w:firstLine="720"/>
        <w:jc w:val="both"/>
      </w:pPr>
      <w:r>
        <w:t>Normative pressures arise from professionalisation processes , the spread of common educational backgrounds, professional certifications, and codes of practice across an organisational field. Globally, the banking and finance profession has been shaped by institutions such as the Chartered Institute of Bankers, the Association of Chartered Certified Accountants, and MBA programmes that transmit standardised frameworks of financial management, strategic planning, and organisational governance. In Ghana, senior banking executives increasingly hold international professional qualifications and MBA degrees from Western universities, internalising management philosophies rooted in agency theory, shareholder primacy, and performance management systems (Aboagye-Otchere &amp; Fiador, 2013). These professionals become carriers of institutional norms, introducing into their organisations practices , such as balanced scorecards, 360-degree appraisal, and competency-based recruitment , that reflect Western management orthodoxy rather than indigenous organisational traditions.</w:t>
      </w:r>
    </w:p>
    <w:p w14:paraId="6C860897" w14:textId="77777777" w:rsidR="00153870" w:rsidRDefault="00000000">
      <w:pPr>
        <w:spacing w:after="80"/>
        <w:ind w:firstLine="720"/>
        <w:jc w:val="both"/>
      </w:pPr>
      <w:r>
        <w:t xml:space="preserve">Cultural-cognitive pressures, the deepest and most taken-for-granted of Scott's three pillars, operate through the shared conceptual frameworks and cognitive categories that define what constitutes "rational" or "modern" organisation. In the context of capitalist globalisation, the cultural-cognitive environment powerfully privileges certain forms of organisational behaviour as self-evidently appropriate: shareholder value maximisation, quarterly performance reporting, formal bureaucratic hierarchy, and quantitative risk management. Organisations that conform to these norms are perceived as legitimate, modern, and trustworthy by investors, </w:t>
      </w:r>
      <w:r>
        <w:lastRenderedPageBreak/>
        <w:t>international partners, and rating agencies; those that deviate risk being categorised as backward, poorly managed, or high-risk. Mimetic isomorphism, DiMaggio and Powell's third mechanism, is particularly relevant here: under conditions of uncertainty, Ghanaian banks imitate the structures, governance arrangements, and communication strategies of internationally recognised banks, not because these are proven to be optimal in the Ghanaian context, but because they reduce the social and reputational risk of being seen as different.</w:t>
      </w:r>
    </w:p>
    <w:p w14:paraId="6D04768C" w14:textId="77777777" w:rsidR="00153870" w:rsidRDefault="00000000">
      <w:pPr>
        <w:spacing w:before="160" w:after="40"/>
      </w:pPr>
      <w:r>
        <w:rPr>
          <w:b/>
        </w:rPr>
        <w:t>Global Institutions and Professional Bodies as Pressure Amplifiers</w:t>
      </w:r>
    </w:p>
    <w:p w14:paraId="5F44D610" w14:textId="77777777" w:rsidR="00153870" w:rsidRDefault="00000000">
      <w:pPr>
        <w:spacing w:after="80"/>
        <w:ind w:firstLine="720"/>
        <w:jc w:val="both"/>
      </w:pPr>
      <w:r>
        <w:t>The IMF, World Bank, African Development Bank, and the Basel Committee on Banking Supervision do not merely recommend practices to Ghanaian banks , they create the conditions under which deviation from endorsed practices becomes economically costly. Structural adjustment conditionalities from the 1980s through to the present day have embedded neoliberal institutional expectations into the regulatory fabric of Ghana's economy, reshaping not only banking regulation but labour markets, public sector governance, and corporate reporting standards. Professional bodies such as ACCA and the CFA Institute reinforce these expectations by certifying only those professionals who demonstrate mastery of globally standardised analytical frameworks, creating human capital that is oriented towards global institutional norms rather than local contextual knowledge.</w:t>
      </w:r>
    </w:p>
    <w:p w14:paraId="6ED511BB" w14:textId="77777777" w:rsidR="00153870" w:rsidRDefault="00000000">
      <w:pPr>
        <w:spacing w:before="160" w:after="40"/>
      </w:pPr>
      <w:r>
        <w:rPr>
          <w:b/>
        </w:rPr>
        <w:t>Critical Evaluation: Limitations of Institutional Theory</w:t>
      </w:r>
    </w:p>
    <w:p w14:paraId="7F161EAD" w14:textId="77777777" w:rsidR="00153870" w:rsidRDefault="00000000">
      <w:pPr>
        <w:spacing w:after="80"/>
        <w:ind w:firstLine="720"/>
        <w:jc w:val="both"/>
      </w:pPr>
      <w:r>
        <w:t>Despite its explanatory power in this context, institutional theory carries significant limitations. First, it has been criticised for its structural determinism. By focusing on conformity pressures, institutional theory tends to treat organisations as passive recipients of environmental demands rather than as strategic actors capable of exercising agency, resisting pressures, or manipulating institutional expectations (Oliver, 1991). In reality, Ghanaian banks are not uniform in their responses to institutional pressure. Some pursue ceremonial compliance , adopting the formal structures demanded by regulators while maintaining informal practices that reflect local norms , while others genuinely transform their operations. Institutional theory, in its original form, struggles to account for this variation.</w:t>
      </w:r>
    </w:p>
    <w:p w14:paraId="0EA3DAD9" w14:textId="77777777" w:rsidR="00153870" w:rsidRDefault="00000000">
      <w:pPr>
        <w:spacing w:after="80"/>
        <w:ind w:firstLine="720"/>
        <w:jc w:val="both"/>
      </w:pPr>
      <w:r>
        <w:t xml:space="preserve">Second, institutional theory largely operates within a Western conceptual framework and assumes institutional environments characterised by relatively stable, codified, and enforceable rules. In the Ghanaian context, institutional environments are characterised by what Eisenstadt </w:t>
      </w:r>
      <w:r>
        <w:lastRenderedPageBreak/>
        <w:t>(1964) called "institutional gaps" , spaces where formal institutional frameworks are weak, contested, or unevenly enforced, and where informal institutions such as ethnic networks, patron-client relationships, and religious affiliation exert significant organising influence. Standard institutional theory lacks the analytical vocabulary to account for these dynamics.</w:t>
      </w:r>
    </w:p>
    <w:p w14:paraId="3F0F5E05" w14:textId="77777777" w:rsidR="00153870" w:rsidRDefault="00000000">
      <w:pPr>
        <w:spacing w:after="80"/>
        <w:ind w:firstLine="720"/>
        <w:jc w:val="both"/>
      </w:pPr>
      <w:r>
        <w:t>Third, institutional theory struggles to explain change. If organisations are primarily isomorphic conformists, how do organisational fields evolve? The theory's emphasis on stability and legitimacy-seeking leaves it poorly equipped to explain moments of institutional disruption, innovation, or resistance.</w:t>
      </w:r>
    </w:p>
    <w:p w14:paraId="4B96BF95" w14:textId="77777777" w:rsidR="00153870" w:rsidRDefault="00000000">
      <w:pPr>
        <w:spacing w:before="160" w:after="40"/>
      </w:pPr>
      <w:r>
        <w:rPr>
          <w:b/>
        </w:rPr>
        <w:t>Augmenting Institutional Theory: Critical Realism and Comparative Institutionalism</w:t>
      </w:r>
    </w:p>
    <w:p w14:paraId="714081D4" w14:textId="77777777" w:rsidR="00153870" w:rsidRDefault="00000000">
      <w:pPr>
        <w:spacing w:after="80"/>
        <w:ind w:firstLine="720"/>
        <w:jc w:val="both"/>
      </w:pPr>
      <w:r>
        <w:t>Two theoretical perspectives can meaningfully augment institutional theory's explanatory weaknesses in this context. Critical realism, as applied to organisational analysis by Archer (1995), reintroduces human agency and structural causation into a framework that institutional theory tends to flatten. Critical realism distinguishes between the structures that generate pressures (capitalism, neoliberal regulation) and the mechanisms through which those pressures are realised or counteracted (professional norms, individual agency, cultural dispositions), allowing for a richer account of why similarly situated organisations respond differently to the same institutional environment.</w:t>
      </w:r>
    </w:p>
    <w:p w14:paraId="52C1A5E3" w14:textId="77777777" w:rsidR="00153870" w:rsidRDefault="00000000">
      <w:pPr>
        <w:spacing w:after="80"/>
        <w:ind w:firstLine="720"/>
        <w:jc w:val="both"/>
      </w:pPr>
      <w:r>
        <w:t>Comparative institutionalism, as developed within the varieties of capitalism literature (Hall &amp; Soskice, 2001), provides a framework for understanding how organisations in different national institutional contexts occupy distinct positions within global production and governance systems. For Ghana, this perspective highlights that the institutional environment is not simply an imperfect approximation of a Western norm but a distinct hybrid configuration shaped by colonial legacies, post-colonial developmental strategies, and the particular way in which globalisation has been inserted into Ghanaian social and economic structures. This perspective transforms the analytical question from "why do Ghanaian organisations deviate from the institutional ideal?" to "what is the specific institutional logic that shapes organisational behaviour in this context?" , a question that yields more productive insights for both scholars and practitioners.</w:t>
      </w:r>
    </w:p>
    <w:p w14:paraId="6A05E9AD" w14:textId="77777777" w:rsidR="00153870" w:rsidRDefault="00000000">
      <w:r>
        <w:br w:type="page"/>
      </w:r>
    </w:p>
    <w:p w14:paraId="7FE2877B" w14:textId="77777777" w:rsidR="00153870" w:rsidRDefault="00000000">
      <w:pPr>
        <w:spacing w:before="160" w:after="40"/>
      </w:pPr>
      <w:r>
        <w:rPr>
          <w:b/>
        </w:rPr>
        <w:lastRenderedPageBreak/>
        <w:t>SECTION A , QUESTION TWO (15 marks)</w:t>
      </w:r>
    </w:p>
    <w:p w14:paraId="307480A1" w14:textId="77777777" w:rsidR="00153870" w:rsidRDefault="00000000">
      <w:pPr>
        <w:spacing w:before="160" w:after="40"/>
      </w:pPr>
      <w:r>
        <w:rPr>
          <w:b/>
        </w:rPr>
        <w:t>Moral Logic vs Instrumental Logic: Paradoxes, Ethics, and Organisational Culture</w:t>
      </w:r>
    </w:p>
    <w:p w14:paraId="00777F94" w14:textId="77777777" w:rsidR="00153870" w:rsidRDefault="00000000">
      <w:pPr>
        <w:spacing w:before="160" w:after="40"/>
      </w:pPr>
      <w:r>
        <w:rPr>
          <w:b/>
        </w:rPr>
        <w:t>Critical Interpretation of the Binary</w:t>
      </w:r>
    </w:p>
    <w:p w14:paraId="0365F124" w14:textId="77777777" w:rsidR="00153870" w:rsidRDefault="00000000">
      <w:pPr>
        <w:spacing w:after="80"/>
        <w:ind w:firstLine="720"/>
        <w:jc w:val="both"/>
      </w:pPr>
      <w:r>
        <w:t>The table presents a compelling conceptual distinction between two competing logics through which organisations justify diversity and inclusion. Moral logic grounds inclusion in ethical obligations , fairness, human dignity, justice , and treats employees as ends in themselves. Instrumental logic grounds inclusion in strategic calculation , performance, innovation, competitive advantage , and treats employees as means to organisational ends. While this binary is analytically useful for surfacing the ideological tensions that pervade diversity and inclusion discourse, it has important limitations as a framework for understanding organisational behaviour.</w:t>
      </w:r>
    </w:p>
    <w:p w14:paraId="78E0912C" w14:textId="77777777" w:rsidR="00153870" w:rsidRDefault="00000000">
      <w:pPr>
        <w:spacing w:after="80"/>
        <w:ind w:firstLine="720"/>
        <w:jc w:val="both"/>
      </w:pPr>
      <w:r>
        <w:t>The principal limitation is that the binary is constructed as mutually exclusive when in practice the two logics are frequently entangled, mutually reinforcing, or strategically deployed interchangeably. Organisations rarely adopt a purely moral or purely instrumental stance. More commonly, they invoke moral language to legitimise what are fundamentally instrumental objectives, or invoke instrumental arguments to make moral commitments palatable to shareholders and boards. The table's "Risk When Dominant" row gestures towards this problem , both logics carry risks when taken to their extreme , but does not adequately capture the ways in which the co-existence and interplay of the two logics creates its own distinct and more complex set of organisational tensions.</w:t>
      </w:r>
    </w:p>
    <w:p w14:paraId="5A2E38EE" w14:textId="77777777" w:rsidR="00153870" w:rsidRDefault="00000000">
      <w:pPr>
        <w:spacing w:before="160" w:after="40"/>
      </w:pPr>
      <w:r>
        <w:rPr>
          <w:b/>
        </w:rPr>
        <w:t>(i) Three Paradoxes with Ethical Framework Analysis</w:t>
      </w:r>
    </w:p>
    <w:p w14:paraId="3A4AEB49" w14:textId="77777777" w:rsidR="00153870" w:rsidRDefault="00000000">
      <w:pPr>
        <w:spacing w:before="160" w:after="40"/>
      </w:pPr>
      <w:r>
        <w:rPr>
          <w:b/>
        </w:rPr>
        <w:t>Paradox 1: The Inclusion-Performance Paradox , analysed through Utilitarianism</w:t>
      </w:r>
    </w:p>
    <w:p w14:paraId="67312DC7" w14:textId="77777777" w:rsidR="00153870" w:rsidRDefault="00000000">
      <w:pPr>
        <w:spacing w:after="80"/>
        <w:ind w:firstLine="720"/>
        <w:jc w:val="both"/>
      </w:pPr>
      <w:r>
        <w:t xml:space="preserve">The inclusion-performance paradox arises when the demographic groups whose inclusion is most morally imperative , those who have faced systemic exclusion, discrimination, or disadvantage , do not immediately produce the performance gains that instrumental logic promises. If an organisation justifies diversity primarily through the business case argument, it creates an implicit performance condition on inclusion: groups whose presence fails to demonstrate measurable productivity or innovation benefit may find their inclusion questioned or deprioritised. From a utilitarian perspective , which evaluates actions by the greatest good for the </w:t>
      </w:r>
      <w:r>
        <w:lastRenderedPageBreak/>
        <w:t>greatest number , this paradox becomes acute. Utilitarian reasoning might initially appear to support the business case for diversity, since innovation and productivity gains benefit many stakeholders. However, when those gains are unevenly distributed, or when measuring them requires reducing human beings to productivity metrics, utilitarian logic can produce outcomes that compromise the dignity and welfare of the very people it purports to include.</w:t>
      </w:r>
    </w:p>
    <w:p w14:paraId="64B61876" w14:textId="77777777" w:rsidR="00153870" w:rsidRDefault="00000000">
      <w:pPr>
        <w:spacing w:before="160" w:after="40"/>
      </w:pPr>
      <w:r>
        <w:rPr>
          <w:b/>
        </w:rPr>
        <w:t>Paradox 2: The Representation-Belonging Paradox , analysed through Deontological Ethics</w:t>
      </w:r>
    </w:p>
    <w:p w14:paraId="38D559A8" w14:textId="77777777" w:rsidR="00153870" w:rsidRDefault="00000000">
      <w:pPr>
        <w:spacing w:after="80"/>
        <w:ind w:firstLine="720"/>
        <w:jc w:val="both"/>
      </w:pPr>
      <w:r>
        <w:t>The representation-belonging paradox describes the gap between numerical diversity , achieving demographic targets , and genuine inclusion , ensuring that all employees feel valued, respected, and genuinely able to contribute. An organisation may achieve surface-level representation while its culture, leadership style, communication norms, and informal practices continue to marginalise non-dominant groups. Kant's deontological framework, which evaluates actions by whether they treat people as ends in themselves rather than merely as means, provides a productive lens for analysing this paradox. An organisation that recruits diverse employees to satisfy regulatory requirements or enhance its ESG metrics, but fails to create conditions under which those employees can thrive, is using them as means rather than treating them as ends. Deontological ethics demands that inclusion be pursued because employees have an inherent right to fair treatment and equal opportunity , a demand that numerical diversity targets, however necessary, cannot alone fulfil.</w:t>
      </w:r>
    </w:p>
    <w:p w14:paraId="6BDD665C" w14:textId="77777777" w:rsidR="00153870" w:rsidRDefault="00000000">
      <w:pPr>
        <w:spacing w:before="160" w:after="40"/>
      </w:pPr>
      <w:r>
        <w:rPr>
          <w:b/>
        </w:rPr>
        <w:t>Paradox 3: The Short-termism Paradox , analysed through Virtue Ethics</w:t>
      </w:r>
    </w:p>
    <w:p w14:paraId="27ACB994" w14:textId="77777777" w:rsidR="00153870" w:rsidRDefault="00000000">
      <w:pPr>
        <w:spacing w:after="80"/>
        <w:ind w:firstLine="720"/>
        <w:jc w:val="both"/>
      </w:pPr>
      <w:r>
        <w:t xml:space="preserve">The short-termism paradox captures the tension between the long-term ethical commitment required for genuine cultural change and the short-to-medium-term results orientation that dominates organisational decision-making, particularly in commercially pressured environments. Building an organisationally inclusive culture requires sustained investment in leadership development, cultural change, mentoring, and structural reform , none of which produces immediate measurable returns. When quarterly earnings pressures or annual performance cycles govern resource allocation, diversity initiatives are vulnerable to being cut when their returns cannot be demonstrated within the required timeframe. Virtue ethics, which Aristotle rooted in the cultivation of good character and the pursuit of eudaimonia (flourishing) as a long-term orientation, offers the most direct critique of this paradox. A virtuous organisation </w:t>
      </w:r>
      <w:r>
        <w:lastRenderedPageBreak/>
        <w:t>is not one that makes inclusion investments when they are financially convenient, but one that has embedded fairness, courage, and practical wisdom into the character of its leadership and culture as enduring commitments that persist regardless of short-term performance pressures.</w:t>
      </w:r>
    </w:p>
    <w:p w14:paraId="28583ACF" w14:textId="77777777" w:rsidR="00153870" w:rsidRDefault="00000000">
      <w:pPr>
        <w:spacing w:before="160" w:after="40"/>
      </w:pPr>
      <w:r>
        <w:rPr>
          <w:b/>
        </w:rPr>
        <w:t>(ii) Why Ethical Frameworks Alone Are Insufficient and How Organisational Culture Shapes Inclusion</w:t>
      </w:r>
    </w:p>
    <w:p w14:paraId="5BD4DB15" w14:textId="77777777" w:rsidR="00153870" w:rsidRDefault="00000000">
      <w:pPr>
        <w:spacing w:after="80"/>
        <w:ind w:firstLine="720"/>
        <w:jc w:val="both"/>
      </w:pPr>
      <w:r>
        <w:t>Ethical frameworks provide principled justifications for inclusion but cannot, by themselves, produce it. This is because ethics operates at the level of individual and organisational conscience, while the barriers to inclusion are primarily structural, systemic, and cultural. An organisation whose leadership has sincerely adopted deontological commitments to fairness may nonetheless perpetuate exclusion through historically accumulated structures , recruitment processes that inadvertently screen for cultural fit with the dominant group, promotion criteria that reflect the working styles and networks of those already in power, or performance management systems that penalise caregiving responsibilities disproportionately borne by women.</w:t>
      </w:r>
    </w:p>
    <w:p w14:paraId="0FE5A433" w14:textId="77777777" w:rsidR="00153870" w:rsidRDefault="00000000">
      <w:pPr>
        <w:spacing w:after="80"/>
        <w:ind w:firstLine="720"/>
        <w:jc w:val="both"/>
      </w:pPr>
      <w:r>
        <w:t>Organisational culture , the shared assumptions, values, and behavioural norms that are taken for granted within an institution (Schein, 2010) , shapes inclusion outcomes through mechanisms that ethical frameworks cannot directly address. Culture operates primarily through what is unsaid and unquestioned: the informal rules about who gets listened to in meetings, which achievements are celebrated, whose communication style is perceived as "professional," and whose cultural practices are accommodated or dismissed. In the Ghanaian context, organisational culture is further complicated by high-power distance norms, in which deference to seniority limits the candour of feedback from junior employees, ethnic and regional identity dynamics that shape informal networks and trust, and gender role expectations that constrain women's participation in senior leadership. These cultural dynamics are not amenable to ethical argumentation alone. They require structural interventions , including inclusive leadership development, transparent promotion processes, and accountability mechanisms with real consequences for exclusionary behaviour , combined with sustained cultural change efforts that operate over time horizons incompatible with short-term performance management.</w:t>
      </w:r>
    </w:p>
    <w:p w14:paraId="77D8FDC2" w14:textId="77777777" w:rsidR="00153870" w:rsidRDefault="00000000">
      <w:r>
        <w:br w:type="page"/>
      </w:r>
    </w:p>
    <w:p w14:paraId="5A8BF562" w14:textId="77777777" w:rsidR="00153870" w:rsidRDefault="00000000">
      <w:pPr>
        <w:spacing w:before="160" w:after="40"/>
      </w:pPr>
      <w:r>
        <w:rPr>
          <w:b/>
        </w:rPr>
        <w:lastRenderedPageBreak/>
        <w:t>SECTION B , QUESTION 2 (15 marks): Leadership as Individual Capability vs Relational and Socially Embedded Process</w:t>
      </w:r>
    </w:p>
    <w:p w14:paraId="46519ED2" w14:textId="77777777" w:rsidR="00153870" w:rsidRDefault="00000000">
      <w:pPr>
        <w:spacing w:after="80"/>
        <w:ind w:firstLine="720"/>
        <w:jc w:val="both"/>
      </w:pPr>
      <w:r>
        <w:t>The dominant tradition in leadership theory has been fundamentally individualistic. From the Great Man theories of the nineteenth century through the trait approaches of the early twentieth century to the transformational leadership paradigm that has dominated the field since the 1980s, the underlying assumption has been that leadership is an attribute of individuals , a set of qualities, behaviours, or competencies that some people possess and others do not. This assumption shapes how leadership is assessed, developed, and rewarded in organisations. Yet growing theoretical and empirical evidence suggests that leadership, as actually practised in organisations, is an irreducibly relational and socially embedded process that cannot be adequately understood through an individual-centred lens.</w:t>
      </w:r>
    </w:p>
    <w:p w14:paraId="4446BF8C" w14:textId="77777777" w:rsidR="00153870" w:rsidRDefault="00000000">
      <w:pPr>
        <w:spacing w:before="160" w:after="40"/>
      </w:pPr>
      <w:r>
        <w:rPr>
          <w:b/>
        </w:rPr>
        <w:t>The Dominant Individualist Paradigm</w:t>
      </w:r>
    </w:p>
    <w:p w14:paraId="692F2EDB" w14:textId="77777777" w:rsidR="00153870" w:rsidRDefault="00000000">
      <w:pPr>
        <w:spacing w:after="80"/>
        <w:ind w:firstLine="720"/>
        <w:jc w:val="both"/>
      </w:pPr>
      <w:r>
        <w:t>Bass and Riggio's (2006) transformational leadership theory is the most influential expression of the individualist paradigm. Transformational leaders are described as individuals who inspire followers through vision, charisma, intellectual stimulation, and individualised consideration. The model is explicitly leader-centric: the leader's qualities and behaviours are the independent variables driving follower motivation, organisational culture, and performance outcomes. This framework has been enormously productive for leadership development practices , identifying traits to cultivate, behaviours to train, and competencies to measure , but its individualism rests on assumptions that critical scholars have increasingly challenged.</w:t>
      </w:r>
    </w:p>
    <w:p w14:paraId="52256EF5" w14:textId="77777777" w:rsidR="00153870" w:rsidRDefault="00000000">
      <w:pPr>
        <w:spacing w:before="160" w:after="40"/>
      </w:pPr>
      <w:r>
        <w:rPr>
          <w:b/>
        </w:rPr>
        <w:t>Relational and Socially Embedded Perspectives</w:t>
      </w:r>
    </w:p>
    <w:p w14:paraId="011EA053" w14:textId="77777777" w:rsidR="00153870" w:rsidRDefault="00000000">
      <w:pPr>
        <w:spacing w:after="80"/>
        <w:ind w:firstLine="720"/>
        <w:jc w:val="both"/>
      </w:pPr>
      <w:r>
        <w:t>Uhl-Bien's (2006) relational leadership theory represents the most systematic attempt to reframe leadership as a relational process. Rather than locating leadership in the individual leader, relational leadership theory focuses on the processes of relating through which leadership is co-constructed between individuals in organisational contexts. Leadership, on this account, is not something a leader does to or for followers but something that emerges in the interaction between them , shaped by the quality of relationships, the shared meanings that develop over time, and the mutual obligations and expectations that constitute the relational infrastructure of organisational life.</w:t>
      </w:r>
    </w:p>
    <w:p w14:paraId="0EF9322C" w14:textId="77777777" w:rsidR="00153870" w:rsidRDefault="00000000">
      <w:pPr>
        <w:spacing w:after="80"/>
        <w:ind w:firstLine="720"/>
        <w:jc w:val="both"/>
      </w:pPr>
      <w:r>
        <w:lastRenderedPageBreak/>
        <w:t>Distributed leadership theory (Spillane, 2006) further challenges the individualist assumption by arguing that leadership functions are distributed across multiple individuals within an organisation rather than concentrated in formal leadership positions. On this view, understanding leadership requires mapping the entire system of leadership activity , including informal influence, peer mentoring, and collective sense-making , rather than focusing exclusively on the designated leader's attributes and behaviours.</w:t>
      </w:r>
    </w:p>
    <w:p w14:paraId="0906874C" w14:textId="77777777" w:rsidR="00153870" w:rsidRDefault="00000000">
      <w:pPr>
        <w:spacing w:before="160" w:after="40"/>
      </w:pPr>
      <w:r>
        <w:rPr>
          <w:b/>
        </w:rPr>
        <w:t>Evidence from Ghanaian Organisations</w:t>
      </w:r>
    </w:p>
    <w:p w14:paraId="5A812E42" w14:textId="77777777" w:rsidR="00153870" w:rsidRDefault="00000000">
      <w:pPr>
        <w:spacing w:after="80"/>
        <w:ind w:firstLine="720"/>
        <w:jc w:val="both"/>
      </w:pPr>
      <w:r>
        <w:t>The Ghanaian organisational context provides particularly instructive evidence for evaluating these competing perspectives. Ghana's cultural environment is characterised by high power distance , a willingness to accept unequal distribution of authority , and collectivist social values that emphasise communal solidarity, relational obligation, and respect for seniority. These cultural characteristics shape leadership dynamics in ways that both partially fit and substantially challenge Western leadership theory.</w:t>
      </w:r>
    </w:p>
    <w:p w14:paraId="28D892A6" w14:textId="77777777" w:rsidR="00153870" w:rsidRDefault="00000000">
      <w:pPr>
        <w:spacing w:after="80"/>
        <w:ind w:firstLine="720"/>
        <w:jc w:val="both"/>
      </w:pPr>
      <w:r>
        <w:t>Research on leadership in Ghanaian organisations consistently finds that the perceived legitimacy and effectiveness of leaders is deeply embedded in social relationships and cultural expectations. Dartey-Baah (2015) found that Ghanaian employees place significant value on leaders who demonstrate personal interest in their welfare, build long-term relational trust, and connect the organisation's goals to community and social values , a pattern that more closely resembles servant leadership or Ubuntu-based leadership than the transactional or transformational models dominant in Western research. Crucially, this relational dimension is not merely an affective bonus added to otherwise individualistic leadership; it is constitutive of leadership legitimacy in the Ghanaian context. A technically competent leader who fails to maintain the relational obligations of seniority , including paternalistic care, accessibility, and community engagement , may be considered professionally capable but not genuinely legitimate as a leader.</w:t>
      </w:r>
    </w:p>
    <w:p w14:paraId="177EC56C" w14:textId="77777777" w:rsidR="00153870" w:rsidRDefault="00000000">
      <w:pPr>
        <w:spacing w:after="80"/>
        <w:ind w:firstLine="720"/>
        <w:jc w:val="both"/>
      </w:pPr>
      <w:r>
        <w:t xml:space="preserve">This evidence suggests that transformational leadership theory, despite its popularity in Ghanaian management training, represents a cultural import that does not fully capture the relational and communally embedded nature of effective leadership in this context. The theory's emphasis on charismatic individual vision risks undervaluing the collective sense-making, </w:t>
      </w:r>
      <w:r>
        <w:lastRenderedPageBreak/>
        <w:t>relational trust-building, and community-oriented purpose that characterise leadership as practised and experienced in Ghanaian organisations.</w:t>
      </w:r>
    </w:p>
    <w:p w14:paraId="75686EE9" w14:textId="77777777" w:rsidR="00153870" w:rsidRDefault="00000000">
      <w:pPr>
        <w:spacing w:before="160" w:after="40"/>
      </w:pPr>
      <w:r>
        <w:rPr>
          <w:b/>
        </w:rPr>
        <w:t>Theoretical Implications and Limitations</w:t>
      </w:r>
    </w:p>
    <w:p w14:paraId="4273E711" w14:textId="77777777" w:rsidR="00153870" w:rsidRDefault="00000000">
      <w:pPr>
        <w:spacing w:after="80"/>
        <w:ind w:firstLine="720"/>
        <w:jc w:val="both"/>
      </w:pPr>
      <w:r>
        <w:t>The tension between individualist and relational leadership theories is not merely academic , it has direct implications for leadership development practice. If leadership is primarily an individual attribute, then development consists of cultivating individual competencies and should focus on the designated leader. If leadership is primarily relational and distributed, then development must address the quality of relationships, the structures that enable distributed influence, and the cultural conditions that shape what counts as legitimate authority.</w:t>
      </w:r>
    </w:p>
    <w:p w14:paraId="73744BEB" w14:textId="77777777" w:rsidR="00153870" w:rsidRDefault="00000000">
      <w:pPr>
        <w:spacing w:after="80"/>
        <w:ind w:firstLine="720"/>
        <w:jc w:val="both"/>
      </w:pPr>
      <w:r>
        <w:t>Both relational and distributed leadership theories have their own limitations. Relational leadership theory, in its strongest form, risks understating the real effects of individual leader qualities , charisma, intellectual capability, emotional intelligence , on organisational outcomes. Distributed leadership theory can obscure accountability by diffusing responsibility across the organisation in ways that make it difficult to identify who is responsible when leadership fails. A more adequate framework for Ghanaian organisations would integrate insights from both traditions: acknowledging that leadership effectiveness depends on individual capacities that are exercised within relational and cultural structures that shape how those capacities can be meaningfully deployed.</w:t>
      </w:r>
    </w:p>
    <w:p w14:paraId="4F9160EB" w14:textId="77777777" w:rsidR="00153870" w:rsidRDefault="00000000">
      <w:r>
        <w:br w:type="page"/>
      </w:r>
    </w:p>
    <w:p w14:paraId="173FFC9A" w14:textId="77777777" w:rsidR="00153870" w:rsidRDefault="00000000">
      <w:pPr>
        <w:spacing w:before="160" w:after="40"/>
      </w:pPr>
      <w:r>
        <w:rPr>
          <w:b/>
        </w:rPr>
        <w:lastRenderedPageBreak/>
        <w:t>SECTION C , QUESTION 2 (10 marks): Digital Communication Technologies , Effectiveness, Coordination Failures, and Inequality</w:t>
      </w:r>
    </w:p>
    <w:p w14:paraId="0CCA62A3" w14:textId="77777777" w:rsidR="00153870" w:rsidRDefault="00000000">
      <w:pPr>
        <w:spacing w:after="80"/>
        <w:ind w:firstLine="720"/>
        <w:jc w:val="both"/>
      </w:pPr>
      <w:r>
        <w:t>The widespread adoption of digital communication technologies in organisations , email, instant messaging platforms, video conferencing tools, enterprise social networks, and collaborative document management systems , has generated optimistic claims about their potential to improve communication effectiveness. Proponents argue that digital tools eliminate geographic and temporal barriers, democratise information access, accelerate decision-making, and enable new forms of cross-functional collaboration. A critical assessment through organisational communication theory reveals that these claims are substantially overstated, and that digital communication technologies also generate systematic risks of coordination failure, cognitive overload, and communicative inequality that are frequently overlooked in managerial adoption decisions.</w:t>
      </w:r>
    </w:p>
    <w:p w14:paraId="4B36ADA7" w14:textId="77777777" w:rsidR="00153870" w:rsidRDefault="00000000">
      <w:pPr>
        <w:spacing w:before="160" w:after="40"/>
      </w:pPr>
      <w:r>
        <w:rPr>
          <w:b/>
        </w:rPr>
        <w:t>The Case for Digital Communication Effectiveness</w:t>
      </w:r>
    </w:p>
    <w:p w14:paraId="0BB0C07B" w14:textId="77777777" w:rsidR="00153870" w:rsidRDefault="00000000">
      <w:pPr>
        <w:spacing w:after="80"/>
        <w:ind w:firstLine="720"/>
        <w:jc w:val="both"/>
      </w:pPr>
      <w:r>
        <w:t>Media richness theory (Daft &amp; Lengel, 1986) provides a useful starting framework. The theory argues that different communication media vary in their capacity to convey complex, equivocal information , their "richness" , and that effective communication requires matching media richness to task complexity. Email and text-based messaging are lean media, appropriate for routine, unambiguous messages. Video conferencing approximates the richness of face-to-face interaction by enabling visual cues, tone, and real-time feedback. From this perspective, digital technologies have genuinely extended the range of effective communication options available to organisations, enabling richer remote communication than was previously possible and enabling asynchronous coordination across time zones that would otherwise be impossible.</w:t>
      </w:r>
    </w:p>
    <w:p w14:paraId="16D4D5E0" w14:textId="77777777" w:rsidR="00153870" w:rsidRDefault="00000000">
      <w:pPr>
        <w:spacing w:before="160" w:after="40"/>
      </w:pPr>
      <w:r>
        <w:rPr>
          <w:b/>
        </w:rPr>
        <w:t>Conditions for Coordination Failure, Overload, and Inequality</w:t>
      </w:r>
    </w:p>
    <w:p w14:paraId="7E1DA5C6" w14:textId="77777777" w:rsidR="00153870" w:rsidRDefault="00000000">
      <w:pPr>
        <w:spacing w:after="80"/>
        <w:ind w:firstLine="720"/>
        <w:jc w:val="both"/>
      </w:pPr>
      <w:r>
        <w:t xml:space="preserve">However, the same technologies that enable these gains also generate systematic dysfunction under specific organisational conditions. Coordination failure arises when digital communication multiplies the number of communication channels without providing clear protocols for which channel is appropriate for which type of communication. When employees must simultaneously monitor email, instant messages, project management tools, and video call notifications, the fragmentation of communication across multiple platforms creates ambiguity about where decisions are made, who has been informed, and what constitutes an authoritative </w:t>
      </w:r>
      <w:r>
        <w:lastRenderedPageBreak/>
        <w:t>communication. This channel fragmentation is a documented source of organisational coordination failure (Leonardi &amp; Treem, 2012), particularly in organisations that have adopted multiple communication tools reactively rather than strategically.</w:t>
      </w:r>
    </w:p>
    <w:p w14:paraId="526D8DFF" w14:textId="77777777" w:rsidR="00153870" w:rsidRDefault="00000000">
      <w:pPr>
        <w:spacing w:after="80"/>
        <w:ind w:firstLine="720"/>
        <w:jc w:val="both"/>
      </w:pPr>
      <w:r>
        <w:t>Cognitive overload is perhaps the most extensively documented dysfunction of digital communication in organisations. The "always-on" culture facilitated by smartphone email and instant messaging creates what Mazmanian et al. (2013) call "connectivity expectations" , informal norms that employees should be reachable and responsive outside working hours. These expectations generate sustained cognitive burden that degrades the quality of deep thinking, creative work, and strategic decision-making. Paradoxically, the technologies intended to improve organisational communication efficiency can consume so much communicative bandwidth , through notification management, email triage, and meeting coordination , that the time and cognitive resources available for substantive work are substantially reduced.</w:t>
      </w:r>
    </w:p>
    <w:p w14:paraId="4FED4D39" w14:textId="77777777" w:rsidR="00153870" w:rsidRDefault="00000000">
      <w:pPr>
        <w:spacing w:after="80"/>
        <w:ind w:firstLine="720"/>
        <w:jc w:val="both"/>
      </w:pPr>
      <w:r>
        <w:t>Communicative inequality is the most theoretically important limitation of digital communication technologies from an organisational behaviour perspective. Digital communication does not eliminate the power dynamics and status hierarchies of face-to-face interaction , it reconfigures them in ways that may disadvantage already marginalised groups. Research on video conferencing interactions consistently finds that participants from minority groups, lower-status roles, or non-dominant communication cultures are less likely to be heard, interrupted more frequently, and less likely to have their contributions acknowledged (Bailenson, 2021). Employees with unreliable internet access, lower digital literacy, or less access to private, quiet workspaces are disadvantaged by the assumption of universal digital access that underlies remote-work digital communication strategies. In organisations operating across the digital divide , which remains significant in Ghanaian and other sub-Saharan African contexts , the shift to digital-first communication risks creating a two-tier system in which formal, consequential communication flows primarily among digitally privileged employees while others are effectively excluded from decision-making processes despite nominal organisational membership.</w:t>
      </w:r>
    </w:p>
    <w:p w14:paraId="5DB85886" w14:textId="77777777" w:rsidR="00153870" w:rsidRDefault="00000000">
      <w:pPr>
        <w:spacing w:after="80"/>
        <w:ind w:firstLine="720"/>
        <w:jc w:val="both"/>
      </w:pPr>
      <w:r>
        <w:t xml:space="preserve">These observations suggest that digital communication technologies are neither inherently beneficial nor inherently dysfunctional, but are organisational tools whose effects depend critically on the social and institutional context within which they are deployed. Organisations that achieve genuine communication effectiveness through digital technologies are </w:t>
      </w:r>
      <w:r>
        <w:lastRenderedPageBreak/>
        <w:t>those that have developed deliberate governance frameworks for channel selection, established cultural norms that protect focused work time, and invested in the digital infrastructure and literacy development needed to ensure equitable access. Without these conditions, digital adoption is as likely to generate coordination chaos, cognitive overload, and communicative stratification as it is to deliver the efficiency gains that adoption advocates promise.</w:t>
      </w:r>
    </w:p>
    <w:sectPr w:rsidR="0015387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304516">
    <w:abstractNumId w:val="8"/>
  </w:num>
  <w:num w:numId="2" w16cid:durableId="456066651">
    <w:abstractNumId w:val="6"/>
  </w:num>
  <w:num w:numId="3" w16cid:durableId="539705847">
    <w:abstractNumId w:val="5"/>
  </w:num>
  <w:num w:numId="4" w16cid:durableId="1797795252">
    <w:abstractNumId w:val="4"/>
  </w:num>
  <w:num w:numId="5" w16cid:durableId="2118061939">
    <w:abstractNumId w:val="7"/>
  </w:num>
  <w:num w:numId="6" w16cid:durableId="84152721">
    <w:abstractNumId w:val="3"/>
  </w:num>
  <w:num w:numId="7" w16cid:durableId="811825683">
    <w:abstractNumId w:val="2"/>
  </w:num>
  <w:num w:numId="8" w16cid:durableId="906110732">
    <w:abstractNumId w:val="1"/>
  </w:num>
  <w:num w:numId="9" w16cid:durableId="456997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870"/>
    <w:rsid w:val="0029639D"/>
    <w:rsid w:val="00326F90"/>
    <w:rsid w:val="003E073B"/>
    <w:rsid w:val="00AA1D8D"/>
    <w:rsid w:val="00B47730"/>
    <w:rsid w:val="00BA35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3A446"/>
  <w14:defaultImageDpi w14:val="300"/>
  <w15:docId w15:val="{52FB61D2-AABF-4AA5-99E5-B566ABAC0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4330</Words>
  <Characters>24683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Immanuella Baajike</cp:lastModifiedBy>
  <cp:revision>2</cp:revision>
  <dcterms:created xsi:type="dcterms:W3CDTF">2013-12-23T23:15:00Z</dcterms:created>
  <dcterms:modified xsi:type="dcterms:W3CDTF">2026-05-22T17:12:00Z</dcterms:modified>
  <cp:category/>
</cp:coreProperties>
</file>