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1627" w14:textId="77777777" w:rsidR="005330FC" w:rsidRDefault="005330FC">
      <w:pPr>
        <w:spacing w:before="2000"/>
      </w:pPr>
    </w:p>
    <w:p w14:paraId="6A59CE0D" w14:textId="77777777" w:rsidR="005330FC" w:rsidRDefault="00000000">
      <w:pPr>
        <w:jc w:val="center"/>
      </w:pPr>
      <w:r>
        <w:rPr>
          <w:b/>
          <w:bCs/>
          <w:color w:val="2C3E50"/>
          <w:sz w:val="72"/>
          <w:szCs w:val="72"/>
        </w:rPr>
        <w:t>RAPORT</w:t>
      </w:r>
    </w:p>
    <w:p w14:paraId="1242BA8B" w14:textId="77777777" w:rsidR="005330FC" w:rsidRDefault="00000000">
      <w:pPr>
        <w:spacing w:before="400"/>
        <w:jc w:val="center"/>
      </w:pPr>
      <w:r>
        <w:rPr>
          <w:color w:val="34495E"/>
          <w:sz w:val="48"/>
          <w:szCs w:val="48"/>
        </w:rPr>
        <w:t>Modelowanie regresyjne i predykcja</w:t>
      </w:r>
    </w:p>
    <w:p w14:paraId="24FB169A" w14:textId="77777777" w:rsidR="005330FC" w:rsidRDefault="00000000">
      <w:pPr>
        <w:jc w:val="center"/>
      </w:pPr>
      <w:r>
        <w:rPr>
          <w:color w:val="34495E"/>
          <w:sz w:val="48"/>
          <w:szCs w:val="48"/>
        </w:rPr>
        <w:t>chorób zakaźnych w Europie</w:t>
      </w:r>
    </w:p>
    <w:p w14:paraId="4F9EDCF3" w14:textId="77777777" w:rsidR="005330FC" w:rsidRDefault="00000000">
      <w:pPr>
        <w:spacing w:before="600"/>
        <w:jc w:val="center"/>
      </w:pPr>
      <w:r>
        <w:rPr>
          <w:i/>
          <w:iCs/>
          <w:color w:val="5D6D7E"/>
          <w:sz w:val="32"/>
          <w:szCs w:val="32"/>
        </w:rPr>
        <w:t>Część 4 projektu grupowego</w:t>
      </w:r>
    </w:p>
    <w:p w14:paraId="1C8F294D" w14:textId="77777777" w:rsidR="005330FC" w:rsidRDefault="005330FC">
      <w:pPr>
        <w:spacing w:before="800"/>
      </w:pPr>
    </w:p>
    <w:p w14:paraId="3B302C57" w14:textId="77777777" w:rsidR="005330FC" w:rsidRDefault="00000000">
      <w:pPr>
        <w:jc w:val="center"/>
      </w:pPr>
      <w:r>
        <w:rPr>
          <w:sz w:val="26"/>
          <w:szCs w:val="26"/>
        </w:rPr>
        <w:t>Analiza obejmuje:</w:t>
      </w:r>
    </w:p>
    <w:p w14:paraId="4221D661" w14:textId="77777777" w:rsidR="005330FC" w:rsidRDefault="00000000">
      <w:pPr>
        <w:spacing w:before="100"/>
        <w:jc w:val="center"/>
      </w:pPr>
      <w:r>
        <w:t>• 4 choroby zakaźne (odra, krztusiec, salmonelloza, gruźlica)</w:t>
      </w:r>
    </w:p>
    <w:p w14:paraId="272A19BC" w14:textId="77777777" w:rsidR="005330FC" w:rsidRDefault="00000000">
      <w:pPr>
        <w:jc w:val="center"/>
      </w:pPr>
      <w:r>
        <w:t>• 5 modeli regresyjnych + ARIMA</w:t>
      </w:r>
    </w:p>
    <w:p w14:paraId="152A1A9D" w14:textId="77777777" w:rsidR="005330FC" w:rsidRDefault="00000000">
      <w:pPr>
        <w:jc w:val="center"/>
      </w:pPr>
      <w:r>
        <w:t>• 31 krajów UE/EOG</w:t>
      </w:r>
    </w:p>
    <w:p w14:paraId="0B4BC04C" w14:textId="77777777" w:rsidR="005330FC" w:rsidRDefault="00000000">
      <w:pPr>
        <w:jc w:val="center"/>
      </w:pPr>
      <w:r>
        <w:t>• Dane z lat 1995-2024</w:t>
      </w:r>
    </w:p>
    <w:p w14:paraId="741CCD1E" w14:textId="77777777" w:rsidR="005330FC" w:rsidRDefault="005330FC">
      <w:pPr>
        <w:spacing w:before="800"/>
      </w:pPr>
    </w:p>
    <w:p w14:paraId="6819A7C3" w14:textId="77777777" w:rsidR="005330FC" w:rsidRDefault="00000000">
      <w:pPr>
        <w:spacing w:before="200"/>
        <w:jc w:val="center"/>
      </w:pPr>
      <w:r>
        <w:t>Styczeń 2026</w:t>
      </w:r>
    </w:p>
    <w:p w14:paraId="3B45D3EF" w14:textId="77777777" w:rsidR="005330FC" w:rsidRDefault="00000000">
      <w:pPr>
        <w:spacing w:before="300"/>
        <w:jc w:val="center"/>
      </w:pPr>
      <w:r>
        <w:rPr>
          <w:i/>
          <w:iCs/>
          <w:color w:val="7F8C8D"/>
          <w:sz w:val="22"/>
          <w:szCs w:val="22"/>
        </w:rPr>
        <w:t xml:space="preserve">Źródło: ECDC </w:t>
      </w:r>
      <w:proofErr w:type="spellStart"/>
      <w:r>
        <w:rPr>
          <w:i/>
          <w:iCs/>
          <w:color w:val="7F8C8D"/>
          <w:sz w:val="22"/>
          <w:szCs w:val="22"/>
        </w:rPr>
        <w:t>Surveillance</w:t>
      </w:r>
      <w:proofErr w:type="spellEnd"/>
      <w:r>
        <w:rPr>
          <w:i/>
          <w:iCs/>
          <w:color w:val="7F8C8D"/>
          <w:sz w:val="22"/>
          <w:szCs w:val="22"/>
        </w:rPr>
        <w:t xml:space="preserve"> Atlas + Eurostat</w:t>
      </w:r>
    </w:p>
    <w:p w14:paraId="00E0477A" w14:textId="77777777" w:rsidR="005330FC" w:rsidRDefault="00000000">
      <w:r>
        <w:br w:type="page"/>
      </w:r>
    </w:p>
    <w:p w14:paraId="3722CA05" w14:textId="77777777" w:rsidR="005330FC" w:rsidRDefault="00000000">
      <w:pPr>
        <w:pStyle w:val="Nagwek1"/>
      </w:pPr>
      <w:r>
        <w:lastRenderedPageBreak/>
        <w:t>1. Wprowadzenie</w:t>
      </w:r>
    </w:p>
    <w:p w14:paraId="4CACEC39" w14:textId="77777777" w:rsidR="005330FC" w:rsidRDefault="00000000">
      <w:pPr>
        <w:pStyle w:val="Nagwek2"/>
      </w:pPr>
      <w:r>
        <w:t>1.1. Cel analizy</w:t>
      </w:r>
    </w:p>
    <w:p w14:paraId="20EF13CF" w14:textId="77777777" w:rsidR="005330FC" w:rsidRDefault="00000000">
      <w:pPr>
        <w:spacing w:after="200"/>
      </w:pPr>
      <w:r>
        <w:t>Głównym celem niniejszej analizy jest konstrukcja modeli regresyjnych przewidujących współczynnik zapadalności (</w:t>
      </w:r>
      <w:proofErr w:type="spellStart"/>
      <w:r>
        <w:t>incidence</w:t>
      </w:r>
      <w:proofErr w:type="spellEnd"/>
      <w:r>
        <w:t xml:space="preserve"> per 100 000 mieszkańców) na choroby zakaźne w krajach Unii Europejskiej i Europejskiego Obszaru Gospodarczego. Analiza ma na celu nie tylko stworzenie skutecznych modeli predykcyjnych, ale również identyfikację kluczowych czynników wpływających na zachorowalność oraz sformułowanie praktycznych rekomendacji dla polityki zdrowotnej.</w:t>
      </w:r>
    </w:p>
    <w:p w14:paraId="0ED7C285" w14:textId="77777777" w:rsidR="005330FC" w:rsidRDefault="00000000">
      <w:pPr>
        <w:pStyle w:val="Nagwek2"/>
      </w:pPr>
      <w:r>
        <w:t>1.2. Analizowane choroby</w:t>
      </w:r>
    </w:p>
    <w:p w14:paraId="064E2563" w14:textId="77777777" w:rsidR="005330FC" w:rsidRDefault="00000000">
      <w:pPr>
        <w:spacing w:after="100"/>
      </w:pPr>
      <w:r>
        <w:t>Analiza obejmuje cztery choroby zakaźne o różnej charakterystyce epidemiologicznej:</w:t>
      </w:r>
    </w:p>
    <w:p w14:paraId="7EFCFBDC" w14:textId="77777777" w:rsidR="005330FC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>Odra (</w:t>
      </w:r>
      <w:proofErr w:type="spellStart"/>
      <w:r>
        <w:rPr>
          <w:b/>
          <w:bCs/>
        </w:rPr>
        <w:t>Measles</w:t>
      </w:r>
      <w:proofErr w:type="spellEnd"/>
      <w:r>
        <w:rPr>
          <w:b/>
          <w:bCs/>
        </w:rPr>
        <w:t xml:space="preserve">) </w:t>
      </w:r>
      <w:r>
        <w:t xml:space="preserve">– wysoce zakaźna choroba wirusowa przenoszona drogą kropelkową. Charakteryzuje się współczynnikiem reprodukcji R0 = 12-18, co czyni ją jedną z najbardziej zaraźliwych chorób. Skutecznie </w:t>
      </w:r>
      <w:proofErr w:type="spellStart"/>
      <w:r>
        <w:t>zapobiegana</w:t>
      </w:r>
      <w:proofErr w:type="spellEnd"/>
      <w:r>
        <w:t xml:space="preserve"> przez szczepionkę MMR, wymaga </w:t>
      </w:r>
      <w:proofErr w:type="spellStart"/>
      <w:r>
        <w:t>wyszczepialności</w:t>
      </w:r>
      <w:proofErr w:type="spellEnd"/>
      <w:r>
        <w:t xml:space="preserve"> &gt;95% dla uzyskania odporności zbiorowej.</w:t>
      </w:r>
    </w:p>
    <w:p w14:paraId="4A573044" w14:textId="77777777" w:rsidR="005330FC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>Krztusiec (</w:t>
      </w:r>
      <w:proofErr w:type="spellStart"/>
      <w:r>
        <w:rPr>
          <w:b/>
          <w:bCs/>
        </w:rPr>
        <w:t>Pertussis</w:t>
      </w:r>
      <w:proofErr w:type="spellEnd"/>
      <w:r>
        <w:rPr>
          <w:b/>
          <w:bCs/>
        </w:rPr>
        <w:t xml:space="preserve">) </w:t>
      </w:r>
      <w:r>
        <w:t xml:space="preserve">– bakteryjna choroba układu oddechowego wywoływana przez </w:t>
      </w:r>
      <w:proofErr w:type="spellStart"/>
      <w:r>
        <w:t>Bordetella</w:t>
      </w:r>
      <w:proofErr w:type="spellEnd"/>
      <w:r>
        <w:t xml:space="preserve"> </w:t>
      </w:r>
      <w:proofErr w:type="spellStart"/>
      <w:r>
        <w:t>pertussis</w:t>
      </w:r>
      <w:proofErr w:type="spellEnd"/>
      <w:r>
        <w:t>. Charakteryzuje się naturalnymi cyklami epidemicznymi co 3-5 lat. Szczególnie niebezpieczna dla niemowląt poniżej 6 miesiąca życia, u których może prowadzić do zgonu.</w:t>
      </w:r>
    </w:p>
    <w:p w14:paraId="0DE37899" w14:textId="77777777" w:rsidR="005330FC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>Salmonelloza (</w:t>
      </w:r>
      <w:proofErr w:type="spellStart"/>
      <w:r>
        <w:rPr>
          <w:b/>
          <w:bCs/>
        </w:rPr>
        <w:t>Salmonellosis</w:t>
      </w:r>
      <w:proofErr w:type="spellEnd"/>
      <w:r>
        <w:rPr>
          <w:b/>
          <w:bCs/>
        </w:rPr>
        <w:t xml:space="preserve">) </w:t>
      </w:r>
      <w:r>
        <w:t>– zakażenie pokarmowe wywoływane przez bakterie z rodzaju Salmonella. Najczęściej związane z spożyciem skażonych produktów pochodzenia zwierzęcego (jaja, drób). Wykazuje sezonowość letnią.</w:t>
      </w:r>
    </w:p>
    <w:p w14:paraId="6A963B87" w14:textId="77777777" w:rsidR="005330FC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>Gruźlica (</w:t>
      </w:r>
      <w:proofErr w:type="spellStart"/>
      <w:r>
        <w:rPr>
          <w:b/>
          <w:bCs/>
        </w:rPr>
        <w:t>Tuberculosis</w:t>
      </w:r>
      <w:proofErr w:type="spellEnd"/>
      <w:r>
        <w:rPr>
          <w:b/>
          <w:bCs/>
        </w:rPr>
        <w:t xml:space="preserve">) </w:t>
      </w:r>
      <w:r>
        <w:t xml:space="preserve">– przewlekła choroba bakteryjna wywoływana przez </w:t>
      </w:r>
      <w:proofErr w:type="spellStart"/>
      <w:r>
        <w:t>Mycobacterium</w:t>
      </w:r>
      <w:proofErr w:type="spellEnd"/>
      <w:r>
        <w:t xml:space="preserve"> </w:t>
      </w:r>
      <w:proofErr w:type="spellStart"/>
      <w:r>
        <w:t>tuberculosis</w:t>
      </w:r>
      <w:proofErr w:type="spellEnd"/>
      <w:r>
        <w:t>. Głównie atakuje płuca, ale może zajmować inne narządy. W Europie wykazuje stały trend spadkowy dzięki skutecznym programom kontroli.</w:t>
      </w:r>
    </w:p>
    <w:p w14:paraId="2076A1DB" w14:textId="77777777" w:rsidR="005330FC" w:rsidRDefault="00000000">
      <w:pPr>
        <w:pStyle w:val="Nagwek2"/>
      </w:pPr>
      <w:r>
        <w:t>1.3. Metodologia</w:t>
      </w:r>
    </w:p>
    <w:p w14:paraId="022C130C" w14:textId="77777777" w:rsidR="005330FC" w:rsidRDefault="00000000">
      <w:pPr>
        <w:spacing w:after="100"/>
      </w:pPr>
      <w:r>
        <w:rPr>
          <w:b/>
          <w:bCs/>
        </w:rPr>
        <w:t>Podział danych (</w:t>
      </w:r>
      <w:proofErr w:type="spellStart"/>
      <w:r>
        <w:rPr>
          <w:b/>
          <w:bCs/>
        </w:rPr>
        <w:t>temporal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split</w:t>
      </w:r>
      <w:proofErr w:type="spellEnd"/>
      <w:r>
        <w:rPr>
          <w:b/>
          <w:bCs/>
        </w:rPr>
        <w:t>):</w:t>
      </w:r>
    </w:p>
    <w:p w14:paraId="6FE36795" w14:textId="77777777" w:rsidR="005330FC" w:rsidRDefault="00000000">
      <w:pPr>
        <w:spacing w:after="200"/>
      </w:pPr>
      <w:r>
        <w:t xml:space="preserve">Dane podzielono czasowo: lata wcześniejsze stanowią zbiór treningowy, ostatnie 2-3 lata – zbiór testowy. Takie podejście zapobiega wyciekowi informacji z przyszłości (data </w:t>
      </w:r>
      <w:proofErr w:type="spellStart"/>
      <w:r>
        <w:t>leakage</w:t>
      </w:r>
      <w:proofErr w:type="spellEnd"/>
      <w:r>
        <w:t>) i realistycznie ocenia zdolności predykcyjne modeli.</w:t>
      </w:r>
    </w:p>
    <w:p w14:paraId="0209B021" w14:textId="77777777" w:rsidR="005330FC" w:rsidRDefault="00000000">
      <w:pPr>
        <w:spacing w:after="100"/>
      </w:pPr>
      <w:r>
        <w:rPr>
          <w:b/>
          <w:bCs/>
        </w:rPr>
        <w:t>Testowane modele:</w:t>
      </w:r>
    </w:p>
    <w:p w14:paraId="48B682BB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Regresja liniowa (OLS) </w:t>
      </w:r>
      <w:r>
        <w:t>– model bazowy, wysoka interpretowalność współczynników</w:t>
      </w:r>
    </w:p>
    <w:p w14:paraId="1CC2283D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Regresja </w:t>
      </w:r>
      <w:proofErr w:type="spellStart"/>
      <w:r>
        <w:rPr>
          <w:b/>
          <w:bCs/>
        </w:rPr>
        <w:t>Ridge</w:t>
      </w:r>
      <w:proofErr w:type="spellEnd"/>
      <w:r>
        <w:rPr>
          <w:b/>
          <w:bCs/>
        </w:rPr>
        <w:t xml:space="preserve"> </w:t>
      </w:r>
      <w:r>
        <w:t xml:space="preserve">– </w:t>
      </w:r>
      <w:proofErr w:type="spellStart"/>
      <w:r>
        <w:t>regularyzacja</w:t>
      </w:r>
      <w:proofErr w:type="spellEnd"/>
      <w:r>
        <w:t xml:space="preserve"> L2, zapobiega </w:t>
      </w:r>
      <w:proofErr w:type="spellStart"/>
      <w:r>
        <w:t>overfittingowi</w:t>
      </w:r>
      <w:proofErr w:type="spellEnd"/>
      <w:r>
        <w:t xml:space="preserve"> przy skorelowanych zmiennych</w:t>
      </w:r>
    </w:p>
    <w:p w14:paraId="5F8E70A5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Regresja Lasso </w:t>
      </w:r>
      <w:r>
        <w:t xml:space="preserve">– </w:t>
      </w:r>
      <w:proofErr w:type="spellStart"/>
      <w:r>
        <w:t>regularyzacja</w:t>
      </w:r>
      <w:proofErr w:type="spellEnd"/>
      <w:r>
        <w:t xml:space="preserve"> L1, automatyczna selekcja zmiennych</w:t>
      </w:r>
    </w:p>
    <w:p w14:paraId="76844487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>Las losowy (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Forest</w:t>
      </w:r>
      <w:proofErr w:type="spellEnd"/>
      <w:r>
        <w:rPr>
          <w:b/>
          <w:bCs/>
        </w:rPr>
        <w:t xml:space="preserve">) </w:t>
      </w:r>
      <w:r>
        <w:t>– ensemble drzew decyzyjnych, radzi sobie z nieliniowością i interakcjami</w:t>
      </w:r>
    </w:p>
    <w:p w14:paraId="4B45E009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lastRenderedPageBreak/>
        <w:t xml:space="preserve">Gradient </w:t>
      </w:r>
      <w:proofErr w:type="spellStart"/>
      <w:r>
        <w:rPr>
          <w:b/>
          <w:bCs/>
        </w:rPr>
        <w:t>Boosting</w:t>
      </w:r>
      <w:proofErr w:type="spellEnd"/>
      <w:r>
        <w:rPr>
          <w:b/>
          <w:bCs/>
        </w:rPr>
        <w:t xml:space="preserve"> </w:t>
      </w:r>
      <w:r>
        <w:t>– sekwencyjne budowanie modelu, często najlepsza dokładność</w:t>
      </w:r>
    </w:p>
    <w:p w14:paraId="52B08FD0" w14:textId="77777777" w:rsidR="005330FC" w:rsidRDefault="00000000">
      <w:pPr>
        <w:pStyle w:val="Akapitzlist"/>
        <w:numPr>
          <w:ilvl w:val="0"/>
          <w:numId w:val="3"/>
        </w:numPr>
      </w:pPr>
      <w:proofErr w:type="gramStart"/>
      <w:r>
        <w:rPr>
          <w:b/>
          <w:bCs/>
        </w:rPr>
        <w:t>ARIMA(</w:t>
      </w:r>
      <w:proofErr w:type="gramEnd"/>
      <w:r>
        <w:rPr>
          <w:b/>
          <w:bCs/>
        </w:rPr>
        <w:t xml:space="preserve">1,1,1) </w:t>
      </w:r>
      <w:r>
        <w:t>– model szeregów czasowych dla predykcji trendów</w:t>
      </w:r>
    </w:p>
    <w:p w14:paraId="5A89F088" w14:textId="77777777" w:rsidR="005330FC" w:rsidRDefault="00000000">
      <w:pPr>
        <w:spacing w:before="200" w:after="100"/>
      </w:pPr>
      <w:r>
        <w:rPr>
          <w:b/>
          <w:bCs/>
        </w:rPr>
        <w:t>Cechy predykcyjne (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engineering):</w:t>
      </w:r>
    </w:p>
    <w:p w14:paraId="78DD86AA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Incidence_Lag1, Lag2 </w:t>
      </w:r>
      <w:r>
        <w:t>– zachorowalność z poprzednich lat (autokorelacja)</w:t>
      </w:r>
    </w:p>
    <w:p w14:paraId="65843239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Incidence_MA3 </w:t>
      </w:r>
      <w:r>
        <w:t>– średnia krocząca 3-letnia (wygładzenie trendu)</w:t>
      </w:r>
    </w:p>
    <w:p w14:paraId="1B87A853" w14:textId="77777777" w:rsidR="005330FC" w:rsidRDefault="00000000">
      <w:pPr>
        <w:pStyle w:val="Akapitzlist"/>
        <w:numPr>
          <w:ilvl w:val="0"/>
          <w:numId w:val="3"/>
        </w:numPr>
      </w:pPr>
      <w:proofErr w:type="spellStart"/>
      <w:r>
        <w:rPr>
          <w:b/>
          <w:bCs/>
        </w:rPr>
        <w:t>Vaccination_Coverage_Pct</w:t>
      </w:r>
      <w:proofErr w:type="spellEnd"/>
      <w:r>
        <w:rPr>
          <w:b/>
          <w:bCs/>
        </w:rPr>
        <w:t xml:space="preserve"> </w:t>
      </w:r>
      <w:r>
        <w:t xml:space="preserve">– procent </w:t>
      </w:r>
      <w:proofErr w:type="spellStart"/>
      <w:r>
        <w:t>wyszczepialności</w:t>
      </w:r>
      <w:proofErr w:type="spellEnd"/>
      <w:r>
        <w:t xml:space="preserve"> populacji</w:t>
      </w:r>
    </w:p>
    <w:p w14:paraId="3E51360B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Pop_Structure_0_14_Pct </w:t>
      </w:r>
      <w:r>
        <w:t>– udział dzieci (0-14 lat) w populacji</w:t>
      </w:r>
    </w:p>
    <w:p w14:paraId="4C931F2F" w14:textId="77777777" w:rsidR="005330FC" w:rsidRDefault="00000000">
      <w:pPr>
        <w:pStyle w:val="Akapitzlist"/>
        <w:numPr>
          <w:ilvl w:val="0"/>
          <w:numId w:val="3"/>
        </w:numPr>
      </w:pPr>
      <w:proofErr w:type="spellStart"/>
      <w:r>
        <w:rPr>
          <w:b/>
          <w:bCs/>
        </w:rPr>
        <w:t>Year_Norm</w:t>
      </w:r>
      <w:proofErr w:type="spellEnd"/>
      <w:r>
        <w:rPr>
          <w:b/>
          <w:bCs/>
        </w:rPr>
        <w:t xml:space="preserve"> </w:t>
      </w:r>
      <w:r>
        <w:t>– znormalizowany trend czasowy</w:t>
      </w:r>
    </w:p>
    <w:p w14:paraId="43202A16" w14:textId="77777777" w:rsidR="005330FC" w:rsidRDefault="00000000">
      <w:pPr>
        <w:pStyle w:val="Nagwek2"/>
      </w:pPr>
      <w:r>
        <w:t xml:space="preserve">1.4. </w:t>
      </w:r>
      <w:proofErr w:type="spellStart"/>
      <w:r>
        <w:t>Checklist</w:t>
      </w:r>
      <w:proofErr w:type="spellEnd"/>
      <w:r>
        <w:t xml:space="preserve"> wykonanych zadań</w:t>
      </w:r>
    </w:p>
    <w:p w14:paraId="43FB69EE" w14:textId="77777777" w:rsidR="005330FC" w:rsidRDefault="00000000">
      <w:pPr>
        <w:pStyle w:val="Akapitzlist"/>
        <w:numPr>
          <w:ilvl w:val="0"/>
          <w:numId w:val="3"/>
        </w:numPr>
      </w:pPr>
      <w:r>
        <w:t>✅ Przygotowanie danych treningowych/testowych (</w:t>
      </w:r>
      <w:proofErr w:type="spellStart"/>
      <w:r>
        <w:t>split</w:t>
      </w:r>
      <w:proofErr w:type="spellEnd"/>
      <w:r>
        <w:t xml:space="preserve"> czasowy)</w:t>
      </w:r>
    </w:p>
    <w:p w14:paraId="1F1BA46F" w14:textId="77777777" w:rsidR="005330FC" w:rsidRDefault="00000000">
      <w:pPr>
        <w:pStyle w:val="Akapitzlist"/>
        <w:numPr>
          <w:ilvl w:val="0"/>
          <w:numId w:val="3"/>
        </w:numPr>
      </w:pPr>
      <w:r>
        <w:t xml:space="preserve">✅ Testowanie modeli liniowych: regresja OLS, </w:t>
      </w:r>
      <w:proofErr w:type="spellStart"/>
      <w:r>
        <w:t>Ridge</w:t>
      </w:r>
      <w:proofErr w:type="spellEnd"/>
      <w:r>
        <w:t>, Lasso</w:t>
      </w:r>
    </w:p>
    <w:p w14:paraId="027FE90E" w14:textId="77777777" w:rsidR="005330FC" w:rsidRDefault="00000000">
      <w:pPr>
        <w:pStyle w:val="Akapitzlist"/>
        <w:numPr>
          <w:ilvl w:val="0"/>
          <w:numId w:val="3"/>
        </w:numPr>
      </w:pPr>
      <w:r>
        <w:t xml:space="preserve">✅ Testowanie modeli ensemble: Las losowy, Gradient </w:t>
      </w:r>
      <w:proofErr w:type="spellStart"/>
      <w:r>
        <w:t>Boosting</w:t>
      </w:r>
      <w:proofErr w:type="spellEnd"/>
    </w:p>
    <w:p w14:paraId="001C7071" w14:textId="77777777" w:rsidR="005330FC" w:rsidRDefault="00000000">
      <w:pPr>
        <w:pStyle w:val="Akapitzlist"/>
        <w:numPr>
          <w:ilvl w:val="0"/>
          <w:numId w:val="3"/>
        </w:numPr>
      </w:pPr>
      <w:r>
        <w:t>✅ Testowanie modelu szeregów czasowych: ARIMA</w:t>
      </w:r>
    </w:p>
    <w:p w14:paraId="5E1254ED" w14:textId="77777777" w:rsidR="005330FC" w:rsidRDefault="00000000">
      <w:pPr>
        <w:pStyle w:val="Akapitzlist"/>
        <w:numPr>
          <w:ilvl w:val="0"/>
          <w:numId w:val="3"/>
        </w:numPr>
      </w:pPr>
      <w:r>
        <w:t>✅ Walidacja: RMSE, MAE, R²</w:t>
      </w:r>
    </w:p>
    <w:p w14:paraId="0050E994" w14:textId="77777777" w:rsidR="005330FC" w:rsidRDefault="00000000">
      <w:pPr>
        <w:pStyle w:val="Akapitzlist"/>
        <w:numPr>
          <w:ilvl w:val="0"/>
          <w:numId w:val="3"/>
        </w:numPr>
      </w:pPr>
      <w:r>
        <w:t>✅ Predykcja na następne 3 lata</w:t>
      </w:r>
    </w:p>
    <w:p w14:paraId="3B1D820C" w14:textId="77777777" w:rsidR="005330FC" w:rsidRDefault="00000000">
      <w:pPr>
        <w:pStyle w:val="Akapitzlist"/>
        <w:numPr>
          <w:ilvl w:val="0"/>
          <w:numId w:val="3"/>
        </w:numPr>
      </w:pPr>
      <w:r>
        <w:t>✅ Interpretacja – które czynniki są istotne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>)</w:t>
      </w:r>
    </w:p>
    <w:p w14:paraId="7612D170" w14:textId="77777777" w:rsidR="005330FC" w:rsidRDefault="00000000">
      <w:pPr>
        <w:pStyle w:val="Akapitzlist"/>
        <w:numPr>
          <w:ilvl w:val="0"/>
          <w:numId w:val="3"/>
        </w:numPr>
      </w:pPr>
      <w:r>
        <w:t>✅ Podsumowanie dla zespołu</w:t>
      </w:r>
    </w:p>
    <w:p w14:paraId="4AF99E10" w14:textId="77777777" w:rsidR="005330FC" w:rsidRDefault="00000000">
      <w:r>
        <w:br w:type="page"/>
      </w:r>
    </w:p>
    <w:p w14:paraId="6531A6B3" w14:textId="77777777" w:rsidR="005330FC" w:rsidRDefault="00000000">
      <w:pPr>
        <w:pStyle w:val="Nagwek1"/>
      </w:pPr>
      <w:r>
        <w:lastRenderedPageBreak/>
        <w:t>2. Walidacja modeli (RMSE, MAE, R²)</w:t>
      </w:r>
    </w:p>
    <w:p w14:paraId="3CD50788" w14:textId="77777777" w:rsidR="005330FC" w:rsidRDefault="00000000">
      <w:pPr>
        <w:jc w:val="center"/>
      </w:pPr>
      <w:r>
        <w:rPr>
          <w:noProof/>
        </w:rPr>
        <w:drawing>
          <wp:inline distT="0" distB="0" distL="0" distR="0" wp14:anchorId="4321DAAD" wp14:editId="04CEFE63">
            <wp:extent cx="5334000" cy="1781175"/>
            <wp:effectExtent l="0" t="0" r="0" b="0"/>
            <wp:docPr id="1" name="w1" descr="Walidacja" title="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B277" w14:textId="77777777" w:rsidR="005330FC" w:rsidRDefault="00000000">
      <w:pPr>
        <w:spacing w:after="300"/>
        <w:jc w:val="center"/>
      </w:pPr>
      <w:r>
        <w:rPr>
          <w:i/>
          <w:iCs/>
          <w:sz w:val="20"/>
          <w:szCs w:val="20"/>
        </w:rPr>
        <w:t>Wykres 1. Porównanie metryk walidacyjnych (RMSE, MAE, R²) dla najlepszych modeli każdej choroby</w:t>
      </w:r>
    </w:p>
    <w:p w14:paraId="246152B4" w14:textId="77777777" w:rsidR="005330FC" w:rsidRDefault="00000000">
      <w:pPr>
        <w:pStyle w:val="Nagwek2"/>
      </w:pPr>
      <w:r>
        <w:t>2.1. Wyjaśnienie metryk</w:t>
      </w:r>
    </w:p>
    <w:p w14:paraId="44AE8434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RMSE (Root </w:t>
      </w:r>
      <w:proofErr w:type="spellStart"/>
      <w:r>
        <w:rPr>
          <w:b/>
          <w:bCs/>
        </w:rPr>
        <w:t>Mean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Square</w:t>
      </w:r>
      <w:proofErr w:type="spellEnd"/>
      <w:r>
        <w:rPr>
          <w:b/>
          <w:bCs/>
        </w:rPr>
        <w:t xml:space="preserve"> Error): </w:t>
      </w:r>
      <w:r>
        <w:t>Pierwiastek ze średniego błędu kwadratowego. Mocno karze duże błędy (</w:t>
      </w:r>
      <w:proofErr w:type="spellStart"/>
      <w:r>
        <w:t>outliery</w:t>
      </w:r>
      <w:proofErr w:type="spellEnd"/>
      <w:r>
        <w:t>). Im niższa wartość, tym lepiej. Jednostka taka sama jak zmienna zależna (przypadki per 100k).</w:t>
      </w:r>
    </w:p>
    <w:p w14:paraId="76129D4C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>MAE (</w:t>
      </w:r>
      <w:proofErr w:type="spellStart"/>
      <w:r>
        <w:rPr>
          <w:b/>
          <w:bCs/>
        </w:rPr>
        <w:t>Mean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Absolute</w:t>
      </w:r>
      <w:proofErr w:type="spellEnd"/>
      <w:r>
        <w:rPr>
          <w:b/>
          <w:bCs/>
        </w:rPr>
        <w:t xml:space="preserve"> Error): </w:t>
      </w:r>
      <w:r>
        <w:t xml:space="preserve">Średni błąd bezwzględny. Mniej wrażliwy na </w:t>
      </w:r>
      <w:proofErr w:type="spellStart"/>
      <w:r>
        <w:t>outliery</w:t>
      </w:r>
      <w:proofErr w:type="spellEnd"/>
      <w:r>
        <w:t xml:space="preserve"> niż RMSE. Pokazuje 'typowy' błąd predykcji. Im niższa wartość, tym lepiej.</w:t>
      </w:r>
    </w:p>
    <w:p w14:paraId="432967B7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R² (współczynnik determinacji): </w:t>
      </w:r>
      <w:r>
        <w:t>Procent wariancji wyjaśnionej przez model. Wartość 1.0 = idealne dopasowanie, 0 = model nie wyjaśnia zmienności, wartości ujemne = model gorszy niż średnia.</w:t>
      </w:r>
    </w:p>
    <w:p w14:paraId="267CC21B" w14:textId="77777777" w:rsidR="005330FC" w:rsidRDefault="00000000">
      <w:pPr>
        <w:pStyle w:val="Nagwek2"/>
      </w:pPr>
      <w:r>
        <w:t>2.2. Szczegółowa interpretacja wyników</w:t>
      </w:r>
    </w:p>
    <w:p w14:paraId="1B2F4B7F" w14:textId="77777777" w:rsidR="005330FC" w:rsidRDefault="00000000">
      <w:pPr>
        <w:pStyle w:val="Nagwek3"/>
      </w:pPr>
      <w:r>
        <w:t>Salmonelloza – najlepsza predykcja (R² = 0.94)</w:t>
      </w:r>
    </w:p>
    <w:p w14:paraId="006FF7C5" w14:textId="77777777" w:rsidR="005330FC" w:rsidRDefault="00000000">
      <w:pPr>
        <w:spacing w:after="200"/>
      </w:pPr>
      <w:r>
        <w:t>Salmonelloza osiąga najlepsze wyniki spośród wszystkich chorób. Model Las losowy wyjaśnia aż 94% zmienności zachorowalności. Jest to możliwe dzięki kilku czynnikom:</w:t>
      </w:r>
    </w:p>
    <w:p w14:paraId="6280EF9F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Stabilność epidemiologiczna: </w:t>
      </w:r>
      <w:r>
        <w:t>Salmonelloza nie powoduje nagłych epidemii – liczba przypadków jest względnie stała z roku na rok.</w:t>
      </w:r>
    </w:p>
    <w:p w14:paraId="0775834E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Silna autokorelacja: </w:t>
      </w:r>
      <w:r>
        <w:t>Zachorowalność w danym roku silnie koreluje z poprzednimi latami, co cechy Lag1/Lag2 skutecznie wykorzystują.</w:t>
      </w:r>
    </w:p>
    <w:p w14:paraId="423AEC6D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Brak nagłych interwencji: </w:t>
      </w:r>
      <w:r>
        <w:t>Nie ma szczepionki ani programów eliminacji, więc trendy są przewidywalne.</w:t>
      </w:r>
    </w:p>
    <w:p w14:paraId="698CE810" w14:textId="77777777" w:rsidR="005330FC" w:rsidRDefault="00000000">
      <w:pPr>
        <w:pStyle w:val="Nagwek3"/>
      </w:pPr>
      <w:r>
        <w:t>Gruźlica – bardzo dobra predykcja (R² = 0.88)</w:t>
      </w:r>
    </w:p>
    <w:p w14:paraId="5DAF9F2D" w14:textId="77777777" w:rsidR="005330FC" w:rsidRDefault="00000000">
      <w:pPr>
        <w:spacing w:after="200"/>
      </w:pPr>
      <w:r>
        <w:t>Gruźlica również charakteryzuje się wysoką przewidywalnością. Stały trend spadkowy, będący wynikiem skutecznych programów kontroli (diagnostyka, leczenie DOT), jest łatwy do uchwycenia przez model.</w:t>
      </w:r>
    </w:p>
    <w:p w14:paraId="357A7ABC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Trend długoterminowy: </w:t>
      </w:r>
      <w:r>
        <w:t>Gruźlica systematycznie spada od lat 90. XX wieku w całej Europie.</w:t>
      </w:r>
    </w:p>
    <w:p w14:paraId="36C33BAA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Różnice geograficzne: </w:t>
      </w:r>
      <w:r>
        <w:t>Wyraźna różnica między Europą Zachodnią (niskie wartości) a Wschodnią (wyższe) – model uczy się tej zależności.</w:t>
      </w:r>
    </w:p>
    <w:p w14:paraId="7AD4B987" w14:textId="77777777" w:rsidR="005330FC" w:rsidRDefault="00000000">
      <w:pPr>
        <w:pStyle w:val="Nagwek3"/>
      </w:pPr>
      <w:r>
        <w:lastRenderedPageBreak/>
        <w:t>Odra – umiarkowana predykcja (R² = 0.18)</w:t>
      </w:r>
    </w:p>
    <w:p w14:paraId="4DDE68E7" w14:textId="77777777" w:rsidR="005330FC" w:rsidRDefault="00000000">
      <w:pPr>
        <w:spacing w:after="200"/>
      </w:pPr>
      <w:r>
        <w:rPr>
          <w:b/>
          <w:bCs/>
        </w:rPr>
        <w:t xml:space="preserve">Odra osiąga znacznie niższy R², co wymaga głębszego wyjaśnienia. </w:t>
      </w:r>
      <w:r>
        <w:t>Niskie R² nie oznacza, że model jest zły – oznacza, że choroba jest nieprzewidywalna. Jest to sama w sobie ważna informacja epidemiologiczna.</w:t>
      </w:r>
    </w:p>
    <w:p w14:paraId="686B3F4E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Nagłe epidemie: </w:t>
      </w:r>
      <w:r>
        <w:t xml:space="preserve">Odra charakteryzuje się gwałtownymi wzrostami </w:t>
      </w:r>
      <w:proofErr w:type="spellStart"/>
      <w:r>
        <w:t>zachorowań</w:t>
      </w:r>
      <w:proofErr w:type="spellEnd"/>
      <w:r>
        <w:t xml:space="preserve">, które pojawiają się 'znienacka' gdy </w:t>
      </w:r>
      <w:proofErr w:type="spellStart"/>
      <w:r>
        <w:t>wyszczepialność</w:t>
      </w:r>
      <w:proofErr w:type="spellEnd"/>
      <w:r>
        <w:t xml:space="preserve"> spada poniżej progu.</w:t>
      </w:r>
    </w:p>
    <w:p w14:paraId="756887EC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Efekt progowy: </w:t>
      </w:r>
      <w:r>
        <w:t xml:space="preserve">Przy </w:t>
      </w:r>
      <w:proofErr w:type="spellStart"/>
      <w:r>
        <w:t>wyszczepialności</w:t>
      </w:r>
      <w:proofErr w:type="spellEnd"/>
      <w:r>
        <w:t xml:space="preserve"> &gt;95% </w:t>
      </w:r>
      <w:proofErr w:type="spellStart"/>
      <w:r>
        <w:t>zachorowań</w:t>
      </w:r>
      <w:proofErr w:type="spellEnd"/>
      <w:r>
        <w:t xml:space="preserve"> prawie nie ma. Poniżej 95% – nagłe epidemie. Model liniowy nie radzi sobie z taką nieliniowością.</w:t>
      </w:r>
    </w:p>
    <w:p w14:paraId="46335ADA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Przypadki importowane: </w:t>
      </w:r>
      <w:r>
        <w:t>Wiele epidemii zaczyna się od przypadku importowanego z innego kraju – czynnik niemożliwy do przewidzenia.</w:t>
      </w:r>
    </w:p>
    <w:p w14:paraId="3B312940" w14:textId="77777777" w:rsidR="005330FC" w:rsidRDefault="00000000">
      <w:pPr>
        <w:pStyle w:val="Nagwek3"/>
      </w:pPr>
      <w:r>
        <w:t>Krztusiec – najtrudniejszy do predykcji (R² = 0.001)</w:t>
      </w:r>
    </w:p>
    <w:p w14:paraId="68083DBC" w14:textId="77777777" w:rsidR="005330FC" w:rsidRDefault="00000000">
      <w:pPr>
        <w:spacing w:after="200"/>
      </w:pPr>
      <w:r>
        <w:t>Krztusiec ma niemal zerowe R², co oznacza, że model nie jest w stanie przewidzieć zachorowalności lepiej niż zwykła średnia. Przyczyny:</w:t>
      </w:r>
    </w:p>
    <w:p w14:paraId="1F354C0F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Naturalne cykle 3-5 letnie: </w:t>
      </w:r>
      <w:r>
        <w:t xml:space="preserve">Krztusiec wykazuje regularne cykle epidemiczne niezależnie od </w:t>
      </w:r>
      <w:proofErr w:type="spellStart"/>
      <w:r>
        <w:t>wyszczepialności</w:t>
      </w:r>
      <w:proofErr w:type="spellEnd"/>
      <w:r>
        <w:t>. Te cykle są bardzo trudne do uchwycenia przez standardowe modele regresyjne.</w:t>
      </w:r>
    </w:p>
    <w:p w14:paraId="5AB3B177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Zanikająca odporność: </w:t>
      </w:r>
      <w:r>
        <w:t>W przeciwieństwie do odry, odporność na krztusiec (zarówno poszczepienna, jak i po przejściu choroby) zanika po 5-10 latach.</w:t>
      </w:r>
    </w:p>
    <w:p w14:paraId="3AAC1027" w14:textId="77777777" w:rsidR="005330FC" w:rsidRDefault="00000000">
      <w:pPr>
        <w:pStyle w:val="Akapitzlist"/>
        <w:numPr>
          <w:ilvl w:val="0"/>
          <w:numId w:val="3"/>
        </w:numPr>
      </w:pPr>
      <w:proofErr w:type="spellStart"/>
      <w:r>
        <w:rPr>
          <w:b/>
          <w:bCs/>
        </w:rPr>
        <w:t>Niedodiagnozowanie</w:t>
      </w:r>
      <w:proofErr w:type="spellEnd"/>
      <w:r>
        <w:rPr>
          <w:b/>
          <w:bCs/>
        </w:rPr>
        <w:t xml:space="preserve">: </w:t>
      </w:r>
      <w:r>
        <w:t>Krztusiec u dorosłych często przebiega jako 'przewlekły kaszel' i nie jest diagnozowany, co zaburza dane.</w:t>
      </w:r>
    </w:p>
    <w:p w14:paraId="75F46D8C" w14:textId="77777777" w:rsidR="005330FC" w:rsidRDefault="00000000">
      <w:pPr>
        <w:pStyle w:val="Nagwek2"/>
      </w:pPr>
      <w:r>
        <w:t>2.3. Kluczowy wniosek</w:t>
      </w:r>
    </w:p>
    <w:p w14:paraId="3D1B9BB4" w14:textId="77777777" w:rsidR="005330FC" w:rsidRDefault="00000000">
      <w:pPr>
        <w:spacing w:after="200"/>
      </w:pPr>
      <w:r>
        <w:rPr>
          <w:b/>
          <w:bCs/>
          <w:color w:val="E74C3C"/>
        </w:rPr>
        <w:t xml:space="preserve">⚠️ WAŻNE: </w:t>
      </w:r>
      <w:r>
        <w:t>Różnice w R² między chorobami odzwierciedlają ich rzeczywistą przewidywalność epidemiologiczną, a nie jakość modelu. Choroby z niskim R² (odra, krztusiec) wymagają innych strategii – monitoringu w czasie rzeczywistym i systemów wczesnego ostrzegania, a nie predykcji rocznych.</w:t>
      </w:r>
    </w:p>
    <w:p w14:paraId="67312E5E" w14:textId="77777777" w:rsidR="005330FC" w:rsidRDefault="00000000">
      <w:r>
        <w:br w:type="page"/>
      </w:r>
    </w:p>
    <w:p w14:paraId="64CCAE27" w14:textId="77777777" w:rsidR="005330FC" w:rsidRDefault="00000000">
      <w:pPr>
        <w:pStyle w:val="Nagwek1"/>
      </w:pPr>
      <w:r>
        <w:lastRenderedPageBreak/>
        <w:t>3. Predykcja vs Rzeczywistość – walidacja wizualna</w:t>
      </w:r>
    </w:p>
    <w:p w14:paraId="1B41FE7D" w14:textId="77777777" w:rsidR="005330FC" w:rsidRDefault="00000000">
      <w:pPr>
        <w:jc w:val="center"/>
      </w:pPr>
      <w:r>
        <w:rPr>
          <w:noProof/>
        </w:rPr>
        <w:drawing>
          <wp:inline distT="0" distB="0" distL="0" distR="0" wp14:anchorId="1401BFC9" wp14:editId="22272EC1">
            <wp:extent cx="4572000" cy="3810000"/>
            <wp:effectExtent l="0" t="0" r="0" b="0"/>
            <wp:docPr id="853739011" name="w2" descr="Pred vs Real" title="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BF9A" w14:textId="77777777" w:rsidR="005330FC" w:rsidRDefault="00000000">
      <w:pPr>
        <w:spacing w:after="300"/>
        <w:jc w:val="center"/>
      </w:pPr>
      <w:r>
        <w:rPr>
          <w:i/>
          <w:iCs/>
          <w:sz w:val="20"/>
          <w:szCs w:val="20"/>
        </w:rPr>
        <w:t>Wykres 2. Predykcja vs Rzeczywistość – punkty blisko czerwonej linii = dobre dopasowanie</w:t>
      </w:r>
    </w:p>
    <w:p w14:paraId="42DF47A5" w14:textId="77777777" w:rsidR="005330FC" w:rsidRDefault="00000000">
      <w:pPr>
        <w:pStyle w:val="Nagwek2"/>
      </w:pPr>
      <w:r>
        <w:t>3.1. Jak czytać ten wykres?</w:t>
      </w:r>
    </w:p>
    <w:p w14:paraId="0ACC5079" w14:textId="77777777" w:rsidR="005330FC" w:rsidRDefault="00000000">
      <w:pPr>
        <w:spacing w:after="200"/>
      </w:pPr>
      <w:r>
        <w:t xml:space="preserve">Każdy punkt reprezentuje jedną obserwację (kraj-rok) ze zbioru testowego. Oś X pokazuje rzeczywistą zachorowalność, oś Y – przewidywaną przez model. </w:t>
      </w:r>
      <w:r>
        <w:rPr>
          <w:b/>
          <w:bCs/>
        </w:rPr>
        <w:t xml:space="preserve">Czerwona linia przerywana </w:t>
      </w:r>
      <w:r>
        <w:t>oznacza idealne dopasowanie (predykcja = rzeczywistość). Im bliżej punkty leżą tej linii, tym lepszy model.</w:t>
      </w:r>
    </w:p>
    <w:p w14:paraId="5B37E907" w14:textId="77777777" w:rsidR="005330FC" w:rsidRDefault="00000000">
      <w:pPr>
        <w:pStyle w:val="Nagwek2"/>
      </w:pPr>
      <w:r>
        <w:t>3.2. Analiza poszczególnych chorób</w:t>
      </w:r>
    </w:p>
    <w:p w14:paraId="0AF39ECB" w14:textId="77777777" w:rsidR="005330FC" w:rsidRDefault="00000000">
      <w:pPr>
        <w:pStyle w:val="Nagwek3"/>
      </w:pPr>
      <w:r>
        <w:t>Salmonelloza i Gruźlica (dolne wykresy) – dobre dopasowanie</w:t>
      </w:r>
    </w:p>
    <w:p w14:paraId="3F1F7EC7" w14:textId="77777777" w:rsidR="005330FC" w:rsidRDefault="00000000">
      <w:pPr>
        <w:spacing w:after="200"/>
      </w:pPr>
      <w:r>
        <w:t>Punkty układają się wzdłuż czerwonej linii, tworząc wyraźny wzorzec liniowy. Oznacza to, że:</w:t>
      </w:r>
    </w:p>
    <w:p w14:paraId="364F7880" w14:textId="77777777" w:rsidR="005330FC" w:rsidRDefault="00000000">
      <w:pPr>
        <w:pStyle w:val="Akapitzlist"/>
        <w:numPr>
          <w:ilvl w:val="0"/>
          <w:numId w:val="3"/>
        </w:numPr>
      </w:pPr>
      <w:r>
        <w:t>Model poprawnie przewiduje zarówno niskie, jak i wysokie wartości zachorowalności</w:t>
      </w:r>
    </w:p>
    <w:p w14:paraId="21CEA908" w14:textId="77777777" w:rsidR="005330FC" w:rsidRDefault="00000000">
      <w:pPr>
        <w:pStyle w:val="Akapitzlist"/>
        <w:numPr>
          <w:ilvl w:val="0"/>
          <w:numId w:val="3"/>
        </w:numPr>
      </w:pPr>
      <w:r>
        <w:t>Błędy są stosunkowo małe i równomiernie rozłożone</w:t>
      </w:r>
    </w:p>
    <w:p w14:paraId="10376C47" w14:textId="77777777" w:rsidR="005330FC" w:rsidRDefault="00000000">
      <w:pPr>
        <w:pStyle w:val="Akapitzlist"/>
        <w:numPr>
          <w:ilvl w:val="0"/>
          <w:numId w:val="3"/>
        </w:numPr>
      </w:pPr>
      <w:r>
        <w:t>Model można wykorzystać do planowania zasobów zdrowotnych</w:t>
      </w:r>
    </w:p>
    <w:p w14:paraId="3941A780" w14:textId="77777777" w:rsidR="005330FC" w:rsidRDefault="00000000">
      <w:pPr>
        <w:pStyle w:val="Nagwek3"/>
      </w:pPr>
      <w:r>
        <w:t xml:space="preserve">Odra (górny lewy) – rozproszenie z </w:t>
      </w:r>
      <w:proofErr w:type="spellStart"/>
      <w:r>
        <w:t>outlierami</w:t>
      </w:r>
      <w:proofErr w:type="spellEnd"/>
    </w:p>
    <w:p w14:paraId="26C3ACD2" w14:textId="77777777" w:rsidR="005330FC" w:rsidRDefault="00000000">
      <w:pPr>
        <w:spacing w:after="200"/>
      </w:pPr>
      <w:r>
        <w:t>Punkty są znacznie bardziej rozproszone. Widoczne są:</w:t>
      </w:r>
    </w:p>
    <w:p w14:paraId="3BC9CD87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Skupisko przy niskich wartościach: </w:t>
      </w:r>
      <w:r>
        <w:t>Większość krajów-lat ma niską zachorowalność (blisko zera) – model to poprawnie przewiduje.</w:t>
      </w:r>
    </w:p>
    <w:p w14:paraId="47DE9AB2" w14:textId="77777777" w:rsidR="005330FC" w:rsidRDefault="00000000">
      <w:pPr>
        <w:pStyle w:val="Akapitzlist"/>
        <w:numPr>
          <w:ilvl w:val="0"/>
          <w:numId w:val="3"/>
        </w:numPr>
      </w:pPr>
      <w:proofErr w:type="spellStart"/>
      <w:r>
        <w:rPr>
          <w:b/>
          <w:bCs/>
        </w:rPr>
        <w:lastRenderedPageBreak/>
        <w:t>Outliery</w:t>
      </w:r>
      <w:proofErr w:type="spellEnd"/>
      <w:r>
        <w:rPr>
          <w:b/>
          <w:bCs/>
        </w:rPr>
        <w:t xml:space="preserve"> w prawej części: </w:t>
      </w:r>
      <w:r>
        <w:t>To są przypadki epidemii (wysoka rzeczywista zachorowalność), których model nie przewidział. Punkty są znacznie poniżej czerwonej linii.</w:t>
      </w:r>
    </w:p>
    <w:p w14:paraId="41E172A9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Interpretacja: </w:t>
      </w:r>
      <w:r>
        <w:t>Model 'wie', że odra zazwyczaj ma niską zachorowalność, ale nie potrafi przewidzieć KIEDY wybuchnie epidemia.</w:t>
      </w:r>
    </w:p>
    <w:p w14:paraId="00F888A0" w14:textId="77777777" w:rsidR="005330FC" w:rsidRDefault="00000000">
      <w:pPr>
        <w:pStyle w:val="Nagwek3"/>
      </w:pPr>
      <w:r>
        <w:t>Krztusiec (górny prawy) – brak wzorca</w:t>
      </w:r>
    </w:p>
    <w:p w14:paraId="599E23B0" w14:textId="77777777" w:rsidR="005330FC" w:rsidRDefault="00000000">
      <w:pPr>
        <w:spacing w:after="200"/>
      </w:pPr>
      <w:r>
        <w:t xml:space="preserve">Punkty są całkowicie rozproszone bez żadnego wyraźnego wzorca. Model </w:t>
      </w:r>
      <w:proofErr w:type="spellStart"/>
      <w:r>
        <w:t>predykuje</w:t>
      </w:r>
      <w:proofErr w:type="spellEnd"/>
      <w:r>
        <w:t xml:space="preserve"> wartości w wąskim zakresie (około średniej), podczas gdy rzeczywiste wartości wahają się znacznie bardziej. To potwierdza, że standardowe modele regresyjne nie nadają się do predykcji krztuśca.</w:t>
      </w:r>
    </w:p>
    <w:p w14:paraId="22CBEE4F" w14:textId="77777777" w:rsidR="005330FC" w:rsidRDefault="00000000">
      <w:pPr>
        <w:pStyle w:val="Nagwek2"/>
      </w:pPr>
      <w:r>
        <w:t>3.3. Implikacje praktyczne</w:t>
      </w:r>
    </w:p>
    <w:p w14:paraId="048203B3" w14:textId="77777777" w:rsidR="005330FC" w:rsidRDefault="00000000">
      <w:pPr>
        <w:pStyle w:val="Akapitzlist"/>
        <w:numPr>
          <w:ilvl w:val="0"/>
          <w:numId w:val="4"/>
        </w:numPr>
      </w:pPr>
      <w:r>
        <w:rPr>
          <w:b/>
          <w:bCs/>
        </w:rPr>
        <w:t xml:space="preserve">Salmonelloza, Gruźlica: </w:t>
      </w:r>
      <w:r>
        <w:t>Modele można stosować do planowania – alokacji zasobów, przewidywania obciążenia systemu zdrowia.</w:t>
      </w:r>
    </w:p>
    <w:p w14:paraId="0AD4A9F2" w14:textId="77777777" w:rsidR="005330FC" w:rsidRDefault="00000000">
      <w:pPr>
        <w:pStyle w:val="Akapitzlist"/>
        <w:numPr>
          <w:ilvl w:val="0"/>
          <w:numId w:val="4"/>
        </w:numPr>
      </w:pPr>
      <w:r>
        <w:rPr>
          <w:b/>
          <w:bCs/>
        </w:rPr>
        <w:t xml:space="preserve">Odra: </w:t>
      </w:r>
      <w:r>
        <w:t xml:space="preserve">Model może służyć jako </w:t>
      </w:r>
      <w:proofErr w:type="spellStart"/>
      <w:r>
        <w:t>baseline</w:t>
      </w:r>
      <w:proofErr w:type="spellEnd"/>
      <w:r>
        <w:t xml:space="preserve">, ale wymaga uzupełnienia o monitoring </w:t>
      </w:r>
      <w:proofErr w:type="spellStart"/>
      <w:r>
        <w:t>wyszczepialności</w:t>
      </w:r>
      <w:proofErr w:type="spellEnd"/>
      <w:r>
        <w:t xml:space="preserve"> i systemy wczesnego ostrzegania.</w:t>
      </w:r>
    </w:p>
    <w:p w14:paraId="1B885A12" w14:textId="77777777" w:rsidR="005330FC" w:rsidRDefault="00000000">
      <w:pPr>
        <w:pStyle w:val="Akapitzlist"/>
        <w:numPr>
          <w:ilvl w:val="0"/>
          <w:numId w:val="4"/>
        </w:numPr>
      </w:pPr>
      <w:r>
        <w:rPr>
          <w:b/>
          <w:bCs/>
        </w:rPr>
        <w:t xml:space="preserve">Krztusiec: </w:t>
      </w:r>
      <w:r>
        <w:t>Wymaga dedykowanych modeli cyklicznych (np. modele periodyczne, sieci neuronowe) lub podejścia jakościowego.</w:t>
      </w:r>
    </w:p>
    <w:p w14:paraId="58F41E02" w14:textId="77777777" w:rsidR="005330FC" w:rsidRDefault="00000000">
      <w:r>
        <w:br w:type="page"/>
      </w:r>
    </w:p>
    <w:p w14:paraId="283018C8" w14:textId="77777777" w:rsidR="005330FC" w:rsidRDefault="00000000">
      <w:pPr>
        <w:pStyle w:val="Nagwek1"/>
      </w:pPr>
      <w:r>
        <w:lastRenderedPageBreak/>
        <w:t>4. Które czynniki są istotne?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>)</w:t>
      </w:r>
    </w:p>
    <w:p w14:paraId="58337344" w14:textId="77777777" w:rsidR="005330FC" w:rsidRDefault="00000000">
      <w:pPr>
        <w:jc w:val="center"/>
      </w:pPr>
      <w:r>
        <w:rPr>
          <w:noProof/>
        </w:rPr>
        <w:drawing>
          <wp:inline distT="0" distB="0" distL="0" distR="0" wp14:anchorId="54396672" wp14:editId="391C166E">
            <wp:extent cx="4953000" cy="3533775"/>
            <wp:effectExtent l="0" t="0" r="0" b="0"/>
            <wp:docPr id="867863730" name="w3" descr="Feature Importance" title="W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E3E6" w14:textId="77777777" w:rsidR="005330FC" w:rsidRDefault="00000000">
      <w:pPr>
        <w:spacing w:after="300"/>
        <w:jc w:val="center"/>
      </w:pPr>
      <w:r>
        <w:rPr>
          <w:i/>
          <w:iCs/>
          <w:sz w:val="20"/>
          <w:szCs w:val="20"/>
        </w:rPr>
        <w:t>Wykres 3. Ważność cech predykcyjnych z modelu Las losowy dla każdej choroby</w:t>
      </w:r>
    </w:p>
    <w:p w14:paraId="6A08D37B" w14:textId="77777777" w:rsidR="005330FC" w:rsidRDefault="00000000">
      <w:pPr>
        <w:pStyle w:val="Nagwek2"/>
      </w:pPr>
      <w:r>
        <w:t xml:space="preserve">4.1. Jak interpretować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>?</w:t>
      </w:r>
    </w:p>
    <w:p w14:paraId="6FA60938" w14:textId="77777777" w:rsidR="005330FC" w:rsidRDefault="00000000">
      <w:pPr>
        <w:spacing w:after="200"/>
      </w:pP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z modelu Las losowy pokazuje, jak bardzo każda zmienna przyczynia się do zmniejszenia błędu predykcji. Wartości sumują się do 1.0. Wyższa wartość = większy wpływ na predykcję.</w:t>
      </w:r>
    </w:p>
    <w:p w14:paraId="4FBCACFE" w14:textId="77777777" w:rsidR="005330FC" w:rsidRDefault="00000000">
      <w:pPr>
        <w:pStyle w:val="Nagwek2"/>
      </w:pPr>
      <w:r>
        <w:t>4.2. Analiza kluczowych czynników</w:t>
      </w:r>
    </w:p>
    <w:p w14:paraId="14456BA9" w14:textId="77777777" w:rsidR="005330FC" w:rsidRDefault="00000000">
      <w:pPr>
        <w:pStyle w:val="Nagwek3"/>
      </w:pPr>
      <w:r>
        <w:t>Zachorowalność z poprzedniego roku (Incidence_Lag1) – NAJWAŻNIEJSZY</w:t>
      </w:r>
    </w:p>
    <w:p w14:paraId="463FEEA3" w14:textId="77777777" w:rsidR="005330FC" w:rsidRDefault="00000000">
      <w:pPr>
        <w:spacing w:after="200"/>
      </w:pPr>
      <w:r>
        <w:t xml:space="preserve">We wszystkich chorobach Lag1 dominuje jako najważniejszy </w:t>
      </w:r>
      <w:proofErr w:type="spellStart"/>
      <w:r>
        <w:t>predyktor</w:t>
      </w:r>
      <w:proofErr w:type="spellEnd"/>
      <w:r>
        <w:t>. Ma to fundamentalne znaczenie epidemiologiczne:</w:t>
      </w:r>
    </w:p>
    <w:p w14:paraId="1DB2BE8E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Autokorelacja czasowa: </w:t>
      </w:r>
      <w:r>
        <w:t>Epidemie nie kończą się z dnia na dzień – wirus lub bakteria nadal krąży w populacji. Wysoka zachorowalność w roku N oznacza więcej źródeł zakażenia w roku N+1.</w:t>
      </w:r>
    </w:p>
    <w:p w14:paraId="6D45112B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Efekt kaskadowy: </w:t>
      </w:r>
      <w:r>
        <w:t>Każdy przypadek generuje kolejne przypadki (łańcuchy transmisji). Epidemie mają tendencję do trwania 2-3 lat, zanim wygasną.</w:t>
      </w:r>
    </w:p>
    <w:p w14:paraId="0DB098AF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  <w:color w:val="27AE60"/>
        </w:rPr>
        <w:t xml:space="preserve">Praktyczny wniosek: </w:t>
      </w:r>
      <w:r>
        <w:t xml:space="preserve">Wczesna i zdecydowana reakcja na wzrost </w:t>
      </w:r>
      <w:proofErr w:type="spellStart"/>
      <w:r>
        <w:t>zachorowań</w:t>
      </w:r>
      <w:proofErr w:type="spellEnd"/>
      <w:r>
        <w:t xml:space="preserve"> jest KRYTYCZNA. Im szybciej opanujemy ognisko, tym mniej przypadków w przyszłości.</w:t>
      </w:r>
    </w:p>
    <w:p w14:paraId="4ADE2101" w14:textId="77777777" w:rsidR="005330FC" w:rsidRDefault="00000000">
      <w:pPr>
        <w:pStyle w:val="Nagwek3"/>
      </w:pPr>
      <w:r>
        <w:t>Średnia krocząca 3-letnia (Incidence_MA3)</w:t>
      </w:r>
    </w:p>
    <w:p w14:paraId="46A4FC61" w14:textId="77777777" w:rsidR="005330FC" w:rsidRDefault="00000000">
      <w:pPr>
        <w:spacing w:after="200"/>
      </w:pPr>
      <w:r>
        <w:t>Druga najważniejsza cecha, reprezentująca średnioterminowy trend:</w:t>
      </w:r>
    </w:p>
    <w:p w14:paraId="4272E6FC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Wygładzenie szumu: </w:t>
      </w:r>
      <w:r>
        <w:t>Eliminuje krótkoterminowe fluktuacje i pokazuje rzeczywisty kierunek trendu.</w:t>
      </w:r>
    </w:p>
    <w:p w14:paraId="4D1431E7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lastRenderedPageBreak/>
        <w:t xml:space="preserve">Identyfikacja problemu endemicznego: </w:t>
      </w:r>
      <w:r>
        <w:t xml:space="preserve">Wysoka wartość MA3 wskazuje, że dany kraj ma chroniczny problem z chorobą – </w:t>
      </w:r>
      <w:proofErr w:type="gramStart"/>
      <w:r>
        <w:t>nie jednorazowy</w:t>
      </w:r>
      <w:proofErr w:type="gramEnd"/>
      <w:r>
        <w:t xml:space="preserve"> incydent.</w:t>
      </w:r>
    </w:p>
    <w:p w14:paraId="1ACB5B63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  <w:color w:val="27AE60"/>
        </w:rPr>
        <w:t xml:space="preserve">Praktyczny wniosek: </w:t>
      </w:r>
      <w:r>
        <w:t>Kraje z wysoką MA3 wymagają długoterminowych, systemowych interwencji, nie tylko reakcji na pojedyncze ogniska.</w:t>
      </w:r>
    </w:p>
    <w:p w14:paraId="067DB119" w14:textId="77777777" w:rsidR="005330FC" w:rsidRDefault="00000000">
      <w:pPr>
        <w:pStyle w:val="Nagwek3"/>
      </w:pPr>
      <w:proofErr w:type="spellStart"/>
      <w:r>
        <w:t>Wyszczepialność</w:t>
      </w:r>
      <w:proofErr w:type="spellEnd"/>
      <w:r>
        <w:t xml:space="preserve"> (</w:t>
      </w:r>
      <w:proofErr w:type="spellStart"/>
      <w:r>
        <w:t>Vaccination_Coverage_Pct</w:t>
      </w:r>
      <w:proofErr w:type="spellEnd"/>
      <w:r>
        <w:t>)</w:t>
      </w:r>
    </w:p>
    <w:p w14:paraId="1EFFAE2D" w14:textId="77777777" w:rsidR="005330FC" w:rsidRDefault="00000000">
      <w:pPr>
        <w:spacing w:after="200"/>
      </w:pPr>
      <w:r>
        <w:t>Trzecia najważniejsza cecha, szczególnie istotna dla odry i krztuśca:</w:t>
      </w:r>
    </w:p>
    <w:p w14:paraId="51C9C0A0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Ujemna korelacja: </w:t>
      </w:r>
      <w:r>
        <w:t xml:space="preserve">Wyższa </w:t>
      </w:r>
      <w:proofErr w:type="spellStart"/>
      <w:r>
        <w:t>wyszczepialność</w:t>
      </w:r>
      <w:proofErr w:type="spellEnd"/>
      <w:r>
        <w:t xml:space="preserve"> = niższa zachorowalność. Potwierdzenie skuteczności programów szczepień.</w:t>
      </w:r>
    </w:p>
    <w:p w14:paraId="43EF9084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Próg odporności zbiorowej: </w:t>
      </w:r>
      <w:r>
        <w:t>Dla odry wynosi 95%. Spadek poniżej tego progu DRAMATYCZNIE zwiększa ryzyko epidemii.</w:t>
      </w:r>
    </w:p>
    <w:p w14:paraId="5888025A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Opóźniony efekt: </w:t>
      </w:r>
      <w:r>
        <w:t xml:space="preserve">Spadek </w:t>
      </w:r>
      <w:proofErr w:type="spellStart"/>
      <w:r>
        <w:t>wyszczepialności</w:t>
      </w:r>
      <w:proofErr w:type="spellEnd"/>
      <w:r>
        <w:t xml:space="preserve"> nie powoduje natychmiastowych epidemii – efekt widoczny jest dopiero po 1-3 latach, gdy w populacji nazbiera się wystarczająco dużo osób podatnych.</w:t>
      </w:r>
    </w:p>
    <w:p w14:paraId="74CF0DD6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  <w:color w:val="27AE60"/>
        </w:rPr>
        <w:t xml:space="preserve">Praktyczny wniosek: </w:t>
      </w:r>
      <w:r>
        <w:t xml:space="preserve">Monitoring </w:t>
      </w:r>
      <w:proofErr w:type="spellStart"/>
      <w:r>
        <w:t>wyszczepialności</w:t>
      </w:r>
      <w:proofErr w:type="spellEnd"/>
      <w:r>
        <w:t xml:space="preserve"> pozwala PRZEWIDZIEĆ epidemie z 1-3 letnim wyprzedzeniem!</w:t>
      </w:r>
    </w:p>
    <w:p w14:paraId="4652AE19" w14:textId="77777777" w:rsidR="005330FC" w:rsidRDefault="00000000">
      <w:pPr>
        <w:pStyle w:val="Nagwek3"/>
      </w:pPr>
      <w:r>
        <w:t>Struktura wiekowa populacji (Pop_Structure_0_14_Pct)</w:t>
      </w:r>
    </w:p>
    <w:p w14:paraId="6CEDC960" w14:textId="77777777" w:rsidR="005330FC" w:rsidRDefault="00000000">
      <w:pPr>
        <w:spacing w:after="200"/>
      </w:pPr>
      <w:r>
        <w:t>Mniejszy, ale istotny wpływ:</w:t>
      </w:r>
    </w:p>
    <w:p w14:paraId="79534EF9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Dzieci jako główna grupa ryzyka: </w:t>
      </w:r>
      <w:r>
        <w:t>Dla odry i krztuśca większość przypadków dotyczy dzieci. Kraje z wyższym udziałem dzieci mają wyższą zachorowalność.</w:t>
      </w:r>
    </w:p>
    <w:p w14:paraId="0C09A444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Gęstość kontaktów: </w:t>
      </w:r>
      <w:r>
        <w:t>Szkoły i przedszkola są miejscami intensywnej transmisji chorób.</w:t>
      </w:r>
    </w:p>
    <w:p w14:paraId="68EF7747" w14:textId="77777777" w:rsidR="005330FC" w:rsidRDefault="00000000">
      <w:r>
        <w:br w:type="page"/>
      </w:r>
    </w:p>
    <w:p w14:paraId="45BFCFEF" w14:textId="77777777" w:rsidR="005330FC" w:rsidRDefault="00000000">
      <w:pPr>
        <w:pStyle w:val="Nagwek1"/>
      </w:pPr>
      <w:r>
        <w:lastRenderedPageBreak/>
        <w:t>5. Predykcja na następne lata (ARIMA)</w:t>
      </w:r>
    </w:p>
    <w:p w14:paraId="6A98E84D" w14:textId="77777777" w:rsidR="005330FC" w:rsidRDefault="00000000">
      <w:pPr>
        <w:jc w:val="center"/>
      </w:pPr>
      <w:r>
        <w:rPr>
          <w:noProof/>
        </w:rPr>
        <w:drawing>
          <wp:inline distT="0" distB="0" distL="0" distR="0" wp14:anchorId="05954CD6" wp14:editId="4BB15D2C">
            <wp:extent cx="4953000" cy="3533775"/>
            <wp:effectExtent l="0" t="0" r="0" b="0"/>
            <wp:docPr id="1465021901" name="w4" descr="ARIMA" title="W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C212" w14:textId="77777777" w:rsidR="005330FC" w:rsidRDefault="00000000">
      <w:pPr>
        <w:spacing w:after="300"/>
        <w:jc w:val="center"/>
      </w:pPr>
      <w:r>
        <w:rPr>
          <w:i/>
          <w:iCs/>
          <w:sz w:val="20"/>
          <w:szCs w:val="20"/>
        </w:rPr>
        <w:t xml:space="preserve">Wykres 4. Predykcje modelu </w:t>
      </w:r>
      <w:proofErr w:type="gramStart"/>
      <w:r>
        <w:rPr>
          <w:i/>
          <w:iCs/>
          <w:sz w:val="20"/>
          <w:szCs w:val="20"/>
        </w:rPr>
        <w:t>ARIMA(</w:t>
      </w:r>
      <w:proofErr w:type="gramEnd"/>
      <w:r>
        <w:rPr>
          <w:i/>
          <w:iCs/>
          <w:sz w:val="20"/>
          <w:szCs w:val="20"/>
        </w:rPr>
        <w:t>1,1,1) na lata 2025-2027 dla średniej UE/EOG</w:t>
      </w:r>
    </w:p>
    <w:p w14:paraId="4265D5D3" w14:textId="77777777" w:rsidR="005330FC" w:rsidRDefault="00000000">
      <w:pPr>
        <w:pStyle w:val="Nagwek2"/>
      </w:pPr>
      <w:r>
        <w:t>5.1. Metodologia ARIMA</w:t>
      </w:r>
    </w:p>
    <w:p w14:paraId="57C8DCB6" w14:textId="77777777" w:rsidR="005330FC" w:rsidRDefault="00000000">
      <w:pPr>
        <w:spacing w:after="200"/>
      </w:pPr>
      <w:r>
        <w:t>ARIMA (</w:t>
      </w:r>
      <w:proofErr w:type="spellStart"/>
      <w:r>
        <w:t>AutoRegressive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) to klasyczny model szeregów czasowych. Zastosowano </w:t>
      </w:r>
      <w:proofErr w:type="gramStart"/>
      <w:r>
        <w:t>ARIMA(</w:t>
      </w:r>
      <w:proofErr w:type="gramEnd"/>
      <w:r>
        <w:t>1,1,1):</w:t>
      </w:r>
    </w:p>
    <w:p w14:paraId="4FC822E2" w14:textId="77777777" w:rsidR="005330FC" w:rsidRDefault="00000000">
      <w:pPr>
        <w:pStyle w:val="Akapitzlist"/>
        <w:numPr>
          <w:ilvl w:val="0"/>
          <w:numId w:val="3"/>
        </w:numPr>
      </w:pPr>
      <w:proofErr w:type="gramStart"/>
      <w:r>
        <w:rPr>
          <w:b/>
          <w:bCs/>
        </w:rPr>
        <w:t>AR(</w:t>
      </w:r>
      <w:proofErr w:type="gramEnd"/>
      <w:r>
        <w:rPr>
          <w:b/>
          <w:bCs/>
        </w:rPr>
        <w:t xml:space="preserve">1): </w:t>
      </w:r>
      <w:r>
        <w:t>Autoregresja rzędu 1 – wartość zależy od poprzedniej obserwacji</w:t>
      </w:r>
    </w:p>
    <w:p w14:paraId="4BEF201A" w14:textId="77777777" w:rsidR="005330FC" w:rsidRDefault="00000000">
      <w:pPr>
        <w:pStyle w:val="Akapitzlist"/>
        <w:numPr>
          <w:ilvl w:val="0"/>
          <w:numId w:val="3"/>
        </w:numPr>
      </w:pPr>
      <w:proofErr w:type="gramStart"/>
      <w:r>
        <w:rPr>
          <w:b/>
          <w:bCs/>
        </w:rPr>
        <w:t>I(</w:t>
      </w:r>
      <w:proofErr w:type="gramEnd"/>
      <w:r>
        <w:rPr>
          <w:b/>
          <w:bCs/>
        </w:rPr>
        <w:t xml:space="preserve">1): </w:t>
      </w:r>
      <w:r>
        <w:t>Różnicowanie rzędu 1 – modeluje się przyrosty, nie poziomy</w:t>
      </w:r>
    </w:p>
    <w:p w14:paraId="2FAF63C8" w14:textId="77777777" w:rsidR="005330FC" w:rsidRDefault="00000000">
      <w:pPr>
        <w:pStyle w:val="Akapitzlist"/>
        <w:numPr>
          <w:ilvl w:val="0"/>
          <w:numId w:val="3"/>
        </w:numPr>
      </w:pPr>
      <w:proofErr w:type="gramStart"/>
      <w:r>
        <w:rPr>
          <w:b/>
          <w:bCs/>
        </w:rPr>
        <w:t>MA(</w:t>
      </w:r>
      <w:proofErr w:type="gramEnd"/>
      <w:r>
        <w:rPr>
          <w:b/>
          <w:bCs/>
        </w:rPr>
        <w:t xml:space="preserve">1): </w:t>
      </w:r>
      <w:r>
        <w:t>Średnia ruchoma rzędu 1 – uwzględnia poprzedni błąd</w:t>
      </w:r>
    </w:p>
    <w:p w14:paraId="7693BD6E" w14:textId="77777777" w:rsidR="005330FC" w:rsidRDefault="00000000">
      <w:pPr>
        <w:spacing w:after="200"/>
      </w:pPr>
      <w:r>
        <w:rPr>
          <w:b/>
          <w:bCs/>
        </w:rPr>
        <w:t xml:space="preserve">Czerwony obszar </w:t>
      </w:r>
      <w:r>
        <w:t>na wykresie pokazuje przedział ufności 80% – zakres, w którym z 80% prawdopodobieństwem znajdzie się rzeczywista wartość.</w:t>
      </w:r>
    </w:p>
    <w:p w14:paraId="1CD713A2" w14:textId="77777777" w:rsidR="005330FC" w:rsidRDefault="00000000">
      <w:pPr>
        <w:pStyle w:val="Nagwek2"/>
      </w:pPr>
      <w:r>
        <w:t>5.2. Szczegółowa interpretacja predykcji</w:t>
      </w:r>
    </w:p>
    <w:p w14:paraId="0218EC45" w14:textId="77777777" w:rsidR="005330FC" w:rsidRDefault="00000000">
      <w:pPr>
        <w:pStyle w:val="Nagwek3"/>
      </w:pPr>
      <w:r>
        <w:t>Odra – ALARM! Przewidywany wzrost</w:t>
      </w:r>
    </w:p>
    <w:p w14:paraId="112CD24F" w14:textId="77777777" w:rsidR="005330FC" w:rsidRDefault="00000000">
      <w:pPr>
        <w:spacing w:after="200"/>
      </w:pPr>
      <w:r>
        <w:t>Model przewiduje kontynuację wysokiej zachorowalności lub dalszy wzrost. Jest to bezpośredni efekt:</w:t>
      </w:r>
    </w:p>
    <w:p w14:paraId="7F8CDFDD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Zaległości szczepień po COVID-19: </w:t>
      </w:r>
      <w:r>
        <w:t>W latach 2020-2022 wiele dzieci nie otrzymało szczepień zgodnie z kalendarzem.</w:t>
      </w:r>
    </w:p>
    <w:p w14:paraId="5A7516D9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Spadek </w:t>
      </w:r>
      <w:proofErr w:type="spellStart"/>
      <w:r>
        <w:rPr>
          <w:b/>
          <w:bCs/>
        </w:rPr>
        <w:t>wyszczepialności</w:t>
      </w:r>
      <w:proofErr w:type="spellEnd"/>
      <w:r>
        <w:rPr>
          <w:b/>
          <w:bCs/>
        </w:rPr>
        <w:t xml:space="preserve">: </w:t>
      </w:r>
      <w:r>
        <w:t xml:space="preserve">W niektórych krajach (Rumunia, Bułgaria) </w:t>
      </w:r>
      <w:proofErr w:type="spellStart"/>
      <w:r>
        <w:t>wyszczepialność</w:t>
      </w:r>
      <w:proofErr w:type="spellEnd"/>
      <w:r>
        <w:t xml:space="preserve"> spadła poniżej 90%.</w:t>
      </w:r>
    </w:p>
    <w:p w14:paraId="58FA5C85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Epidemia 2024: </w:t>
      </w:r>
      <w:r>
        <w:t>Trwająca epidemia rozleje się na kolejne lata.</w:t>
      </w:r>
    </w:p>
    <w:p w14:paraId="2C997824" w14:textId="77777777" w:rsidR="005330FC" w:rsidRDefault="00000000">
      <w:pPr>
        <w:pStyle w:val="Nagwek3"/>
      </w:pPr>
      <w:r>
        <w:t>Krztusiec – cykliczny wzrost</w:t>
      </w:r>
    </w:p>
    <w:p w14:paraId="16A2CA8F" w14:textId="77777777" w:rsidR="005330FC" w:rsidRDefault="00000000">
      <w:pPr>
        <w:spacing w:after="200"/>
      </w:pPr>
      <w:r>
        <w:t>Model pokazuje wzrost zachorowalności, co jest zgodne z naturalnym cyklem 3-5 letnim tej choroby.</w:t>
      </w:r>
    </w:p>
    <w:p w14:paraId="7E417C61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lastRenderedPageBreak/>
        <w:t xml:space="preserve">Naturalny cykl: </w:t>
      </w:r>
      <w:r>
        <w:t>Ostatni szczyt był około 2019-2020, więc kolejny przypada na ~2024-2025.</w:t>
      </w:r>
    </w:p>
    <w:p w14:paraId="314D8A6D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Zanikająca odporność: </w:t>
      </w:r>
      <w:r>
        <w:t>Osoby szczepione w dzieciństwie tracą odporność po 5-10 latach.</w:t>
      </w:r>
    </w:p>
    <w:p w14:paraId="34F381AC" w14:textId="77777777" w:rsidR="005330FC" w:rsidRDefault="00000000">
      <w:pPr>
        <w:pStyle w:val="Nagwek3"/>
      </w:pPr>
      <w:r>
        <w:t>Salmonelloza – stabilność</w:t>
      </w:r>
    </w:p>
    <w:p w14:paraId="7CC260FF" w14:textId="77777777" w:rsidR="005330FC" w:rsidRDefault="00000000">
      <w:pPr>
        <w:spacing w:after="200"/>
      </w:pPr>
      <w:r>
        <w:t>Model przewiduje utrzymanie się zachorowalności na obecnym poziomie, bez wyraźnego trendu wzrostowego ani spadkowego.</w:t>
      </w:r>
    </w:p>
    <w:p w14:paraId="48101BB6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Skuteczna kontrola: </w:t>
      </w:r>
      <w:r>
        <w:t>Europejskie systemy bezpieczeństwa żywności działają skutecznie.</w:t>
      </w:r>
    </w:p>
    <w:p w14:paraId="2D03DF5F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Sezonowość: </w:t>
      </w:r>
      <w:r>
        <w:t>Szczyt w miesiącach letnich – dane roczne wygładzają ten efekt.</w:t>
      </w:r>
    </w:p>
    <w:p w14:paraId="0DEB02FC" w14:textId="77777777" w:rsidR="005330FC" w:rsidRDefault="00000000">
      <w:pPr>
        <w:pStyle w:val="Nagwek3"/>
      </w:pPr>
      <w:r>
        <w:t>Gruźlica – kontynuacja spadku</w:t>
      </w:r>
    </w:p>
    <w:p w14:paraId="0BDE2437" w14:textId="77777777" w:rsidR="005330FC" w:rsidRDefault="00000000">
      <w:pPr>
        <w:spacing w:after="200"/>
      </w:pPr>
      <w:r>
        <w:t>Model przewiduje dalszy spadek zachorowalności, kontynuując trend obserwowany od lat 90. XX wieku.</w:t>
      </w:r>
    </w:p>
    <w:p w14:paraId="641FFAF7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Sukces programów kontroli: </w:t>
      </w:r>
      <w:r>
        <w:t>Diagnostyka molekularna, leczenie DOT, poprawa warunków życia.</w:t>
      </w:r>
    </w:p>
    <w:p w14:paraId="39EBBD48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Różnice regionalne: </w:t>
      </w:r>
      <w:r>
        <w:t>Europa Wschodnia nadal ma wyższą zachorowalność niż Zachodnia.</w:t>
      </w:r>
    </w:p>
    <w:p w14:paraId="7CC3E27F" w14:textId="77777777" w:rsidR="005330FC" w:rsidRDefault="00000000">
      <w:r>
        <w:br w:type="page"/>
      </w:r>
    </w:p>
    <w:p w14:paraId="01D50E90" w14:textId="77777777" w:rsidR="005330FC" w:rsidRDefault="00000000">
      <w:pPr>
        <w:pStyle w:val="Nagwek1"/>
      </w:pPr>
      <w:r>
        <w:lastRenderedPageBreak/>
        <w:t>6. Porównanie konfiguracji modeli (</w:t>
      </w:r>
      <w:proofErr w:type="spellStart"/>
      <w:r>
        <w:t>Heatmapa</w:t>
      </w:r>
      <w:proofErr w:type="spellEnd"/>
      <w:r>
        <w:t>)</w:t>
      </w:r>
    </w:p>
    <w:p w14:paraId="659C577E" w14:textId="77777777" w:rsidR="005330FC" w:rsidRDefault="00000000">
      <w:pPr>
        <w:jc w:val="center"/>
      </w:pPr>
      <w:r>
        <w:rPr>
          <w:noProof/>
        </w:rPr>
        <w:drawing>
          <wp:inline distT="0" distB="0" distL="0" distR="0" wp14:anchorId="6E5039FF" wp14:editId="16CDE3C0">
            <wp:extent cx="5143500" cy="1838325"/>
            <wp:effectExtent l="0" t="0" r="0" b="0"/>
            <wp:docPr id="1317415171" name="w5" descr="Heatmapa" title="W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6AEC" w14:textId="77777777" w:rsidR="005330FC" w:rsidRDefault="00000000">
      <w:pPr>
        <w:spacing w:after="300"/>
        <w:jc w:val="center"/>
      </w:pPr>
      <w:r>
        <w:rPr>
          <w:i/>
          <w:iCs/>
          <w:sz w:val="20"/>
          <w:szCs w:val="20"/>
        </w:rPr>
        <w:t xml:space="preserve">Wykres 5. </w:t>
      </w:r>
      <w:proofErr w:type="spellStart"/>
      <w:r>
        <w:rPr>
          <w:i/>
          <w:iCs/>
          <w:sz w:val="20"/>
          <w:szCs w:val="20"/>
        </w:rPr>
        <w:t>Heatmapa</w:t>
      </w:r>
      <w:proofErr w:type="spellEnd"/>
      <w:r>
        <w:rPr>
          <w:i/>
          <w:iCs/>
          <w:sz w:val="20"/>
          <w:szCs w:val="20"/>
        </w:rPr>
        <w:t xml:space="preserve"> RMSE i R² dla wszystkich kombinacji model × choroba</w:t>
      </w:r>
    </w:p>
    <w:p w14:paraId="4B73AAAA" w14:textId="77777777" w:rsidR="005330FC" w:rsidRDefault="00000000">
      <w:pPr>
        <w:pStyle w:val="Nagwek2"/>
      </w:pPr>
      <w:r>
        <w:t xml:space="preserve">6.1. Jak czytać </w:t>
      </w:r>
      <w:proofErr w:type="spellStart"/>
      <w:r>
        <w:t>heatmapę</w:t>
      </w:r>
      <w:proofErr w:type="spellEnd"/>
      <w:r>
        <w:t>?</w:t>
      </w:r>
    </w:p>
    <w:p w14:paraId="2F6707D0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Lewa </w:t>
      </w:r>
      <w:proofErr w:type="spellStart"/>
      <w:r>
        <w:rPr>
          <w:b/>
          <w:bCs/>
        </w:rPr>
        <w:t>heatmapa</w:t>
      </w:r>
      <w:proofErr w:type="spellEnd"/>
      <w:r>
        <w:rPr>
          <w:b/>
          <w:bCs/>
        </w:rPr>
        <w:t xml:space="preserve"> (RMSE): </w:t>
      </w:r>
      <w:r>
        <w:t>Ciemniejszy kolor = wyższy błąd = gorszy model. Szukamy jasnych pól.</w:t>
      </w:r>
    </w:p>
    <w:p w14:paraId="1EA3780D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Prawa </w:t>
      </w:r>
      <w:proofErr w:type="spellStart"/>
      <w:r>
        <w:rPr>
          <w:b/>
          <w:bCs/>
        </w:rPr>
        <w:t>heatmapa</w:t>
      </w:r>
      <w:proofErr w:type="spellEnd"/>
      <w:r>
        <w:rPr>
          <w:b/>
          <w:bCs/>
        </w:rPr>
        <w:t xml:space="preserve"> (R²): </w:t>
      </w:r>
      <w:r>
        <w:t>Zieleń = dobre dopasowanie, czerwień = słabe. Szukamy zielonych pól.</w:t>
      </w:r>
    </w:p>
    <w:p w14:paraId="00415B20" w14:textId="77777777" w:rsidR="005330FC" w:rsidRDefault="00000000">
      <w:pPr>
        <w:pStyle w:val="Nagwek2"/>
      </w:pPr>
      <w:r>
        <w:t>6.2. Analiza wyników</w:t>
      </w:r>
    </w:p>
    <w:p w14:paraId="66518A47" w14:textId="77777777" w:rsidR="005330FC" w:rsidRDefault="00000000">
      <w:pPr>
        <w:pStyle w:val="Nagwek3"/>
      </w:pPr>
      <w:r>
        <w:t xml:space="preserve">Las losowy i Gradient </w:t>
      </w:r>
      <w:proofErr w:type="spellStart"/>
      <w:r>
        <w:t>Boosting</w:t>
      </w:r>
      <w:proofErr w:type="spellEnd"/>
      <w:r>
        <w:t xml:space="preserve"> – najlepsze wyniki</w:t>
      </w:r>
    </w:p>
    <w:p w14:paraId="6132B3B6" w14:textId="77777777" w:rsidR="005330FC" w:rsidRDefault="00000000">
      <w:pPr>
        <w:spacing w:after="200"/>
      </w:pPr>
      <w:r>
        <w:t xml:space="preserve">Modele ensemble (Las losowy, Gradient </w:t>
      </w:r>
      <w:proofErr w:type="spellStart"/>
      <w:r>
        <w:t>Boosting</w:t>
      </w:r>
      <w:proofErr w:type="spellEnd"/>
      <w:r>
        <w:t>) dominują dla większości chorób. Przyczyny:</w:t>
      </w:r>
    </w:p>
    <w:p w14:paraId="7125473F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Nieliniowość: </w:t>
      </w:r>
      <w:r>
        <w:t xml:space="preserve">Zależności epidemiologiczne są nieliniowe – np. efekt progowy </w:t>
      </w:r>
      <w:proofErr w:type="spellStart"/>
      <w:r>
        <w:t>wyszczepialności</w:t>
      </w:r>
      <w:proofErr w:type="spellEnd"/>
      <w:r>
        <w:t>.</w:t>
      </w:r>
    </w:p>
    <w:p w14:paraId="3E2B3EF0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Interakcje: </w:t>
      </w:r>
      <w:r>
        <w:t xml:space="preserve">Czynniki wzajemnie na siebie oddziałują. Np. niska </w:t>
      </w:r>
      <w:proofErr w:type="spellStart"/>
      <w:r>
        <w:t>wyszczepialność</w:t>
      </w:r>
      <w:proofErr w:type="spellEnd"/>
      <w:r>
        <w:t xml:space="preserve"> + dużo dzieci = znacznie wyższe ryzyko niż każdy z tych czynników osobno.</w:t>
      </w:r>
    </w:p>
    <w:p w14:paraId="1C1A4B31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Odporność na </w:t>
      </w:r>
      <w:proofErr w:type="spellStart"/>
      <w:r>
        <w:rPr>
          <w:b/>
          <w:bCs/>
        </w:rPr>
        <w:t>outliery</w:t>
      </w:r>
      <w:proofErr w:type="spellEnd"/>
      <w:r>
        <w:rPr>
          <w:b/>
          <w:bCs/>
        </w:rPr>
        <w:t xml:space="preserve">: </w:t>
      </w:r>
      <w:r>
        <w:t>Epidemie powodują ekstremalne wartości – modele ensemble radzą sobie z nimi lepiej.</w:t>
      </w:r>
    </w:p>
    <w:p w14:paraId="37C34DA6" w14:textId="77777777" w:rsidR="005330FC" w:rsidRDefault="00000000">
      <w:pPr>
        <w:pStyle w:val="Nagwek3"/>
      </w:pPr>
      <w:r>
        <w:t>Modele liniowe – porównywalne wyniki</w:t>
      </w:r>
    </w:p>
    <w:p w14:paraId="5A86B1A5" w14:textId="77777777" w:rsidR="005330FC" w:rsidRDefault="00000000">
      <w:pPr>
        <w:spacing w:after="200"/>
      </w:pPr>
      <w:r>
        <w:t xml:space="preserve">Regresja liniowa, </w:t>
      </w:r>
      <w:proofErr w:type="spellStart"/>
      <w:r>
        <w:t>Ridge</w:t>
      </w:r>
      <w:proofErr w:type="spellEnd"/>
      <w:r>
        <w:t xml:space="preserve"> i Lasso osiągają podobne wyniki. </w:t>
      </w:r>
      <w:proofErr w:type="spellStart"/>
      <w:r>
        <w:t>Regularyzacja</w:t>
      </w:r>
      <w:proofErr w:type="spellEnd"/>
      <w:r>
        <w:t xml:space="preserve"> (</w:t>
      </w:r>
      <w:proofErr w:type="spellStart"/>
      <w:r>
        <w:t>Ridge</w:t>
      </w:r>
      <w:proofErr w:type="spellEnd"/>
      <w:r>
        <w:t>, Lasso) nie daje dużej przewagi, co sugeruje, że:</w:t>
      </w:r>
    </w:p>
    <w:p w14:paraId="7C59E6B2" w14:textId="77777777" w:rsidR="005330FC" w:rsidRDefault="00000000">
      <w:pPr>
        <w:pStyle w:val="Akapitzlist"/>
        <w:numPr>
          <w:ilvl w:val="0"/>
          <w:numId w:val="3"/>
        </w:numPr>
      </w:pPr>
      <w:r>
        <w:t xml:space="preserve">Zmienne nie są silnie skorelowane (brak </w:t>
      </w:r>
      <w:proofErr w:type="spellStart"/>
      <w:r>
        <w:t>multikolinearności</w:t>
      </w:r>
      <w:proofErr w:type="spellEnd"/>
      <w:r>
        <w:t>)</w:t>
      </w:r>
    </w:p>
    <w:p w14:paraId="1FF4401D" w14:textId="77777777" w:rsidR="005330FC" w:rsidRDefault="00000000">
      <w:pPr>
        <w:pStyle w:val="Akapitzlist"/>
        <w:numPr>
          <w:ilvl w:val="0"/>
          <w:numId w:val="3"/>
        </w:numPr>
      </w:pPr>
      <w:r>
        <w:t xml:space="preserve">Problem nie leży w </w:t>
      </w:r>
      <w:proofErr w:type="spellStart"/>
      <w:r>
        <w:t>overfittingu</w:t>
      </w:r>
      <w:proofErr w:type="spellEnd"/>
      <w:r>
        <w:t>, lecz w samej naturze danych</w:t>
      </w:r>
    </w:p>
    <w:p w14:paraId="784C5F57" w14:textId="77777777" w:rsidR="005330FC" w:rsidRDefault="00000000">
      <w:pPr>
        <w:pStyle w:val="Nagwek3"/>
      </w:pPr>
      <w:r>
        <w:t>Krztusiec – żaden model nie działa</w:t>
      </w:r>
    </w:p>
    <w:p w14:paraId="24F27F66" w14:textId="77777777" w:rsidR="005330FC" w:rsidRDefault="00000000">
      <w:pPr>
        <w:spacing w:after="200"/>
      </w:pPr>
      <w:r>
        <w:t>Dla krztuśca WSZYSTKIE modele mają R² bliskie zeru. To nie jest problem wyboru algorytmu – to problem samych danych. Cykliczne wzorce krztuśca wymagają dedykowanych modeli periodycznych lub głębokiego uczenia.</w:t>
      </w:r>
    </w:p>
    <w:p w14:paraId="060E2A06" w14:textId="77777777" w:rsidR="005330FC" w:rsidRDefault="00000000">
      <w:pPr>
        <w:pStyle w:val="Nagwek2"/>
      </w:pPr>
      <w:r>
        <w:t>6.3. Rekomendacja wyboru modelu</w:t>
      </w:r>
    </w:p>
    <w:p w14:paraId="686EE3F8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Do predykcji: </w:t>
      </w:r>
      <w:r>
        <w:t xml:space="preserve">Las losowy lub Gradient </w:t>
      </w:r>
      <w:proofErr w:type="spellStart"/>
      <w:r>
        <w:t>Boosting</w:t>
      </w:r>
      <w:proofErr w:type="spellEnd"/>
      <w:r>
        <w:t xml:space="preserve"> – najlepsza dokładność.</w:t>
      </w:r>
    </w:p>
    <w:p w14:paraId="012C9F5A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lastRenderedPageBreak/>
        <w:t xml:space="preserve">Do interpretacji: </w:t>
      </w:r>
      <w:r>
        <w:t>Regresja liniowa – współczynniki mają jasną interpretację epidemiologiczną.</w:t>
      </w:r>
    </w:p>
    <w:p w14:paraId="27E9F5A5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Do systemu wczesnego ostrzegania: </w:t>
      </w:r>
      <w:r>
        <w:t>Kombinacja modeli + monitoring w czasie rzeczywistym.</w:t>
      </w:r>
    </w:p>
    <w:p w14:paraId="55818C63" w14:textId="77777777" w:rsidR="005330FC" w:rsidRDefault="00000000">
      <w:r>
        <w:br w:type="page"/>
      </w:r>
    </w:p>
    <w:p w14:paraId="65F3A850" w14:textId="77777777" w:rsidR="005330FC" w:rsidRDefault="00000000">
      <w:pPr>
        <w:pStyle w:val="Nagwek1"/>
      </w:pPr>
      <w:r>
        <w:lastRenderedPageBreak/>
        <w:t>7. Wnioski końcowe</w:t>
      </w:r>
    </w:p>
    <w:p w14:paraId="4F8CEE56" w14:textId="77777777" w:rsidR="005330FC" w:rsidRDefault="00000000">
      <w:pPr>
        <w:pStyle w:val="Nagwek2"/>
      </w:pPr>
      <w:r>
        <w:t>7.1. Główne wnioski epidemiologiczne</w:t>
      </w:r>
    </w:p>
    <w:p w14:paraId="6CA03AF2" w14:textId="77777777" w:rsidR="005330FC" w:rsidRDefault="00000000">
      <w:pPr>
        <w:pStyle w:val="Akapitzlist"/>
        <w:numPr>
          <w:ilvl w:val="0"/>
          <w:numId w:val="5"/>
        </w:numPr>
        <w:spacing w:after="150"/>
      </w:pPr>
      <w:r>
        <w:rPr>
          <w:b/>
          <w:bCs/>
        </w:rPr>
        <w:t xml:space="preserve">Autokorelacja czasowa jest kluczowa. </w:t>
      </w:r>
      <w:r>
        <w:t xml:space="preserve">Zachorowalność w danym roku najsilniej zależy od poprzednich lat. Epidemie mają tendencję do trwania 2-3 lat. Praktyczny wniosek: wczesna i zdecydowana reakcja na wzrost </w:t>
      </w:r>
      <w:proofErr w:type="spellStart"/>
      <w:r>
        <w:t>zachorowań</w:t>
      </w:r>
      <w:proofErr w:type="spellEnd"/>
      <w:r>
        <w:t xml:space="preserve"> jest KRYTYCZNA dla ograniczenia skutków.</w:t>
      </w:r>
    </w:p>
    <w:p w14:paraId="5A0250B8" w14:textId="77777777" w:rsidR="005330FC" w:rsidRDefault="00000000">
      <w:pPr>
        <w:pStyle w:val="Akapitzlist"/>
        <w:numPr>
          <w:ilvl w:val="0"/>
          <w:numId w:val="5"/>
        </w:numPr>
        <w:spacing w:after="150"/>
      </w:pPr>
      <w:proofErr w:type="spellStart"/>
      <w:r>
        <w:rPr>
          <w:b/>
          <w:bCs/>
        </w:rPr>
        <w:t>Wyszczepialność</w:t>
      </w:r>
      <w:proofErr w:type="spellEnd"/>
      <w:r>
        <w:rPr>
          <w:b/>
          <w:bCs/>
        </w:rPr>
        <w:t xml:space="preserve"> ma fundamentalne znaczenie. </w:t>
      </w:r>
      <w:r>
        <w:t xml:space="preserve">Szczególnie dla odry, gdzie próg odporności zbiorowej wynosi 95%. Spadek poniżej tego progu prowadzi do epidemii. Monitoring </w:t>
      </w:r>
      <w:proofErr w:type="spellStart"/>
      <w:r>
        <w:t>wyszczepialności</w:t>
      </w:r>
      <w:proofErr w:type="spellEnd"/>
      <w:r>
        <w:t xml:space="preserve"> pozwala przewidywać epidemie z 1-3 letnim wyprzedzeniem.</w:t>
      </w:r>
    </w:p>
    <w:p w14:paraId="25DF97F5" w14:textId="77777777" w:rsidR="005330FC" w:rsidRDefault="00000000">
      <w:pPr>
        <w:pStyle w:val="Akapitzlist"/>
        <w:numPr>
          <w:ilvl w:val="0"/>
          <w:numId w:val="5"/>
        </w:numPr>
        <w:spacing w:after="150"/>
      </w:pPr>
      <w:r>
        <w:rPr>
          <w:b/>
          <w:bCs/>
        </w:rPr>
        <w:t xml:space="preserve">Nie wszystkie choroby są równie przewidywalne. </w:t>
      </w:r>
      <w:r>
        <w:t>Salmonelloza i gruźlica (R² &gt; 0.85) – łatwe do modelowania, stabilne trendy. Odra (R² ≈ 0.18) – nagłe epidemie. Krztusiec (R² ≈ 0) – naturalne cykle, nieprzewidywalny. Niskie R² to informacja epidemiologiczna, nie błąd modelu!</w:t>
      </w:r>
    </w:p>
    <w:p w14:paraId="0DD5682D" w14:textId="77777777" w:rsidR="005330FC" w:rsidRDefault="00000000">
      <w:pPr>
        <w:pStyle w:val="Akapitzlist"/>
        <w:numPr>
          <w:ilvl w:val="0"/>
          <w:numId w:val="5"/>
        </w:numPr>
        <w:spacing w:after="150"/>
      </w:pPr>
      <w:r>
        <w:rPr>
          <w:b/>
          <w:bCs/>
        </w:rPr>
        <w:t xml:space="preserve">Modele ensemble dominują. </w:t>
      </w:r>
      <w:r>
        <w:t xml:space="preserve">Las losowy i Gradient </w:t>
      </w:r>
      <w:proofErr w:type="spellStart"/>
      <w:r>
        <w:t>Boosting</w:t>
      </w:r>
      <w:proofErr w:type="spellEnd"/>
      <w:r>
        <w:t xml:space="preserve"> osiągają najlepsze wyniki dzięki zdolności do modelowania nieliniowości i interakcji typowych dla danych epidemiologicznych.</w:t>
      </w:r>
    </w:p>
    <w:p w14:paraId="4F0A357A" w14:textId="77777777" w:rsidR="005330FC" w:rsidRDefault="00000000">
      <w:pPr>
        <w:pStyle w:val="Akapitzlist"/>
        <w:numPr>
          <w:ilvl w:val="0"/>
          <w:numId w:val="5"/>
        </w:numPr>
        <w:spacing w:after="150"/>
      </w:pPr>
      <w:r>
        <w:rPr>
          <w:b/>
          <w:bCs/>
        </w:rPr>
        <w:t xml:space="preserve">COVID-19 zaburzył wzorce epidemiologiczne. </w:t>
      </w:r>
      <w:r>
        <w:t xml:space="preserve">Zaległości szczepień z lat 2020-2022 przekładają się na wzrost </w:t>
      </w:r>
      <w:proofErr w:type="spellStart"/>
      <w:r>
        <w:t>zachorowań</w:t>
      </w:r>
      <w:proofErr w:type="spellEnd"/>
      <w:r>
        <w:t xml:space="preserve"> na odrę w 2023-2025. Konieczne są pilne kampanie szczepień uzupełniających.</w:t>
      </w:r>
    </w:p>
    <w:p w14:paraId="55B26CD3" w14:textId="77777777" w:rsidR="005330FC" w:rsidRDefault="00000000">
      <w:pPr>
        <w:pStyle w:val="Nagwek2"/>
      </w:pPr>
      <w:r>
        <w:t>7.2. Rekomendacje dla polityki zdrowotnej</w:t>
      </w:r>
    </w:p>
    <w:p w14:paraId="3905BCE2" w14:textId="77777777" w:rsidR="005330FC" w:rsidRDefault="00000000">
      <w:pPr>
        <w:pStyle w:val="Nagwek3"/>
      </w:pPr>
      <w:r>
        <w:t>Działania priorytetowe – ODRA</w:t>
      </w:r>
    </w:p>
    <w:p w14:paraId="2C2C08F6" w14:textId="77777777" w:rsidR="005330FC" w:rsidRDefault="00000000">
      <w:pPr>
        <w:pStyle w:val="Akapitzlist"/>
        <w:numPr>
          <w:ilvl w:val="0"/>
          <w:numId w:val="3"/>
        </w:numPr>
      </w:pPr>
      <w:r>
        <w:t xml:space="preserve">Kampanie szczepień uzupełniających – cel: </w:t>
      </w:r>
      <w:proofErr w:type="spellStart"/>
      <w:r>
        <w:t>wyszczepialność</w:t>
      </w:r>
      <w:proofErr w:type="spellEnd"/>
      <w:r>
        <w:t xml:space="preserve"> &gt;95% we WSZYSTKICH regionach</w:t>
      </w:r>
    </w:p>
    <w:p w14:paraId="30609D8F" w14:textId="77777777" w:rsidR="005330FC" w:rsidRDefault="00000000">
      <w:pPr>
        <w:pStyle w:val="Akapitzlist"/>
        <w:numPr>
          <w:ilvl w:val="0"/>
          <w:numId w:val="3"/>
        </w:numPr>
      </w:pPr>
      <w:r>
        <w:t>Wzmocniony nadzór w krajach ryzyka: Rumunia, Bułgaria, Włochy, Francja</w:t>
      </w:r>
    </w:p>
    <w:p w14:paraId="058948C6" w14:textId="77777777" w:rsidR="005330FC" w:rsidRDefault="00000000">
      <w:pPr>
        <w:pStyle w:val="Akapitzlist"/>
        <w:numPr>
          <w:ilvl w:val="0"/>
          <w:numId w:val="3"/>
        </w:numPr>
      </w:pPr>
      <w:r>
        <w:t xml:space="preserve">Zwalczanie dezinformacji </w:t>
      </w:r>
      <w:proofErr w:type="spellStart"/>
      <w:r>
        <w:t>antyszczepionkowej</w:t>
      </w:r>
      <w:proofErr w:type="spellEnd"/>
      <w:r>
        <w:t xml:space="preserve"> – kampanie informacyjne</w:t>
      </w:r>
    </w:p>
    <w:p w14:paraId="7EB994E4" w14:textId="77777777" w:rsidR="005330FC" w:rsidRDefault="00000000">
      <w:pPr>
        <w:pStyle w:val="Akapitzlist"/>
        <w:numPr>
          <w:ilvl w:val="0"/>
          <w:numId w:val="3"/>
        </w:numPr>
      </w:pPr>
      <w:r>
        <w:t>Ułatwienie dostępu do szczepień dla grup marginalizowanych</w:t>
      </w:r>
    </w:p>
    <w:p w14:paraId="3091DB2D" w14:textId="77777777" w:rsidR="005330FC" w:rsidRDefault="00000000">
      <w:pPr>
        <w:pStyle w:val="Nagwek3"/>
      </w:pPr>
      <w:r>
        <w:t>Działania priorytetowe – KRZTUSIEC</w:t>
      </w:r>
    </w:p>
    <w:p w14:paraId="669219D9" w14:textId="77777777" w:rsidR="005330FC" w:rsidRDefault="00000000">
      <w:pPr>
        <w:pStyle w:val="Akapitzlist"/>
        <w:numPr>
          <w:ilvl w:val="0"/>
          <w:numId w:val="3"/>
        </w:numPr>
      </w:pPr>
      <w:r>
        <w:t>Dawki przypominające dla młodzieży (11-14 lat)</w:t>
      </w:r>
    </w:p>
    <w:p w14:paraId="0DF68522" w14:textId="77777777" w:rsidR="005330FC" w:rsidRDefault="00000000">
      <w:pPr>
        <w:pStyle w:val="Akapitzlist"/>
        <w:numPr>
          <w:ilvl w:val="0"/>
          <w:numId w:val="3"/>
        </w:numPr>
      </w:pPr>
      <w:r>
        <w:t>Szczepienia kobiet w ciąży (ochrona noworodków)</w:t>
      </w:r>
    </w:p>
    <w:p w14:paraId="455E2106" w14:textId="77777777" w:rsidR="005330FC" w:rsidRDefault="00000000">
      <w:pPr>
        <w:pStyle w:val="Akapitzlist"/>
        <w:numPr>
          <w:ilvl w:val="0"/>
          <w:numId w:val="3"/>
        </w:numPr>
      </w:pPr>
      <w:r>
        <w:t>Edukacja lekarzy o diagnozowaniu krztuśca u dorosłych</w:t>
      </w:r>
    </w:p>
    <w:p w14:paraId="4725BB72" w14:textId="77777777" w:rsidR="005330FC" w:rsidRDefault="00000000">
      <w:pPr>
        <w:pStyle w:val="Nagwek3"/>
      </w:pPr>
      <w:r>
        <w:t>Wykorzystanie modeli predykcyjnych</w:t>
      </w:r>
    </w:p>
    <w:p w14:paraId="0D94DD35" w14:textId="77777777" w:rsidR="005330FC" w:rsidRDefault="00000000">
      <w:pPr>
        <w:pStyle w:val="Akapitzlist"/>
        <w:numPr>
          <w:ilvl w:val="0"/>
          <w:numId w:val="3"/>
        </w:numPr>
      </w:pPr>
      <w:r>
        <w:t>Wdrożenie systemu wczesnego ostrzegania opartego na ML</w:t>
      </w:r>
    </w:p>
    <w:p w14:paraId="22F6F719" w14:textId="77777777" w:rsidR="005330FC" w:rsidRDefault="00000000">
      <w:pPr>
        <w:pStyle w:val="Akapitzlist"/>
        <w:numPr>
          <w:ilvl w:val="0"/>
          <w:numId w:val="3"/>
        </w:numPr>
      </w:pPr>
      <w:r>
        <w:t>Regularna aktualizacja modeli (co kwartał)</w:t>
      </w:r>
    </w:p>
    <w:p w14:paraId="77724070" w14:textId="77777777" w:rsidR="005330FC" w:rsidRDefault="00000000">
      <w:pPr>
        <w:pStyle w:val="Akapitzlist"/>
        <w:numPr>
          <w:ilvl w:val="0"/>
          <w:numId w:val="3"/>
        </w:numPr>
      </w:pPr>
      <w:r>
        <w:t>Integracja predykcji z planowaniem alokacji zasobów</w:t>
      </w:r>
    </w:p>
    <w:p w14:paraId="751EF807" w14:textId="77777777" w:rsidR="005330FC" w:rsidRDefault="00000000">
      <w:pPr>
        <w:pStyle w:val="Nagwek2"/>
      </w:pPr>
      <w:r>
        <w:t>7.3. Ograniczenia analizy</w:t>
      </w:r>
    </w:p>
    <w:p w14:paraId="401E2199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Dane roczne: </w:t>
      </w:r>
      <w:r>
        <w:t>Nie pozwalają na modelowanie sezonowości. Zalecenie: wykorzystać dane miesięczne.</w:t>
      </w:r>
    </w:p>
    <w:p w14:paraId="5EFBCA90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lastRenderedPageBreak/>
        <w:t xml:space="preserve">Brak danych o przypadkach importowanych: </w:t>
      </w:r>
      <w:r>
        <w:t>Nie można odróżnić transmisji lokalnej od importowanej.</w:t>
      </w:r>
    </w:p>
    <w:p w14:paraId="7C96EA4C" w14:textId="77777777" w:rsidR="005330FC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Różnice w raportowaniu: </w:t>
      </w:r>
      <w:r>
        <w:t>Kraje stosują różne definicje przypadków i systemy nadzoru.</w:t>
      </w:r>
    </w:p>
    <w:p w14:paraId="44A76CB5" w14:textId="77777777" w:rsidR="005330FC" w:rsidRDefault="00000000">
      <w:r>
        <w:br w:type="page"/>
      </w:r>
    </w:p>
    <w:p w14:paraId="66022269" w14:textId="77777777" w:rsidR="005330FC" w:rsidRDefault="00000000">
      <w:pPr>
        <w:pStyle w:val="Nagwek1"/>
      </w:pPr>
      <w:r>
        <w:lastRenderedPageBreak/>
        <w:t>8. Podsumowanie dla zespołu</w:t>
      </w:r>
    </w:p>
    <w:p w14:paraId="7AEEFAFF" w14:textId="77777777" w:rsidR="005330FC" w:rsidRDefault="00000000">
      <w:pPr>
        <w:spacing w:after="200"/>
      </w:pPr>
      <w:r>
        <w:t xml:space="preserve">Wszystkie zadania z </w:t>
      </w:r>
      <w:proofErr w:type="spellStart"/>
      <w:r>
        <w:t>checklisty</w:t>
      </w:r>
      <w:proofErr w:type="spellEnd"/>
      <w:r>
        <w:t xml:space="preserve"> części 4 projektu zostały wykonane. Poniżej znajduje się zestawienie kluczowych wyników oraz lista dostarczonych materiałów.</w:t>
      </w:r>
    </w:p>
    <w:p w14:paraId="3D1FF535" w14:textId="77777777" w:rsidR="005330FC" w:rsidRDefault="00000000">
      <w:pPr>
        <w:pStyle w:val="Nagwek2"/>
      </w:pPr>
      <w:r>
        <w:t>8.1. Zestawienie wyników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1300"/>
        <w:gridCol w:w="1500"/>
      </w:tblGrid>
      <w:tr w:rsidR="005330FC" w14:paraId="67FF2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E0ED3BD" w14:textId="77777777" w:rsidR="005330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Choroba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9DDB932" w14:textId="77777777" w:rsidR="005330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Najlepszy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7A16B490" w14:textId="77777777" w:rsidR="005330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R²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5419ECC0" w14:textId="77777777" w:rsidR="005330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Trend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19C65EF" w14:textId="77777777" w:rsidR="005330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Predykcja</w:t>
            </w:r>
          </w:p>
        </w:tc>
      </w:tr>
      <w:tr w:rsidR="005330FC" w14:paraId="231B3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50658" w14:textId="77777777" w:rsidR="005330FC" w:rsidRDefault="00000000">
            <w:r>
              <w:rPr>
                <w:b/>
                <w:bCs/>
              </w:rPr>
              <w:t>Odra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6144FE" w14:textId="77777777" w:rsidR="005330FC" w:rsidRDefault="00000000">
            <w:r>
              <w:t>Las losowy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A0BB1C" w14:textId="77777777" w:rsidR="005330FC" w:rsidRDefault="00000000">
            <w:pPr>
              <w:jc w:val="center"/>
            </w:pPr>
            <w:r>
              <w:t>0.183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6FE29" w14:textId="77777777" w:rsidR="005330FC" w:rsidRDefault="00000000">
            <w:pPr>
              <w:jc w:val="center"/>
            </w:pPr>
            <w:r>
              <w:rPr>
                <w:color w:val="E74C3C"/>
              </w:rPr>
              <w:t>↑ WZROST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C12E55" w14:textId="77777777" w:rsidR="005330FC" w:rsidRDefault="00000000">
            <w:pPr>
              <w:jc w:val="center"/>
            </w:pPr>
            <w:r>
              <w:rPr>
                <w:b/>
                <w:bCs/>
                <w:color w:val="E74C3C"/>
              </w:rPr>
              <w:t>ALARM</w:t>
            </w:r>
          </w:p>
        </w:tc>
      </w:tr>
      <w:tr w:rsidR="005330FC" w14:paraId="69B1DC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658A32C" w14:textId="77777777" w:rsidR="005330FC" w:rsidRDefault="00000000">
            <w:r>
              <w:rPr>
                <w:b/>
                <w:bCs/>
              </w:rPr>
              <w:t>Krztusiec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178C6A4" w14:textId="77777777" w:rsidR="005330FC" w:rsidRDefault="00000000">
            <w:r>
              <w:t xml:space="preserve">Gradient </w:t>
            </w:r>
            <w:proofErr w:type="spellStart"/>
            <w:r>
              <w:t>Boosting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16984DA" w14:textId="77777777" w:rsidR="005330FC" w:rsidRDefault="00000000">
            <w:pPr>
              <w:jc w:val="center"/>
            </w:pPr>
            <w:r>
              <w:t>0.001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81A8208" w14:textId="77777777" w:rsidR="005330FC" w:rsidRDefault="00000000">
            <w:pPr>
              <w:jc w:val="center"/>
            </w:pPr>
            <w:r>
              <w:rPr>
                <w:color w:val="F39C12"/>
              </w:rPr>
              <w:t>↑ cykl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BFB106B" w14:textId="77777777" w:rsidR="005330FC" w:rsidRDefault="00000000">
            <w:pPr>
              <w:jc w:val="center"/>
            </w:pPr>
            <w:r>
              <w:rPr>
                <w:color w:val="F39C12"/>
              </w:rPr>
              <w:t>UWAGA</w:t>
            </w:r>
          </w:p>
        </w:tc>
      </w:tr>
      <w:tr w:rsidR="005330FC" w14:paraId="2A29D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71392E" w14:textId="77777777" w:rsidR="005330FC" w:rsidRDefault="00000000">
            <w:r>
              <w:rPr>
                <w:b/>
                <w:bCs/>
              </w:rPr>
              <w:t>Salmonelloza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B9231" w14:textId="77777777" w:rsidR="005330FC" w:rsidRDefault="00000000">
            <w:r>
              <w:t>Las losowy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146500" w14:textId="77777777" w:rsidR="005330FC" w:rsidRDefault="00000000">
            <w:pPr>
              <w:jc w:val="center"/>
            </w:pPr>
            <w:r>
              <w:t>0.939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738CF0" w14:textId="77777777" w:rsidR="005330FC" w:rsidRDefault="00000000">
            <w:pPr>
              <w:jc w:val="center"/>
            </w:pPr>
            <w:r>
              <w:rPr>
                <w:color w:val="27AE60"/>
              </w:rPr>
              <w:t>→ stabilny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F2A828" w14:textId="77777777" w:rsidR="005330FC" w:rsidRDefault="00000000">
            <w:pPr>
              <w:jc w:val="center"/>
            </w:pPr>
            <w:r>
              <w:rPr>
                <w:color w:val="27AE60"/>
              </w:rPr>
              <w:t>OK</w:t>
            </w:r>
          </w:p>
        </w:tc>
      </w:tr>
      <w:tr w:rsidR="005330FC" w14:paraId="46C29F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374AF7B" w14:textId="77777777" w:rsidR="005330FC" w:rsidRDefault="00000000">
            <w:r>
              <w:rPr>
                <w:b/>
                <w:bCs/>
              </w:rPr>
              <w:t>Gruźlica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E7CB78E" w14:textId="77777777" w:rsidR="005330FC" w:rsidRDefault="00000000">
            <w:r>
              <w:t>Las losowy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19AB36E" w14:textId="77777777" w:rsidR="005330FC" w:rsidRDefault="00000000">
            <w:pPr>
              <w:jc w:val="center"/>
            </w:pPr>
            <w:r>
              <w:t>0.882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6E24B91" w14:textId="77777777" w:rsidR="005330FC" w:rsidRDefault="00000000">
            <w:pPr>
              <w:jc w:val="center"/>
            </w:pPr>
            <w:r>
              <w:rPr>
                <w:color w:val="27AE60"/>
              </w:rPr>
              <w:t>↓ spadek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279D3E3" w14:textId="77777777" w:rsidR="005330FC" w:rsidRDefault="00000000">
            <w:pPr>
              <w:jc w:val="center"/>
            </w:pPr>
            <w:r>
              <w:rPr>
                <w:color w:val="27AE60"/>
              </w:rPr>
              <w:t>OK</w:t>
            </w:r>
          </w:p>
        </w:tc>
      </w:tr>
    </w:tbl>
    <w:p w14:paraId="0537A782" w14:textId="0FF39B69" w:rsidR="005330FC" w:rsidRDefault="005330FC">
      <w:pPr>
        <w:spacing w:before="100"/>
        <w:jc w:val="center"/>
      </w:pPr>
    </w:p>
    <w:sectPr w:rsidR="005330F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79717" w14:textId="77777777" w:rsidR="00A84ECA" w:rsidRDefault="00A84ECA">
      <w:r>
        <w:separator/>
      </w:r>
    </w:p>
  </w:endnote>
  <w:endnote w:type="continuationSeparator" w:id="0">
    <w:p w14:paraId="3B28D1DB" w14:textId="77777777" w:rsidR="00A84ECA" w:rsidRDefault="00A8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7554D" w14:textId="77777777" w:rsidR="005330FC" w:rsidRDefault="00000000">
    <w:pPr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D655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8D655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47D4A" w14:textId="77777777" w:rsidR="00A84ECA" w:rsidRDefault="00A84ECA">
      <w:r>
        <w:separator/>
      </w:r>
    </w:p>
  </w:footnote>
  <w:footnote w:type="continuationSeparator" w:id="0">
    <w:p w14:paraId="369ED260" w14:textId="77777777" w:rsidR="00A84ECA" w:rsidRDefault="00A84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9A497" w14:textId="77777777" w:rsidR="005330FC" w:rsidRDefault="00000000">
    <w:pPr>
      <w:jc w:val="right"/>
    </w:pPr>
    <w:r>
      <w:rPr>
        <w:i/>
        <w:iCs/>
        <w:color w:val="7F8C8D"/>
        <w:sz w:val="20"/>
        <w:szCs w:val="20"/>
      </w:rPr>
      <w:t>Modelowanie chorób zakaźnych - Raport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E68"/>
    <w:multiLevelType w:val="hybridMultilevel"/>
    <w:tmpl w:val="41A4908C"/>
    <w:lvl w:ilvl="0" w:tplc="BBB6A926">
      <w:start w:val="1"/>
      <w:numFmt w:val="decimal"/>
      <w:lvlText w:val="%1."/>
      <w:lvlJc w:val="left"/>
      <w:pPr>
        <w:ind w:left="720" w:hanging="360"/>
      </w:pPr>
    </w:lvl>
    <w:lvl w:ilvl="1" w:tplc="98765C20">
      <w:numFmt w:val="decimal"/>
      <w:lvlText w:val=""/>
      <w:lvlJc w:val="left"/>
    </w:lvl>
    <w:lvl w:ilvl="2" w:tplc="C172D48E">
      <w:numFmt w:val="decimal"/>
      <w:lvlText w:val=""/>
      <w:lvlJc w:val="left"/>
    </w:lvl>
    <w:lvl w:ilvl="3" w:tplc="DB2E04C0">
      <w:numFmt w:val="decimal"/>
      <w:lvlText w:val=""/>
      <w:lvlJc w:val="left"/>
    </w:lvl>
    <w:lvl w:ilvl="4" w:tplc="AC84B67A">
      <w:numFmt w:val="decimal"/>
      <w:lvlText w:val=""/>
      <w:lvlJc w:val="left"/>
    </w:lvl>
    <w:lvl w:ilvl="5" w:tplc="F4A2A6DC">
      <w:numFmt w:val="decimal"/>
      <w:lvlText w:val=""/>
      <w:lvlJc w:val="left"/>
    </w:lvl>
    <w:lvl w:ilvl="6" w:tplc="C9B0EC10">
      <w:numFmt w:val="decimal"/>
      <w:lvlText w:val=""/>
      <w:lvlJc w:val="left"/>
    </w:lvl>
    <w:lvl w:ilvl="7" w:tplc="EB40BC44">
      <w:numFmt w:val="decimal"/>
      <w:lvlText w:val=""/>
      <w:lvlJc w:val="left"/>
    </w:lvl>
    <w:lvl w:ilvl="8" w:tplc="F27ABE6C">
      <w:numFmt w:val="decimal"/>
      <w:lvlText w:val=""/>
      <w:lvlJc w:val="left"/>
    </w:lvl>
  </w:abstractNum>
  <w:abstractNum w:abstractNumId="1" w15:restartNumberingAfterBreak="0">
    <w:nsid w:val="1E7F3358"/>
    <w:multiLevelType w:val="hybridMultilevel"/>
    <w:tmpl w:val="F3F8108C"/>
    <w:lvl w:ilvl="0" w:tplc="376A40F8">
      <w:start w:val="1"/>
      <w:numFmt w:val="bullet"/>
      <w:lvlText w:val="•"/>
      <w:lvlJc w:val="left"/>
      <w:pPr>
        <w:ind w:left="720" w:hanging="360"/>
      </w:pPr>
    </w:lvl>
    <w:lvl w:ilvl="1" w:tplc="F8CC6F58">
      <w:numFmt w:val="decimal"/>
      <w:lvlText w:val=""/>
      <w:lvlJc w:val="left"/>
    </w:lvl>
    <w:lvl w:ilvl="2" w:tplc="22F2F262">
      <w:numFmt w:val="decimal"/>
      <w:lvlText w:val=""/>
      <w:lvlJc w:val="left"/>
    </w:lvl>
    <w:lvl w:ilvl="3" w:tplc="4218134A">
      <w:numFmt w:val="decimal"/>
      <w:lvlText w:val=""/>
      <w:lvlJc w:val="left"/>
    </w:lvl>
    <w:lvl w:ilvl="4" w:tplc="7A2207D2">
      <w:numFmt w:val="decimal"/>
      <w:lvlText w:val=""/>
      <w:lvlJc w:val="left"/>
    </w:lvl>
    <w:lvl w:ilvl="5" w:tplc="6F22EEEA">
      <w:numFmt w:val="decimal"/>
      <w:lvlText w:val=""/>
      <w:lvlJc w:val="left"/>
    </w:lvl>
    <w:lvl w:ilvl="6" w:tplc="39A843AC">
      <w:numFmt w:val="decimal"/>
      <w:lvlText w:val=""/>
      <w:lvlJc w:val="left"/>
    </w:lvl>
    <w:lvl w:ilvl="7" w:tplc="756C16A6">
      <w:numFmt w:val="decimal"/>
      <w:lvlText w:val=""/>
      <w:lvlJc w:val="left"/>
    </w:lvl>
    <w:lvl w:ilvl="8" w:tplc="439C13D2">
      <w:numFmt w:val="decimal"/>
      <w:lvlText w:val=""/>
      <w:lvlJc w:val="left"/>
    </w:lvl>
  </w:abstractNum>
  <w:abstractNum w:abstractNumId="2" w15:restartNumberingAfterBreak="0">
    <w:nsid w:val="4D352A42"/>
    <w:multiLevelType w:val="hybridMultilevel"/>
    <w:tmpl w:val="B7748F96"/>
    <w:lvl w:ilvl="0" w:tplc="E7B0CEDE">
      <w:start w:val="1"/>
      <w:numFmt w:val="decimal"/>
      <w:lvlText w:val="%1."/>
      <w:lvlJc w:val="left"/>
      <w:pPr>
        <w:ind w:left="720" w:hanging="360"/>
      </w:pPr>
    </w:lvl>
    <w:lvl w:ilvl="1" w:tplc="A420E232">
      <w:numFmt w:val="decimal"/>
      <w:lvlText w:val=""/>
      <w:lvlJc w:val="left"/>
    </w:lvl>
    <w:lvl w:ilvl="2" w:tplc="59EE733A">
      <w:numFmt w:val="decimal"/>
      <w:lvlText w:val=""/>
      <w:lvlJc w:val="left"/>
    </w:lvl>
    <w:lvl w:ilvl="3" w:tplc="03261F24">
      <w:numFmt w:val="decimal"/>
      <w:lvlText w:val=""/>
      <w:lvlJc w:val="left"/>
    </w:lvl>
    <w:lvl w:ilvl="4" w:tplc="2048C068">
      <w:numFmt w:val="decimal"/>
      <w:lvlText w:val=""/>
      <w:lvlJc w:val="left"/>
    </w:lvl>
    <w:lvl w:ilvl="5" w:tplc="0B7A83E4">
      <w:numFmt w:val="decimal"/>
      <w:lvlText w:val=""/>
      <w:lvlJc w:val="left"/>
    </w:lvl>
    <w:lvl w:ilvl="6" w:tplc="2D96458E">
      <w:numFmt w:val="decimal"/>
      <w:lvlText w:val=""/>
      <w:lvlJc w:val="left"/>
    </w:lvl>
    <w:lvl w:ilvl="7" w:tplc="EED05908">
      <w:numFmt w:val="decimal"/>
      <w:lvlText w:val=""/>
      <w:lvlJc w:val="left"/>
    </w:lvl>
    <w:lvl w:ilvl="8" w:tplc="05747C60">
      <w:numFmt w:val="decimal"/>
      <w:lvlText w:val=""/>
      <w:lvlJc w:val="left"/>
    </w:lvl>
  </w:abstractNum>
  <w:abstractNum w:abstractNumId="3" w15:restartNumberingAfterBreak="0">
    <w:nsid w:val="52BA726F"/>
    <w:multiLevelType w:val="hybridMultilevel"/>
    <w:tmpl w:val="B2D4F2DC"/>
    <w:lvl w:ilvl="0" w:tplc="6D804EF6">
      <w:start w:val="1"/>
      <w:numFmt w:val="decimal"/>
      <w:lvlText w:val="%1."/>
      <w:lvlJc w:val="left"/>
      <w:pPr>
        <w:ind w:left="720" w:hanging="360"/>
      </w:pPr>
    </w:lvl>
    <w:lvl w:ilvl="1" w:tplc="B978A3E8">
      <w:numFmt w:val="decimal"/>
      <w:lvlText w:val=""/>
      <w:lvlJc w:val="left"/>
    </w:lvl>
    <w:lvl w:ilvl="2" w:tplc="8B0CB50C">
      <w:numFmt w:val="decimal"/>
      <w:lvlText w:val=""/>
      <w:lvlJc w:val="left"/>
    </w:lvl>
    <w:lvl w:ilvl="3" w:tplc="163ECB9C">
      <w:numFmt w:val="decimal"/>
      <w:lvlText w:val=""/>
      <w:lvlJc w:val="left"/>
    </w:lvl>
    <w:lvl w:ilvl="4" w:tplc="97B8EAA2">
      <w:numFmt w:val="decimal"/>
      <w:lvlText w:val=""/>
      <w:lvlJc w:val="left"/>
    </w:lvl>
    <w:lvl w:ilvl="5" w:tplc="E078E71E">
      <w:numFmt w:val="decimal"/>
      <w:lvlText w:val=""/>
      <w:lvlJc w:val="left"/>
    </w:lvl>
    <w:lvl w:ilvl="6" w:tplc="E850D77E">
      <w:numFmt w:val="decimal"/>
      <w:lvlText w:val=""/>
      <w:lvlJc w:val="left"/>
    </w:lvl>
    <w:lvl w:ilvl="7" w:tplc="A3E8A50C">
      <w:numFmt w:val="decimal"/>
      <w:lvlText w:val=""/>
      <w:lvlJc w:val="left"/>
    </w:lvl>
    <w:lvl w:ilvl="8" w:tplc="44DAC8CA">
      <w:numFmt w:val="decimal"/>
      <w:lvlText w:val=""/>
      <w:lvlJc w:val="left"/>
    </w:lvl>
  </w:abstractNum>
  <w:abstractNum w:abstractNumId="4" w15:restartNumberingAfterBreak="0">
    <w:nsid w:val="73B1218B"/>
    <w:multiLevelType w:val="hybridMultilevel"/>
    <w:tmpl w:val="25D272FC"/>
    <w:lvl w:ilvl="0" w:tplc="9BD48956">
      <w:start w:val="1"/>
      <w:numFmt w:val="decimal"/>
      <w:lvlText w:val="%1."/>
      <w:lvlJc w:val="left"/>
      <w:pPr>
        <w:ind w:left="720" w:hanging="360"/>
      </w:pPr>
    </w:lvl>
    <w:lvl w:ilvl="1" w:tplc="42B6C114">
      <w:numFmt w:val="decimal"/>
      <w:lvlText w:val=""/>
      <w:lvlJc w:val="left"/>
    </w:lvl>
    <w:lvl w:ilvl="2" w:tplc="CA92EFCA">
      <w:numFmt w:val="decimal"/>
      <w:lvlText w:val=""/>
      <w:lvlJc w:val="left"/>
    </w:lvl>
    <w:lvl w:ilvl="3" w:tplc="9D7C2262">
      <w:numFmt w:val="decimal"/>
      <w:lvlText w:val=""/>
      <w:lvlJc w:val="left"/>
    </w:lvl>
    <w:lvl w:ilvl="4" w:tplc="6CDA687C">
      <w:numFmt w:val="decimal"/>
      <w:lvlText w:val=""/>
      <w:lvlJc w:val="left"/>
    </w:lvl>
    <w:lvl w:ilvl="5" w:tplc="BB0070DA">
      <w:numFmt w:val="decimal"/>
      <w:lvlText w:val=""/>
      <w:lvlJc w:val="left"/>
    </w:lvl>
    <w:lvl w:ilvl="6" w:tplc="B63E1416">
      <w:numFmt w:val="decimal"/>
      <w:lvlText w:val=""/>
      <w:lvlJc w:val="left"/>
    </w:lvl>
    <w:lvl w:ilvl="7" w:tplc="E1FC21BA">
      <w:numFmt w:val="decimal"/>
      <w:lvlText w:val=""/>
      <w:lvlJc w:val="left"/>
    </w:lvl>
    <w:lvl w:ilvl="8" w:tplc="4E2ED334">
      <w:numFmt w:val="decimal"/>
      <w:lvlText w:val=""/>
      <w:lvlJc w:val="left"/>
    </w:lvl>
  </w:abstractNum>
  <w:abstractNum w:abstractNumId="5" w15:restartNumberingAfterBreak="0">
    <w:nsid w:val="7DF329FE"/>
    <w:multiLevelType w:val="hybridMultilevel"/>
    <w:tmpl w:val="7F58B96E"/>
    <w:lvl w:ilvl="0" w:tplc="45DC7448">
      <w:start w:val="1"/>
      <w:numFmt w:val="bullet"/>
      <w:lvlText w:val="●"/>
      <w:lvlJc w:val="left"/>
      <w:pPr>
        <w:ind w:left="720" w:hanging="360"/>
      </w:pPr>
    </w:lvl>
    <w:lvl w:ilvl="1" w:tplc="928A330A">
      <w:start w:val="1"/>
      <w:numFmt w:val="bullet"/>
      <w:lvlText w:val="○"/>
      <w:lvlJc w:val="left"/>
      <w:pPr>
        <w:ind w:left="1440" w:hanging="360"/>
      </w:pPr>
    </w:lvl>
    <w:lvl w:ilvl="2" w:tplc="82F0A606">
      <w:start w:val="1"/>
      <w:numFmt w:val="bullet"/>
      <w:lvlText w:val="■"/>
      <w:lvlJc w:val="left"/>
      <w:pPr>
        <w:ind w:left="2160" w:hanging="360"/>
      </w:pPr>
    </w:lvl>
    <w:lvl w:ilvl="3" w:tplc="C316B8CE">
      <w:start w:val="1"/>
      <w:numFmt w:val="bullet"/>
      <w:lvlText w:val="●"/>
      <w:lvlJc w:val="left"/>
      <w:pPr>
        <w:ind w:left="2880" w:hanging="360"/>
      </w:pPr>
    </w:lvl>
    <w:lvl w:ilvl="4" w:tplc="65748B12">
      <w:start w:val="1"/>
      <w:numFmt w:val="bullet"/>
      <w:lvlText w:val="○"/>
      <w:lvlJc w:val="left"/>
      <w:pPr>
        <w:ind w:left="3600" w:hanging="360"/>
      </w:pPr>
    </w:lvl>
    <w:lvl w:ilvl="5" w:tplc="C206F3B8">
      <w:start w:val="1"/>
      <w:numFmt w:val="bullet"/>
      <w:lvlText w:val="■"/>
      <w:lvlJc w:val="left"/>
      <w:pPr>
        <w:ind w:left="4320" w:hanging="360"/>
      </w:pPr>
    </w:lvl>
    <w:lvl w:ilvl="6" w:tplc="80CC8536">
      <w:start w:val="1"/>
      <w:numFmt w:val="bullet"/>
      <w:lvlText w:val="●"/>
      <w:lvlJc w:val="left"/>
      <w:pPr>
        <w:ind w:left="5040" w:hanging="360"/>
      </w:pPr>
    </w:lvl>
    <w:lvl w:ilvl="7" w:tplc="EA8CAC98">
      <w:start w:val="1"/>
      <w:numFmt w:val="bullet"/>
      <w:lvlText w:val="●"/>
      <w:lvlJc w:val="left"/>
      <w:pPr>
        <w:ind w:left="5760" w:hanging="360"/>
      </w:pPr>
    </w:lvl>
    <w:lvl w:ilvl="8" w:tplc="D886320C">
      <w:start w:val="1"/>
      <w:numFmt w:val="bullet"/>
      <w:lvlText w:val="●"/>
      <w:lvlJc w:val="left"/>
      <w:pPr>
        <w:ind w:left="6480" w:hanging="360"/>
      </w:pPr>
    </w:lvl>
  </w:abstractNum>
  <w:num w:numId="1" w16cid:durableId="911818987">
    <w:abstractNumId w:val="5"/>
    <w:lvlOverride w:ilvl="0">
      <w:startOverride w:val="1"/>
    </w:lvlOverride>
  </w:num>
  <w:num w:numId="2" w16cid:durableId="1015691899">
    <w:abstractNumId w:val="0"/>
    <w:lvlOverride w:ilvl="0">
      <w:startOverride w:val="1"/>
    </w:lvlOverride>
  </w:num>
  <w:num w:numId="3" w16cid:durableId="1000234960">
    <w:abstractNumId w:val="1"/>
    <w:lvlOverride w:ilvl="0">
      <w:startOverride w:val="1"/>
    </w:lvlOverride>
  </w:num>
  <w:num w:numId="4" w16cid:durableId="584535792">
    <w:abstractNumId w:val="3"/>
    <w:lvlOverride w:ilvl="0">
      <w:startOverride w:val="1"/>
    </w:lvlOverride>
  </w:num>
  <w:num w:numId="5" w16cid:durableId="62747032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0FC"/>
    <w:rsid w:val="005330FC"/>
    <w:rsid w:val="008D6559"/>
    <w:rsid w:val="00A84ECA"/>
    <w:rsid w:val="00F5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9F8961"/>
  <w15:docId w15:val="{C1AEF638-9E86-E44F-89E9-318ACC1E2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400" w:after="200"/>
      <w:outlineLvl w:val="0"/>
    </w:pPr>
    <w:rPr>
      <w:b/>
      <w:bCs/>
      <w:color w:val="2C3E50"/>
      <w:sz w:val="36"/>
      <w:szCs w:val="36"/>
    </w:rPr>
  </w:style>
  <w:style w:type="paragraph" w:styleId="Nagwek2">
    <w:name w:val="heading 2"/>
    <w:uiPriority w:val="9"/>
    <w:unhideWhenUsed/>
    <w:qFormat/>
    <w:pPr>
      <w:spacing w:before="300" w:after="150"/>
      <w:outlineLvl w:val="1"/>
    </w:pPr>
    <w:rPr>
      <w:b/>
      <w:bCs/>
      <w:color w:val="34495E"/>
      <w:sz w:val="28"/>
      <w:szCs w:val="28"/>
    </w:rPr>
  </w:style>
  <w:style w:type="paragraph" w:styleId="Nagwek3">
    <w:name w:val="heading 3"/>
    <w:uiPriority w:val="9"/>
    <w:unhideWhenUsed/>
    <w:qFormat/>
    <w:pPr>
      <w:spacing w:before="200" w:after="100"/>
      <w:outlineLvl w:val="2"/>
    </w:pPr>
    <w:rPr>
      <w:b/>
      <w:bCs/>
      <w:color w:val="5D6D7E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2527</Words>
  <Characters>15164</Characters>
  <Application>Microsoft Office Word</Application>
  <DocSecurity>0</DocSecurity>
  <Lines>126</Lines>
  <Paragraphs>35</Paragraphs>
  <ScaleCrop>false</ScaleCrop>
  <Company/>
  <LinksUpToDate>false</LinksUpToDate>
  <CharactersWithSpaces>17656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2026-01-05T15:10:00Z</dcterms:created>
  <dcterms:modified xsi:type="dcterms:W3CDTF">2026-01-05T15:13:00Z</dcterms:modified>
</cp:coreProperties>
</file>