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Sentiment analysis using BidLSTM</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we used </w:t>
      </w:r>
      <w:r w:rsidDel="00000000" w:rsidR="00000000" w:rsidRPr="00000000">
        <w:rPr>
          <w:rFonts w:ascii="Times New Roman" w:cs="Times New Roman" w:eastAsia="Times New Roman" w:hAnsi="Times New Roman"/>
          <w:sz w:val="28"/>
          <w:szCs w:val="28"/>
          <w:rtl w:val="0"/>
        </w:rPr>
        <w:t xml:space="preserve">Bidirectional long short time memory(BidLSTM) used for sentiment analysis </w:t>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 to understand the code:</w:t>
      </w:r>
    </w:p>
    <w:p w:rsidR="00000000" w:rsidDel="00000000" w:rsidP="00000000" w:rsidRDefault="00000000" w:rsidRPr="00000000" w14:paraId="00000005">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Preprocessing the data such as:</w:t>
      </w:r>
    </w:p>
    <w:p w:rsidR="00000000" w:rsidDel="00000000" w:rsidP="00000000" w:rsidRDefault="00000000" w:rsidRPr="00000000" w14:paraId="00000006">
      <w:pPr>
        <w:numPr>
          <w:ilvl w:val="0"/>
          <w:numId w:val="3"/>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Clean data (</w:t>
      </w:r>
      <w:r w:rsidDel="00000000" w:rsidR="00000000" w:rsidRPr="00000000">
        <w:rPr>
          <w:rFonts w:ascii="Times New Roman" w:cs="Times New Roman" w:eastAsia="Times New Roman" w:hAnsi="Times New Roman"/>
          <w:color w:val="292929"/>
          <w:sz w:val="28"/>
          <w:szCs w:val="28"/>
          <w:highlight w:val="white"/>
          <w:rtl w:val="0"/>
        </w:rPr>
        <w:t xml:space="preserve">Remove punctuation signs, Remove stop-words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7">
      <w:pPr>
        <w:numPr>
          <w:ilvl w:val="0"/>
          <w:numId w:val="3"/>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92929"/>
          <w:sz w:val="28"/>
          <w:szCs w:val="28"/>
          <w:highlight w:val="white"/>
          <w:rtl w:val="0"/>
        </w:rPr>
        <w:t xml:space="preserve">Transform dataset (text) into numeric tensors </w:t>
      </w:r>
      <w:r w:rsidDel="00000000" w:rsidR="00000000" w:rsidRPr="00000000">
        <w:rPr>
          <w:rtl w:val="0"/>
        </w:rPr>
      </w:r>
    </w:p>
    <w:p w:rsidR="00000000" w:rsidDel="00000000" w:rsidP="00000000" w:rsidRDefault="00000000" w:rsidRPr="00000000" w14:paraId="00000008">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2.used BidLstm as a deep learning algorithm </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92929"/>
          <w:sz w:val="28"/>
          <w:szCs w:val="28"/>
          <w:highlight w:val="white"/>
          <w:rtl w:val="0"/>
        </w:rPr>
        <w:t xml:space="preserve">bidirectional layer works. It maximizes the order sensitivity of the RNNs: essentially it consists of two RNNs (LSTMs or GRUs) that process the input sequence in one different direction to finally merge representations. By doing this, they’re able to catch more complex patterns than a single RNN layer would catch. In other words, one of the layers interprets the sequences in chronological order and the second one does so in anti-chronological order, that’s why Bidirectional RNNs are widely used because they offer greater performance than regular RNNs</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color w:val="292929"/>
          <w:sz w:val="28"/>
          <w:szCs w:val="28"/>
          <w:highlight w:val="white"/>
          <w:u w:val="none"/>
        </w:rPr>
      </w:pPr>
      <w:r w:rsidDel="00000000" w:rsidR="00000000" w:rsidRPr="00000000">
        <w:rPr>
          <w:rFonts w:ascii="Times New Roman" w:cs="Times New Roman" w:eastAsia="Times New Roman" w:hAnsi="Times New Roman"/>
          <w:color w:val="292929"/>
          <w:sz w:val="28"/>
          <w:szCs w:val="28"/>
          <w:highlight w:val="white"/>
          <w:rtl w:val="0"/>
        </w:rPr>
        <w:t xml:space="preserve">Here we used one BidLSTM with dropout=0.6</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color w:val="292929"/>
          <w:sz w:val="28"/>
          <w:szCs w:val="28"/>
          <w:highlight w:val="white"/>
          <w:u w:val="none"/>
        </w:rPr>
      </w:pPr>
      <w:r w:rsidDel="00000000" w:rsidR="00000000" w:rsidRPr="00000000">
        <w:rPr>
          <w:rFonts w:ascii="Times New Roman" w:cs="Times New Roman" w:eastAsia="Times New Roman" w:hAnsi="Times New Roman"/>
          <w:color w:val="292929"/>
          <w:sz w:val="28"/>
          <w:szCs w:val="28"/>
          <w:highlight w:val="white"/>
          <w:rtl w:val="0"/>
        </w:rPr>
        <w:t xml:space="preserve">One dense layer with softmax as an activation layer </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RMSprop optimizer </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shd w:fill="f2f2f2" w:val="clear"/>
          <w:rtl w:val="0"/>
        </w:rPr>
        <w:t xml:space="preserve">C</w:t>
      </w:r>
      <w:r w:rsidDel="00000000" w:rsidR="00000000" w:rsidRPr="00000000">
        <w:rPr>
          <w:rFonts w:ascii="Times New Roman" w:cs="Times New Roman" w:eastAsia="Times New Roman" w:hAnsi="Times New Roman"/>
          <w:sz w:val="28"/>
          <w:szCs w:val="28"/>
          <w:shd w:fill="f2f2f2" w:val="clear"/>
          <w:rtl w:val="0"/>
        </w:rPr>
        <w:t xml:space="preserve">ategorical_crossentropy as loss function </w:t>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