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57C" w:rsidRPr="00270C30" w:rsidRDefault="00E67783">
      <w:pPr>
        <w:rPr>
          <w:b/>
          <w:bCs/>
          <w:sz w:val="36"/>
          <w:szCs w:val="36"/>
          <w:u w:val="single"/>
          <w:lang w:bidi="fa-IR"/>
        </w:rPr>
      </w:pPr>
      <w:r w:rsidRPr="00270C30">
        <w:rPr>
          <w:b/>
          <w:bCs/>
          <w:sz w:val="36"/>
          <w:szCs w:val="36"/>
          <w:u w:val="single"/>
          <w:lang w:bidi="fa-IR"/>
        </w:rPr>
        <w:t>List of publications: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"/>
        <w:gridCol w:w="7632"/>
        <w:gridCol w:w="1911"/>
        <w:gridCol w:w="1911"/>
        <w:gridCol w:w="2593"/>
      </w:tblGrid>
      <w:tr w:rsidR="00E67783" w:rsidRPr="00E67783" w:rsidTr="00E67783">
        <w:tc>
          <w:tcPr>
            <w:tcW w:w="119" w:type="pct"/>
            <w:vAlign w:val="center"/>
          </w:tcPr>
          <w:p w:rsidR="00E67783" w:rsidRPr="00E67783" w:rsidRDefault="00E67783" w:rsidP="00E67783">
            <w:pPr>
              <w:jc w:val="center"/>
              <w:rPr>
                <w:rFonts w:hint="cs"/>
                <w:b/>
                <w:bCs/>
                <w:sz w:val="28"/>
                <w:szCs w:val="28"/>
                <w:lang w:bidi="fa-IR"/>
              </w:rPr>
            </w:pPr>
          </w:p>
        </w:tc>
        <w:tc>
          <w:tcPr>
            <w:tcW w:w="2652" w:type="pct"/>
            <w:vAlign w:val="center"/>
          </w:tcPr>
          <w:p w:rsidR="00E67783" w:rsidRPr="00E67783" w:rsidRDefault="00E67783" w:rsidP="00E67783">
            <w:pPr>
              <w:jc w:val="center"/>
              <w:rPr>
                <w:rFonts w:hint="cs"/>
                <w:b/>
                <w:bCs/>
                <w:sz w:val="28"/>
                <w:szCs w:val="28"/>
                <w:lang w:bidi="fa-IR"/>
              </w:rPr>
            </w:pPr>
            <w:r w:rsidRPr="00E67783">
              <w:rPr>
                <w:b/>
                <w:bCs/>
                <w:sz w:val="28"/>
                <w:szCs w:val="28"/>
                <w:lang w:bidi="fa-IR"/>
              </w:rPr>
              <w:t>Title</w:t>
            </w:r>
          </w:p>
        </w:tc>
        <w:tc>
          <w:tcPr>
            <w:tcW w:w="664" w:type="pct"/>
            <w:vAlign w:val="center"/>
          </w:tcPr>
          <w:p w:rsidR="00E67783" w:rsidRPr="00E67783" w:rsidRDefault="00E67783" w:rsidP="00E67783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E67783">
              <w:rPr>
                <w:b/>
                <w:bCs/>
                <w:sz w:val="28"/>
                <w:szCs w:val="28"/>
                <w:lang w:bidi="fa-IR"/>
              </w:rPr>
              <w:t>language</w:t>
            </w:r>
          </w:p>
        </w:tc>
        <w:tc>
          <w:tcPr>
            <w:tcW w:w="664" w:type="pct"/>
            <w:vAlign w:val="center"/>
          </w:tcPr>
          <w:p w:rsidR="00E67783" w:rsidRPr="00E67783" w:rsidRDefault="00E67783" w:rsidP="00E67783">
            <w:pPr>
              <w:jc w:val="center"/>
              <w:rPr>
                <w:rFonts w:hint="cs"/>
                <w:b/>
                <w:bCs/>
                <w:sz w:val="28"/>
                <w:szCs w:val="28"/>
                <w:lang w:bidi="fa-IR"/>
              </w:rPr>
            </w:pPr>
            <w:r w:rsidRPr="00E67783">
              <w:rPr>
                <w:b/>
                <w:bCs/>
                <w:sz w:val="28"/>
                <w:szCs w:val="28"/>
                <w:lang w:bidi="fa-IR"/>
              </w:rPr>
              <w:t>Type</w:t>
            </w:r>
          </w:p>
        </w:tc>
        <w:tc>
          <w:tcPr>
            <w:tcW w:w="901" w:type="pct"/>
            <w:vAlign w:val="center"/>
          </w:tcPr>
          <w:p w:rsidR="00E67783" w:rsidRPr="00E67783" w:rsidRDefault="00E67783" w:rsidP="00E67783">
            <w:pPr>
              <w:jc w:val="center"/>
              <w:rPr>
                <w:rFonts w:hint="cs"/>
                <w:b/>
                <w:bCs/>
                <w:sz w:val="28"/>
                <w:szCs w:val="28"/>
                <w:lang w:bidi="fa-IR"/>
              </w:rPr>
            </w:pPr>
            <w:r w:rsidRPr="00E67783">
              <w:rPr>
                <w:b/>
                <w:bCs/>
                <w:sz w:val="28"/>
                <w:szCs w:val="28"/>
                <w:lang w:bidi="fa-IR"/>
              </w:rPr>
              <w:t>publisher</w:t>
            </w:r>
          </w:p>
        </w:tc>
      </w:tr>
      <w:tr w:rsidR="00E67783" w:rsidTr="00E67783">
        <w:tc>
          <w:tcPr>
            <w:tcW w:w="119" w:type="pct"/>
            <w:vAlign w:val="center"/>
          </w:tcPr>
          <w:p w:rsidR="00E67783" w:rsidRDefault="00E67783" w:rsidP="00E67783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2652" w:type="pct"/>
            <w:vAlign w:val="center"/>
          </w:tcPr>
          <w:p w:rsidR="00270C30" w:rsidRDefault="00270C30" w:rsidP="00E67783">
            <w:pPr>
              <w:jc w:val="center"/>
              <w:rPr>
                <w:lang w:bidi="fa-IR"/>
              </w:rPr>
            </w:pPr>
          </w:p>
          <w:p w:rsidR="00E67783" w:rsidRDefault="00E67783" w:rsidP="00E677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Study of afferent and inherent </w:t>
            </w:r>
            <w:proofErr w:type="spellStart"/>
            <w:r>
              <w:rPr>
                <w:lang w:bidi="fa-IR"/>
              </w:rPr>
              <w:t>semes</w:t>
            </w:r>
            <w:proofErr w:type="spellEnd"/>
            <w:r>
              <w:rPr>
                <w:lang w:bidi="fa-IR"/>
              </w:rPr>
              <w:t xml:space="preserve"> and their translation in Madame Bovary of Flaubert</w:t>
            </w:r>
          </w:p>
          <w:p w:rsidR="00270C30" w:rsidRDefault="00270C30" w:rsidP="00E67783">
            <w:pPr>
              <w:jc w:val="center"/>
              <w:rPr>
                <w:rFonts w:hint="cs"/>
                <w:lang w:bidi="fa-IR"/>
              </w:rPr>
            </w:pPr>
          </w:p>
        </w:tc>
        <w:tc>
          <w:tcPr>
            <w:tcW w:w="664" w:type="pct"/>
            <w:vAlign w:val="center"/>
          </w:tcPr>
          <w:p w:rsidR="00E67783" w:rsidRDefault="00E67783" w:rsidP="00E6778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French</w:t>
            </w:r>
          </w:p>
        </w:tc>
        <w:tc>
          <w:tcPr>
            <w:tcW w:w="664" w:type="pct"/>
            <w:vAlign w:val="center"/>
          </w:tcPr>
          <w:p w:rsidR="00E67783" w:rsidRDefault="00E67783" w:rsidP="00E67783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Master dissertation</w:t>
            </w:r>
          </w:p>
        </w:tc>
        <w:tc>
          <w:tcPr>
            <w:tcW w:w="901" w:type="pct"/>
            <w:vAlign w:val="center"/>
          </w:tcPr>
          <w:p w:rsidR="00E67783" w:rsidRDefault="00E67783" w:rsidP="00E67783">
            <w:pPr>
              <w:jc w:val="center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Tarbiat</w:t>
            </w:r>
            <w:proofErr w:type="spellEnd"/>
            <w:r>
              <w:rPr>
                <w:lang w:bidi="fa-IR"/>
              </w:rPr>
              <w:t xml:space="preserve"> </w:t>
            </w:r>
            <w:proofErr w:type="spellStart"/>
            <w:r>
              <w:rPr>
                <w:lang w:bidi="fa-IR"/>
              </w:rPr>
              <w:t>Modares</w:t>
            </w:r>
            <w:proofErr w:type="spellEnd"/>
            <w:r>
              <w:rPr>
                <w:lang w:bidi="fa-IR"/>
              </w:rPr>
              <w:t xml:space="preserve"> University</w:t>
            </w:r>
          </w:p>
        </w:tc>
      </w:tr>
      <w:tr w:rsidR="00E67783" w:rsidTr="00E67783">
        <w:tc>
          <w:tcPr>
            <w:tcW w:w="119" w:type="pct"/>
            <w:vAlign w:val="center"/>
          </w:tcPr>
          <w:p w:rsidR="00E67783" w:rsidRDefault="00E67783" w:rsidP="00E67783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2652" w:type="pct"/>
            <w:vAlign w:val="center"/>
          </w:tcPr>
          <w:p w:rsidR="00270C30" w:rsidRDefault="00270C30" w:rsidP="00E67783">
            <w:pPr>
              <w:jc w:val="center"/>
              <w:rPr>
                <w:lang w:bidi="fa-IR"/>
              </w:rPr>
            </w:pPr>
          </w:p>
          <w:p w:rsidR="00E67783" w:rsidRDefault="00E67783" w:rsidP="00270C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Study </w:t>
            </w:r>
            <w:r>
              <w:rPr>
                <w:lang w:bidi="fa-IR"/>
              </w:rPr>
              <w:t xml:space="preserve">of translation </w:t>
            </w:r>
            <w:r>
              <w:rPr>
                <w:lang w:bidi="fa-IR"/>
              </w:rPr>
              <w:t xml:space="preserve">and its meaning-making processes in the framework of </w:t>
            </w:r>
            <w:r w:rsidR="00270C30">
              <w:rPr>
                <w:lang w:bidi="fa-IR"/>
              </w:rPr>
              <w:t xml:space="preserve">afferent and inherent </w:t>
            </w:r>
            <w:r w:rsidR="00270C30">
              <w:rPr>
                <w:lang w:bidi="fa-IR"/>
              </w:rPr>
              <w:t>componential analysis</w:t>
            </w:r>
            <w:bookmarkStart w:id="0" w:name="_GoBack"/>
            <w:bookmarkEnd w:id="0"/>
          </w:p>
          <w:p w:rsidR="00270C30" w:rsidRDefault="00270C30" w:rsidP="00E67783">
            <w:pPr>
              <w:jc w:val="center"/>
              <w:rPr>
                <w:rFonts w:hint="cs"/>
                <w:lang w:bidi="fa-IR"/>
              </w:rPr>
            </w:pPr>
          </w:p>
        </w:tc>
        <w:tc>
          <w:tcPr>
            <w:tcW w:w="664" w:type="pct"/>
            <w:vAlign w:val="center"/>
          </w:tcPr>
          <w:p w:rsidR="00E67783" w:rsidRDefault="00E507D2" w:rsidP="00E67783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Persian</w:t>
            </w:r>
          </w:p>
        </w:tc>
        <w:tc>
          <w:tcPr>
            <w:tcW w:w="664" w:type="pct"/>
            <w:vAlign w:val="center"/>
          </w:tcPr>
          <w:p w:rsidR="00E67783" w:rsidRDefault="00E507D2" w:rsidP="00E67783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Article</w:t>
            </w:r>
          </w:p>
        </w:tc>
        <w:tc>
          <w:tcPr>
            <w:tcW w:w="901" w:type="pct"/>
            <w:vAlign w:val="center"/>
          </w:tcPr>
          <w:p w:rsidR="00E67783" w:rsidRDefault="00E507D2" w:rsidP="00E67783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Ferdowsi University</w:t>
            </w:r>
            <w:r w:rsidR="000D0601">
              <w:rPr>
                <w:lang w:bidi="fa-IR"/>
              </w:rPr>
              <w:t xml:space="preserve"> of </w:t>
            </w:r>
            <w:proofErr w:type="spellStart"/>
            <w:r w:rsidR="000D0601">
              <w:rPr>
                <w:lang w:bidi="fa-IR"/>
              </w:rPr>
              <w:t>Mashad</w:t>
            </w:r>
            <w:proofErr w:type="spellEnd"/>
          </w:p>
        </w:tc>
      </w:tr>
    </w:tbl>
    <w:p w:rsidR="00E67783" w:rsidRPr="00E67783" w:rsidRDefault="00E67783" w:rsidP="00E67783">
      <w:pPr>
        <w:rPr>
          <w:rFonts w:hint="cs"/>
          <w:lang w:bidi="fa-IR"/>
        </w:rPr>
      </w:pPr>
    </w:p>
    <w:sectPr w:rsidR="00E67783" w:rsidRPr="00E67783" w:rsidSect="00E677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C3400"/>
    <w:multiLevelType w:val="hybridMultilevel"/>
    <w:tmpl w:val="CDD63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40E87"/>
    <w:multiLevelType w:val="hybridMultilevel"/>
    <w:tmpl w:val="860A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83"/>
    <w:rsid w:val="000D0601"/>
    <w:rsid w:val="00270C30"/>
    <w:rsid w:val="00C4357C"/>
    <w:rsid w:val="00E507D2"/>
    <w:rsid w:val="00E6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AFC9"/>
  <w15:chartTrackingRefBased/>
  <w15:docId w15:val="{4E6CD21B-8148-435D-BD6F-48D3DBD5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783"/>
    <w:pPr>
      <w:ind w:left="720"/>
      <w:contextualSpacing/>
    </w:pPr>
  </w:style>
  <w:style w:type="table" w:styleId="TableGrid">
    <w:name w:val="Table Grid"/>
    <w:basedOn w:val="TableNormal"/>
    <w:uiPriority w:val="39"/>
    <w:rsid w:val="00E67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2021-01-31T16:49:00Z</dcterms:created>
  <dcterms:modified xsi:type="dcterms:W3CDTF">2021-01-31T17:01:00Z</dcterms:modified>
</cp:coreProperties>
</file>