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3A" w:rsidRDefault="00732B3A" w:rsidP="00732B3A">
      <w:pPr>
        <w:spacing w:after="0" w:line="240" w:lineRule="auto"/>
        <w:ind w:left="-180" w:right="-702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bidi="fa-IR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fa-IR"/>
        </w:rPr>
        <w:t>Overleaf:</w:t>
      </w:r>
    </w:p>
    <w:p w:rsidR="00732B3A" w:rsidRDefault="00732B3A" w:rsidP="00732B3A">
      <w:pPr>
        <w:spacing w:after="0" w:line="276" w:lineRule="auto"/>
        <w:ind w:left="-180" w:right="-702"/>
        <w:jc w:val="both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Serial No.:</w:t>
      </w: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94D258826 Main                                                                                      </w:t>
      </w:r>
      <w:r>
        <w:rPr>
          <w:rFonts w:asciiTheme="majorBidi" w:hAnsiTheme="majorBidi" w:cstheme="majorBidi"/>
          <w:sz w:val="20"/>
          <w:szCs w:val="20"/>
          <w:lang w:bidi="fa-IR"/>
        </w:rPr>
        <w:t>Exclusive from No.:</w:t>
      </w: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>T(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>88-11) A(125) 333075</w:t>
      </w:r>
    </w:p>
    <w:p w:rsidR="00732B3A" w:rsidRDefault="00732B3A" w:rsidP="00732B3A">
      <w:pPr>
        <w:spacing w:after="0" w:line="276" w:lineRule="auto"/>
        <w:ind w:left="-180" w:right="-702"/>
        <w:jc w:val="both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:rsidR="00732B3A" w:rsidRDefault="00732B3A" w:rsidP="00732B3A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proofErr w:type="gramStart"/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>Remarks and Specifications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and Property’s Easement Rights: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</w:p>
    <w:p w:rsidR="00732B3A" w:rsidRDefault="00732B3A" w:rsidP="004E1183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proofErr w:type="gramStart"/>
      <w:r>
        <w:rPr>
          <w:rFonts w:asciiTheme="majorBidi" w:hAnsiTheme="majorBidi" w:cstheme="majorBidi"/>
          <w:sz w:val="20"/>
          <w:szCs w:val="20"/>
          <w:lang w:bidi="fa-IR"/>
        </w:rPr>
        <w:t xml:space="preserve">The </w:t>
      </w:r>
      <w:r w:rsidR="004E1183">
        <w:rPr>
          <w:rFonts w:asciiTheme="majorBidi" w:hAnsiTheme="majorBidi" w:cstheme="majorBidi"/>
          <w:sz w:val="20"/>
          <w:szCs w:val="20"/>
          <w:lang w:bidi="fa-IR"/>
        </w:rPr>
        <w:t>apartment No. 3772</w:t>
      </w:r>
      <w:r w:rsidR="00340168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>
        <w:rPr>
          <w:rFonts w:asciiTheme="majorBidi" w:hAnsiTheme="majorBidi" w:cstheme="majorBidi"/>
          <w:sz w:val="20"/>
          <w:szCs w:val="20"/>
          <w:lang w:bidi="fa-IR"/>
        </w:rPr>
        <w:t>(Special status: Freehold</w:t>
      </w:r>
      <w:r w:rsidR="004E1183">
        <w:rPr>
          <w:rFonts w:asciiTheme="majorBidi" w:hAnsiTheme="majorBidi" w:cstheme="majorBidi"/>
          <w:sz w:val="20"/>
          <w:szCs w:val="20"/>
          <w:lang w:bidi="fa-IR"/>
        </w:rPr>
        <w:t xml:space="preserve">) </w:t>
      </w:r>
      <w:r>
        <w:rPr>
          <w:rFonts w:asciiTheme="majorBidi" w:hAnsiTheme="majorBidi" w:cstheme="majorBidi"/>
          <w:sz w:val="20"/>
          <w:szCs w:val="20"/>
          <w:lang w:bidi="fa-IR"/>
        </w:rPr>
        <w:t>of the main lot No.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>: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="004E1183">
        <w:rPr>
          <w:rFonts w:asciiTheme="majorBidi" w:hAnsiTheme="majorBidi" w:cstheme="majorBidi"/>
          <w:sz w:val="20"/>
          <w:szCs w:val="20"/>
          <w:lang w:bidi="fa-IR"/>
        </w:rPr>
        <w:t>197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, </w:t>
      </w:r>
      <w:r w:rsidR="00340168">
        <w:rPr>
          <w:rFonts w:asciiTheme="majorBidi" w:hAnsiTheme="majorBidi" w:cstheme="majorBidi"/>
          <w:sz w:val="20"/>
          <w:szCs w:val="20"/>
          <w:lang w:bidi="fa-IR"/>
        </w:rPr>
        <w:t xml:space="preserve">and 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auxiliary lot No.: </w:t>
      </w:r>
      <w:r w:rsidR="004E1183">
        <w:rPr>
          <w:rFonts w:asciiTheme="majorBidi" w:hAnsiTheme="majorBidi" w:cstheme="majorBidi"/>
          <w:sz w:val="20"/>
          <w:szCs w:val="20"/>
          <w:lang w:bidi="fa-IR"/>
        </w:rPr>
        <w:t>27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, 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separated 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from 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 xml:space="preserve">the </w:t>
      </w:r>
      <w:r w:rsidR="004E1183">
        <w:rPr>
          <w:rFonts w:asciiTheme="majorBidi" w:hAnsiTheme="majorBidi" w:cstheme="majorBidi"/>
          <w:sz w:val="20"/>
          <w:szCs w:val="20"/>
          <w:lang w:bidi="fa-IR"/>
        </w:rPr>
        <w:t>block No</w:t>
      </w:r>
      <w:r>
        <w:rPr>
          <w:rFonts w:asciiTheme="majorBidi" w:hAnsiTheme="majorBidi" w:cstheme="majorBidi"/>
          <w:sz w:val="20"/>
          <w:szCs w:val="20"/>
          <w:lang w:bidi="fa-IR"/>
        </w:rPr>
        <w:t>.</w:t>
      </w:r>
      <w:r w:rsidR="004E1183">
        <w:rPr>
          <w:rFonts w:asciiTheme="majorBidi" w:hAnsiTheme="majorBidi" w:cstheme="majorBidi"/>
          <w:sz w:val="20"/>
          <w:szCs w:val="20"/>
          <w:lang w:bidi="fa-IR"/>
        </w:rPr>
        <w:t>8 as well as the auxiliary block No. 2613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="004E1183">
        <w:rPr>
          <w:rFonts w:asciiTheme="majorBidi" w:hAnsiTheme="majorBidi" w:cstheme="majorBidi"/>
          <w:sz w:val="20"/>
          <w:szCs w:val="20"/>
          <w:lang w:bidi="fa-IR"/>
        </w:rPr>
        <w:t xml:space="preserve">of the main lot, 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registered in the </w:t>
      </w:r>
      <w:r w:rsidR="004E1183">
        <w:rPr>
          <w:rFonts w:asciiTheme="majorBidi" w:hAnsiTheme="majorBidi" w:cstheme="majorBidi"/>
          <w:sz w:val="20"/>
          <w:szCs w:val="20"/>
          <w:lang w:bidi="fa-IR"/>
        </w:rPr>
        <w:t>fifth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 region of the Registry Office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="004E1183">
        <w:rPr>
          <w:rFonts w:asciiTheme="majorBidi" w:hAnsiTheme="majorBidi" w:cstheme="majorBidi"/>
          <w:sz w:val="20"/>
          <w:szCs w:val="20"/>
          <w:lang w:bidi="fa-IR"/>
        </w:rPr>
        <w:t>of Properties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 of the Province of </w:t>
      </w:r>
      <w:r w:rsidR="004E1183">
        <w:rPr>
          <w:rFonts w:asciiTheme="majorBidi" w:hAnsiTheme="majorBidi" w:cstheme="majorBidi"/>
          <w:sz w:val="20"/>
          <w:szCs w:val="20"/>
          <w:lang w:bidi="fa-IR"/>
        </w:rPr>
        <w:t xml:space="preserve">Mazandaran, </w:t>
      </w:r>
      <w:proofErr w:type="spellStart"/>
      <w:r w:rsidR="004E1183">
        <w:rPr>
          <w:rFonts w:asciiTheme="majorBidi" w:hAnsiTheme="majorBidi" w:cstheme="majorBidi"/>
          <w:sz w:val="20"/>
          <w:szCs w:val="20"/>
          <w:lang w:bidi="fa-IR"/>
        </w:rPr>
        <w:t>Ramsar</w:t>
      </w:r>
      <w:proofErr w:type="spellEnd"/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, </w:t>
      </w:r>
      <w:r>
        <w:rPr>
          <w:rFonts w:asciiTheme="majorBidi" w:hAnsiTheme="majorBidi" w:cstheme="majorBidi"/>
          <w:sz w:val="20"/>
          <w:szCs w:val="20"/>
          <w:lang w:bidi="fa-IR"/>
        </w:rPr>
        <w:t>measuring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 86</w:t>
      </w:r>
      <w:r>
        <w:rPr>
          <w:rFonts w:asciiTheme="majorBidi" w:hAnsiTheme="majorBidi" w:cstheme="majorBidi"/>
          <w:sz w:val="20"/>
          <w:szCs w:val="20"/>
          <w:lang w:bidi="fa-IR"/>
        </w:rPr>
        <w:t>.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>01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sq. </w:t>
      </w:r>
      <w:proofErr w:type="spellStart"/>
      <w:r>
        <w:rPr>
          <w:rFonts w:asciiTheme="majorBidi" w:hAnsiTheme="majorBidi" w:cstheme="majorBidi"/>
          <w:sz w:val="20"/>
          <w:szCs w:val="20"/>
          <w:lang w:bidi="fa-IR"/>
        </w:rPr>
        <w:t>m.</w:t>
      </w:r>
      <w:r w:rsidR="001F5A0B">
        <w:rPr>
          <w:rFonts w:asciiTheme="majorBidi" w:hAnsiTheme="majorBidi" w:cstheme="majorBidi"/>
          <w:sz w:val="20"/>
          <w:szCs w:val="20"/>
          <w:lang w:bidi="fa-IR"/>
        </w:rPr>
        <w:t>located</w:t>
      </w:r>
      <w:proofErr w:type="spellEnd"/>
      <w:r w:rsidR="001F5A0B">
        <w:rPr>
          <w:rFonts w:asciiTheme="majorBidi" w:hAnsiTheme="majorBidi" w:cstheme="majorBidi"/>
          <w:sz w:val="20"/>
          <w:szCs w:val="20"/>
          <w:lang w:bidi="fa-IR"/>
        </w:rPr>
        <w:t xml:space="preserve"> on the </w:t>
      </w:r>
      <w:r w:rsidR="004E1183">
        <w:rPr>
          <w:rFonts w:asciiTheme="majorBidi" w:hAnsiTheme="majorBidi" w:cstheme="majorBidi"/>
          <w:sz w:val="20"/>
          <w:szCs w:val="20"/>
          <w:lang w:bidi="fa-IR"/>
        </w:rPr>
        <w:t>fifth floor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 xml:space="preserve">, </w:t>
      </w:r>
      <w:r w:rsidR="004E1183">
        <w:rPr>
          <w:rFonts w:asciiTheme="majorBidi" w:hAnsiTheme="majorBidi" w:cstheme="majorBidi"/>
          <w:sz w:val="20"/>
          <w:szCs w:val="20"/>
          <w:lang w:bidi="fa-IR"/>
        </w:rPr>
        <w:t xml:space="preserve">and 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 xml:space="preserve">the warehouse No. 8, with  a surface equal to </w:t>
      </w:r>
      <w:r w:rsidR="004E1183">
        <w:rPr>
          <w:rFonts w:asciiTheme="majorBidi" w:hAnsiTheme="majorBidi" w:cstheme="majorBidi"/>
          <w:sz w:val="20"/>
          <w:szCs w:val="20"/>
          <w:lang w:bidi="fa-IR"/>
        </w:rPr>
        <w:t>4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>.</w:t>
      </w:r>
      <w:r w:rsidR="004E1183">
        <w:rPr>
          <w:rFonts w:asciiTheme="majorBidi" w:hAnsiTheme="majorBidi" w:cstheme="majorBidi"/>
          <w:sz w:val="20"/>
          <w:szCs w:val="20"/>
          <w:lang w:bidi="fa-IR"/>
        </w:rPr>
        <w:t xml:space="preserve">8 </w:t>
      </w:r>
      <w:proofErr w:type="spellStart"/>
      <w:r w:rsidR="004E1183">
        <w:rPr>
          <w:rFonts w:asciiTheme="majorBidi" w:hAnsiTheme="majorBidi" w:cstheme="majorBidi"/>
          <w:sz w:val="20"/>
          <w:szCs w:val="20"/>
          <w:lang w:bidi="fa-IR"/>
        </w:rPr>
        <w:t>sq.m</w:t>
      </w:r>
      <w:proofErr w:type="spellEnd"/>
      <w:r w:rsidR="004E1183">
        <w:rPr>
          <w:rFonts w:asciiTheme="majorBidi" w:hAnsiTheme="majorBidi" w:cstheme="majorBidi"/>
          <w:sz w:val="20"/>
          <w:szCs w:val="20"/>
          <w:lang w:bidi="fa-IR"/>
        </w:rPr>
        <w:t xml:space="preserve"> on the first floor.</w:t>
      </w:r>
      <w:proofErr w:type="gramEnd"/>
    </w:p>
    <w:p w:rsidR="000D06FE" w:rsidRDefault="00732B3A" w:rsidP="000D06FE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The Boundaries of the </w:t>
      </w:r>
      <w:r w:rsidR="000D06FE">
        <w:rPr>
          <w:rFonts w:asciiTheme="majorBidi" w:hAnsiTheme="majorBidi" w:cstheme="majorBidi"/>
          <w:b/>
          <w:bCs/>
          <w:sz w:val="20"/>
          <w:szCs w:val="20"/>
          <w:lang w:bidi="fa-IR"/>
        </w:rPr>
        <w:t>Property</w:t>
      </w: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>: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</w:p>
    <w:p w:rsidR="00140A59" w:rsidRDefault="00E07272" w:rsidP="00E2573F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Northward: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="00E2573F">
        <w:rPr>
          <w:rFonts w:asciiTheme="majorBidi" w:hAnsiTheme="majorBidi" w:cstheme="majorBidi"/>
          <w:sz w:val="20"/>
          <w:szCs w:val="20"/>
          <w:lang w:bidi="fa-IR"/>
        </w:rPr>
        <w:t xml:space="preserve">in </w:t>
      </w:r>
      <w:proofErr w:type="gramStart"/>
      <w:r w:rsidR="00E2573F">
        <w:rPr>
          <w:rFonts w:asciiTheme="majorBidi" w:hAnsiTheme="majorBidi" w:cstheme="majorBidi"/>
          <w:sz w:val="20"/>
          <w:szCs w:val="20"/>
          <w:lang w:bidi="fa-IR"/>
        </w:rPr>
        <w:t>2</w:t>
      </w:r>
      <w:proofErr w:type="gramEnd"/>
      <w:r w:rsidR="00E2573F">
        <w:rPr>
          <w:rFonts w:asciiTheme="majorBidi" w:hAnsiTheme="majorBidi" w:cstheme="majorBidi"/>
          <w:sz w:val="20"/>
          <w:szCs w:val="20"/>
          <w:lang w:bidi="fa-IR"/>
        </w:rPr>
        <w:t xml:space="preserve"> parts, first 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 xml:space="preserve">a wall 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 xml:space="preserve">and a window </w:t>
      </w:r>
      <w:r w:rsidR="00E2573F">
        <w:rPr>
          <w:rFonts w:asciiTheme="majorBidi" w:hAnsiTheme="majorBidi" w:cstheme="majorBidi"/>
          <w:sz w:val="20"/>
          <w:szCs w:val="20"/>
          <w:lang w:bidi="fa-IR"/>
        </w:rPr>
        <w:t>with a length of 4.38 meters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>,</w:t>
      </w:r>
      <w:r w:rsidR="00E2573F">
        <w:rPr>
          <w:rFonts w:asciiTheme="majorBidi" w:hAnsiTheme="majorBidi" w:cstheme="majorBidi"/>
          <w:sz w:val="20"/>
          <w:szCs w:val="20"/>
          <w:lang w:bidi="fa-IR"/>
        </w:rPr>
        <w:t xml:space="preserve"> second a fence line with a length of 4.28 meters.</w:t>
      </w:r>
      <w:r w:rsidR="000D06FE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</w:p>
    <w:p w:rsidR="00140A59" w:rsidRDefault="00E07272" w:rsidP="00E2573F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Eastward: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="00E2573F">
        <w:rPr>
          <w:rFonts w:asciiTheme="majorBidi" w:hAnsiTheme="majorBidi" w:cstheme="majorBidi"/>
          <w:sz w:val="20"/>
          <w:szCs w:val="20"/>
          <w:lang w:bidi="fa-IR"/>
        </w:rPr>
        <w:t>a fence line with a length equal to 4.36 meters and a wall of 0.7 meters stretching all along to the southern side</w:t>
      </w:r>
    </w:p>
    <w:p w:rsidR="00732B3A" w:rsidRDefault="00140A59" w:rsidP="00E2573F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South</w:t>
      </w:r>
      <w:r w:rsidR="00E07272">
        <w:rPr>
          <w:rFonts w:asciiTheme="majorBidi" w:hAnsiTheme="majorBidi" w:cstheme="majorBidi"/>
          <w:sz w:val="20"/>
          <w:szCs w:val="20"/>
          <w:lang w:bidi="fa-IR"/>
        </w:rPr>
        <w:t>ward: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a </w:t>
      </w:r>
      <w:r w:rsidR="00E2573F">
        <w:rPr>
          <w:rFonts w:asciiTheme="majorBidi" w:hAnsiTheme="majorBidi" w:cstheme="majorBidi"/>
          <w:sz w:val="20"/>
          <w:szCs w:val="20"/>
          <w:lang w:bidi="fa-IR"/>
        </w:rPr>
        <w:t xml:space="preserve">1.92-meter </w:t>
      </w:r>
      <w:r>
        <w:rPr>
          <w:rFonts w:asciiTheme="majorBidi" w:hAnsiTheme="majorBidi" w:cstheme="majorBidi"/>
          <w:sz w:val="20"/>
          <w:szCs w:val="20"/>
          <w:lang w:bidi="fa-IR"/>
        </w:rPr>
        <w:t>wall</w:t>
      </w:r>
      <w:r w:rsidR="00E2573F">
        <w:rPr>
          <w:rFonts w:asciiTheme="majorBidi" w:hAnsiTheme="majorBidi" w:cstheme="majorBidi"/>
          <w:sz w:val="20"/>
          <w:szCs w:val="20"/>
          <w:lang w:bidi="fa-IR"/>
        </w:rPr>
        <w:t xml:space="preserve"> common with apartment No. 220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>.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</w:p>
    <w:p w:rsidR="00474846" w:rsidRDefault="00E07272" w:rsidP="002F34BC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Westward: </w:t>
      </w:r>
      <w:r w:rsidR="00E2573F">
        <w:rPr>
          <w:rFonts w:asciiTheme="majorBidi" w:hAnsiTheme="majorBidi" w:cstheme="majorBidi"/>
          <w:sz w:val="20"/>
          <w:szCs w:val="20"/>
          <w:lang w:bidi="fa-IR"/>
        </w:rPr>
        <w:t>a wall with a length equal to 2.75 meters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 xml:space="preserve"> common with  apartment No. 196 and a fence line with a length of 2.18 meters followed by a door and two windows</w:t>
      </w:r>
      <w:r>
        <w:rPr>
          <w:rFonts w:asciiTheme="majorBidi" w:hAnsiTheme="majorBidi" w:cstheme="majorBidi"/>
          <w:sz w:val="20"/>
          <w:szCs w:val="20"/>
          <w:lang w:bidi="fa-IR"/>
        </w:rPr>
        <w:t>.</w:t>
      </w:r>
    </w:p>
    <w:p w:rsidR="00474846" w:rsidRDefault="00474846" w:rsidP="002F34BC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The floor of the apartment is common with the ceiling of the apartment on the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>fourth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floor.</w:t>
      </w:r>
    </w:p>
    <w:p w:rsidR="00474846" w:rsidRPr="00474846" w:rsidRDefault="00474846" w:rsidP="002F34BC">
      <w:pPr>
        <w:spacing w:after="0" w:line="276" w:lineRule="auto"/>
        <w:ind w:left="-180" w:right="-702"/>
        <w:jc w:val="both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474846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The Boundaries of the </w:t>
      </w:r>
      <w:r w:rsidR="002F34BC">
        <w:rPr>
          <w:rFonts w:asciiTheme="majorBidi" w:hAnsiTheme="majorBidi" w:cstheme="majorBidi"/>
          <w:b/>
          <w:bCs/>
          <w:sz w:val="20"/>
          <w:szCs w:val="20"/>
          <w:lang w:bidi="fa-IR"/>
        </w:rPr>
        <w:t>Warehouse</w:t>
      </w:r>
      <w:r w:rsidRPr="00474846">
        <w:rPr>
          <w:rFonts w:asciiTheme="majorBidi" w:hAnsiTheme="majorBidi" w:cstheme="majorBidi"/>
          <w:b/>
          <w:bCs/>
          <w:sz w:val="20"/>
          <w:szCs w:val="20"/>
          <w:lang w:bidi="fa-IR"/>
        </w:rPr>
        <w:t>:</w:t>
      </w:r>
    </w:p>
    <w:p w:rsidR="00474846" w:rsidRDefault="006C2EE1" w:rsidP="002F34BC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Northward: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>a wall with a length equal to 2.40 meters common with the warehouse No. 13</w:t>
      </w:r>
    </w:p>
    <w:p w:rsidR="006C2EE1" w:rsidRDefault="006C2EE1" w:rsidP="002F34BC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Eastward: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 xml:space="preserve">a wall with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>a length equal to 2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 xml:space="preserve"> meters common with the warehouse No.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>59</w:t>
      </w:r>
    </w:p>
    <w:p w:rsidR="006C2EE1" w:rsidRDefault="006C2EE1" w:rsidP="002F34BC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Southward: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>a wall with a length of 2.40 meters common with the warehouse No. 84</w:t>
      </w:r>
    </w:p>
    <w:p w:rsidR="00CF7881" w:rsidRDefault="002F34BC" w:rsidP="002F34BC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Westward: a wall with a length of 2 meters and a </w:t>
      </w:r>
      <w:proofErr w:type="gramStart"/>
      <w:r>
        <w:rPr>
          <w:rFonts w:asciiTheme="majorBidi" w:hAnsiTheme="majorBidi" w:cstheme="majorBidi"/>
          <w:sz w:val="20"/>
          <w:szCs w:val="20"/>
          <w:lang w:bidi="fa-IR"/>
        </w:rPr>
        <w:t>door which</w:t>
      </w:r>
      <w:proofErr w:type="gramEnd"/>
      <w:r>
        <w:rPr>
          <w:rFonts w:asciiTheme="majorBidi" w:hAnsiTheme="majorBidi" w:cstheme="majorBidi"/>
          <w:sz w:val="20"/>
          <w:szCs w:val="20"/>
          <w:lang w:bidi="fa-IR"/>
        </w:rPr>
        <w:t xml:space="preserve"> opens to the common zone.</w:t>
      </w:r>
    </w:p>
    <w:p w:rsidR="00CF7881" w:rsidRDefault="00CF7881" w:rsidP="002F34BC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The ceiling is common with the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>surface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of the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>Ground F</w:t>
      </w:r>
      <w:r>
        <w:rPr>
          <w:rFonts w:asciiTheme="majorBidi" w:hAnsiTheme="majorBidi" w:cstheme="majorBidi"/>
          <w:sz w:val="20"/>
          <w:szCs w:val="20"/>
          <w:lang w:bidi="fa-IR"/>
        </w:rPr>
        <w:t>loor.</w:t>
      </w:r>
    </w:p>
    <w:p w:rsidR="002F34BC" w:rsidRDefault="002F34BC" w:rsidP="002F34BC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Owner has access to the common zone and the rooftop.</w:t>
      </w:r>
    </w:p>
    <w:p w:rsidR="009E3723" w:rsidRPr="009E3723" w:rsidRDefault="009E3723" w:rsidP="009E3723">
      <w:pPr>
        <w:spacing w:after="0" w:line="276" w:lineRule="auto"/>
        <w:ind w:left="-180" w:right="-702"/>
        <w:jc w:val="both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  <w:r w:rsidRPr="009E3723">
        <w:rPr>
          <w:rFonts w:asciiTheme="majorBidi" w:hAnsiTheme="majorBidi" w:cstheme="majorBidi"/>
          <w:b/>
          <w:bCs/>
          <w:sz w:val="20"/>
          <w:szCs w:val="20"/>
          <w:lang w:bidi="fa-IR"/>
        </w:rPr>
        <w:t>Considerations:</w:t>
      </w:r>
    </w:p>
    <w:p w:rsidR="00732B3A" w:rsidRDefault="00732B3A" w:rsidP="002F34BC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The previous Title Deed, No.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>715625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, Type Main, -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>A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Series, Year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>2016</w:t>
      </w:r>
      <w:r>
        <w:rPr>
          <w:rFonts w:asciiTheme="majorBidi" w:hAnsiTheme="majorBidi" w:cstheme="majorBidi"/>
          <w:sz w:val="20"/>
          <w:szCs w:val="20"/>
          <w:lang w:bidi="fa-IR"/>
        </w:rPr>
        <w:t>, was annulled due to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 xml:space="preserve"> transferring of the ownership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, and this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 xml:space="preserve">replacement </w:t>
      </w:r>
      <w:r>
        <w:rPr>
          <w:rFonts w:asciiTheme="majorBidi" w:hAnsiTheme="majorBidi" w:cstheme="majorBidi"/>
          <w:sz w:val="20"/>
          <w:szCs w:val="20"/>
          <w:lang w:bidi="fa-IR"/>
        </w:rPr>
        <w:t>Title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r>
        <w:rPr>
          <w:rFonts w:asciiTheme="majorBidi" w:hAnsiTheme="majorBidi" w:cstheme="majorBidi"/>
          <w:sz w:val="20"/>
          <w:szCs w:val="20"/>
          <w:lang w:bidi="fa-IR"/>
        </w:rPr>
        <w:t>Deed</w:t>
      </w:r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>.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Type Main, No.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>008040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.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>G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Series, year </w:t>
      </w:r>
      <w:r w:rsidR="002F34BC">
        <w:rPr>
          <w:rFonts w:asciiTheme="majorBidi" w:hAnsiTheme="majorBidi" w:cstheme="majorBidi"/>
          <w:sz w:val="20"/>
          <w:szCs w:val="20"/>
          <w:lang w:bidi="fa-IR"/>
        </w:rPr>
        <w:t>2019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 </w:t>
      </w:r>
      <w:proofErr w:type="gramStart"/>
      <w:r>
        <w:rPr>
          <w:rFonts w:asciiTheme="majorBidi" w:hAnsiTheme="majorBidi" w:cstheme="majorBidi"/>
          <w:sz w:val="20"/>
          <w:szCs w:val="20"/>
          <w:lang w:bidi="fa-IR"/>
        </w:rPr>
        <w:t>is issued</w:t>
      </w:r>
      <w:proofErr w:type="gramEnd"/>
      <w:r>
        <w:rPr>
          <w:rFonts w:asciiTheme="majorBidi" w:hAnsiTheme="majorBidi" w:cstheme="majorBidi"/>
          <w:sz w:val="20"/>
          <w:szCs w:val="20"/>
          <w:lang w:bidi="fa-IR"/>
        </w:rPr>
        <w:t>.</w:t>
      </w:r>
    </w:p>
    <w:p w:rsidR="00732B3A" w:rsidRDefault="00732B3A" w:rsidP="00732B3A">
      <w:pPr>
        <w:spacing w:after="0" w:line="276" w:lineRule="auto"/>
        <w:ind w:left="-180" w:right="-702"/>
        <w:jc w:val="both"/>
        <w:rPr>
          <w:rFonts w:asciiTheme="majorBidi" w:hAnsiTheme="majorBidi" w:cstheme="majorBidi"/>
          <w:b/>
          <w:bCs/>
          <w:sz w:val="20"/>
          <w:szCs w:val="20"/>
          <w:lang w:bidi="fa-IR"/>
        </w:rPr>
      </w:pPr>
    </w:p>
    <w:p w:rsidR="00666583" w:rsidRDefault="00732B3A" w:rsidP="00EB46B2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Signed &amp; Embossed Seal Affixed: </w:t>
      </w:r>
      <w:r w:rsidR="002F34BC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Hassan </w:t>
      </w:r>
      <w:proofErr w:type="spellStart"/>
      <w:r w:rsidR="002F34BC">
        <w:rPr>
          <w:rFonts w:asciiTheme="majorBidi" w:hAnsiTheme="majorBidi" w:cstheme="majorBidi"/>
          <w:b/>
          <w:bCs/>
          <w:sz w:val="20"/>
          <w:szCs w:val="20"/>
          <w:lang w:bidi="fa-IR"/>
        </w:rPr>
        <w:t>Salehi</w:t>
      </w:r>
      <w:proofErr w:type="spellEnd"/>
      <w:r w:rsidR="00666583" w:rsidRPr="00666583"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,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>Per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pro Director of the Bureau for Registration of Deeds &amp; Landed Property of </w:t>
      </w:r>
      <w:proofErr w:type="spellStart"/>
      <w:r w:rsidR="00EB46B2">
        <w:rPr>
          <w:rFonts w:asciiTheme="majorBidi" w:hAnsiTheme="majorBidi" w:cstheme="majorBidi"/>
          <w:b/>
          <w:bCs/>
          <w:sz w:val="20"/>
          <w:szCs w:val="20"/>
          <w:lang w:bidi="fa-IR"/>
        </w:rPr>
        <w:t>Ramsar</w:t>
      </w:r>
      <w:proofErr w:type="spellEnd"/>
      <w:r>
        <w:rPr>
          <w:rFonts w:asciiTheme="majorBidi" w:hAnsiTheme="majorBidi" w:cstheme="majorBidi"/>
          <w:b/>
          <w:bCs/>
          <w:sz w:val="20"/>
          <w:szCs w:val="20"/>
          <w:lang w:bidi="fa-IR"/>
        </w:rPr>
        <w:t xml:space="preserve"> – </w:t>
      </w:r>
      <w:r w:rsidR="00EB46B2">
        <w:rPr>
          <w:rFonts w:asciiTheme="majorBidi" w:hAnsiTheme="majorBidi" w:cstheme="majorBidi"/>
          <w:sz w:val="20"/>
          <w:szCs w:val="20"/>
          <w:lang w:bidi="fa-IR"/>
        </w:rPr>
        <w:t>Mazandaran</w:t>
      </w:r>
      <w:bookmarkStart w:id="0" w:name="_GoBack"/>
      <w:bookmarkEnd w:id="0"/>
      <w:r>
        <w:rPr>
          <w:rFonts w:asciiTheme="majorBidi" w:hAnsiTheme="majorBidi" w:cstheme="majorBidi"/>
          <w:sz w:val="20"/>
          <w:szCs w:val="20"/>
          <w:lang w:bidi="fa-IR"/>
        </w:rPr>
        <w:t xml:space="preserve"> Province </w:t>
      </w:r>
    </w:p>
    <w:p w:rsidR="00666583" w:rsidRDefault="00666583" w:rsidP="00666583">
      <w:pPr>
        <w:spacing w:after="0" w:line="276" w:lineRule="auto"/>
        <w:ind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</w:p>
    <w:p w:rsidR="00666583" w:rsidRDefault="00732B3A" w:rsidP="00666583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This title deed is a registered ownership in accordance with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>the R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eal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>E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state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>R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egistration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>Art.</w:t>
      </w:r>
      <w:r>
        <w:rPr>
          <w:rFonts w:asciiTheme="majorBidi" w:hAnsiTheme="majorBidi" w:cstheme="majorBidi"/>
          <w:sz w:val="20"/>
          <w:szCs w:val="20"/>
          <w:lang w:bidi="fa-IR"/>
        </w:rPr>
        <w:t xml:space="preserve">22 </w:t>
      </w:r>
      <w:r w:rsidR="00666583">
        <w:rPr>
          <w:rFonts w:asciiTheme="majorBidi" w:hAnsiTheme="majorBidi" w:cstheme="majorBidi"/>
          <w:sz w:val="20"/>
          <w:szCs w:val="20"/>
          <w:lang w:bidi="fa-IR"/>
        </w:rPr>
        <w:t>of the Ownership Act.</w:t>
      </w:r>
    </w:p>
    <w:p w:rsidR="00732B3A" w:rsidRDefault="00666583" w:rsidP="00666583">
      <w:pPr>
        <w:spacing w:after="0" w:line="276" w:lineRule="auto"/>
        <w:ind w:left="-180" w:right="-702"/>
        <w:jc w:val="both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 xml:space="preserve">This Title deed is </w:t>
      </w:r>
      <w:r w:rsidR="00732B3A">
        <w:rPr>
          <w:rFonts w:asciiTheme="majorBidi" w:hAnsiTheme="majorBidi" w:cstheme="majorBidi"/>
          <w:sz w:val="20"/>
          <w:szCs w:val="20"/>
          <w:lang w:bidi="fa-IR"/>
        </w:rPr>
        <w:t>issued in one page.</w:t>
      </w:r>
    </w:p>
    <w:p w:rsidR="00732B3A" w:rsidRDefault="00732B3A" w:rsidP="00732B3A">
      <w:pPr>
        <w:spacing w:after="0" w:line="276" w:lineRule="auto"/>
        <w:ind w:left="-180" w:right="-702"/>
        <w:jc w:val="both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>
        <w:rPr>
          <w:rFonts w:asciiTheme="majorBidi" w:hAnsiTheme="majorBidi" w:cstheme="majorBidi"/>
          <w:i/>
          <w:iCs/>
          <w:sz w:val="20"/>
          <w:szCs w:val="20"/>
          <w:lang w:bidi="fa-IR"/>
        </w:rPr>
        <w:t>Hologram affixed.</w:t>
      </w:r>
    </w:p>
    <w:p w:rsidR="00732B3A" w:rsidRDefault="00732B3A" w:rsidP="00732B3A">
      <w:pPr>
        <w:spacing w:after="0" w:line="276" w:lineRule="auto"/>
        <w:ind w:left="-180" w:right="-702"/>
        <w:jc w:val="both"/>
        <w:rPr>
          <w:rFonts w:asciiTheme="majorBidi" w:hAnsiTheme="majorBidi" w:cstheme="majorBidi"/>
          <w:b/>
          <w:bCs/>
          <w:i/>
          <w:iCs/>
          <w:sz w:val="20"/>
          <w:szCs w:val="20"/>
          <w:lang w:bidi="fa-IR"/>
        </w:rPr>
      </w:pPr>
      <w:proofErr w:type="gramStart"/>
      <w:r>
        <w:rPr>
          <w:rFonts w:asciiTheme="majorBidi" w:hAnsiTheme="majorBidi" w:cstheme="majorBidi"/>
          <w:b/>
          <w:bCs/>
          <w:i/>
          <w:iCs/>
          <w:sz w:val="20"/>
          <w:szCs w:val="20"/>
          <w:lang w:bidi="fa-IR"/>
        </w:rPr>
        <w:t>Signed and Sealed</w:t>
      </w:r>
      <w:proofErr w:type="gramEnd"/>
      <w:r>
        <w:rPr>
          <w:rFonts w:asciiTheme="majorBidi" w:hAnsiTheme="majorBidi" w:cstheme="majorBidi"/>
          <w:b/>
          <w:bCs/>
          <w:i/>
          <w:iCs/>
          <w:sz w:val="20"/>
          <w:szCs w:val="20"/>
          <w:lang w:bidi="fa-IR"/>
        </w:rPr>
        <w:t xml:space="preserve"> and Dated.</w:t>
      </w:r>
    </w:p>
    <w:p w:rsidR="00D911F2" w:rsidRDefault="00D911F2"/>
    <w:sectPr w:rsidR="00D9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A631D"/>
    <w:multiLevelType w:val="hybridMultilevel"/>
    <w:tmpl w:val="B98CC03A"/>
    <w:lvl w:ilvl="0" w:tplc="F266CA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3A"/>
    <w:rsid w:val="000D06FE"/>
    <w:rsid w:val="00140A59"/>
    <w:rsid w:val="001F5A0B"/>
    <w:rsid w:val="002F34BC"/>
    <w:rsid w:val="00340168"/>
    <w:rsid w:val="00474846"/>
    <w:rsid w:val="004E1183"/>
    <w:rsid w:val="0054233E"/>
    <w:rsid w:val="00624521"/>
    <w:rsid w:val="00666583"/>
    <w:rsid w:val="006C2EE1"/>
    <w:rsid w:val="006E326F"/>
    <w:rsid w:val="00732B3A"/>
    <w:rsid w:val="007C598F"/>
    <w:rsid w:val="009E3723"/>
    <w:rsid w:val="00B924A5"/>
    <w:rsid w:val="00CF7881"/>
    <w:rsid w:val="00D911F2"/>
    <w:rsid w:val="00E07272"/>
    <w:rsid w:val="00E2573F"/>
    <w:rsid w:val="00E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7B58"/>
  <w15:chartTrackingRefBased/>
  <w15:docId w15:val="{7BDEB940-1219-442F-B9F3-220A07BF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B3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598F"/>
    <w:pPr>
      <w:keepNext/>
      <w:keepLines/>
      <w:spacing w:before="360" w:after="120" w:line="259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4521"/>
    <w:pPr>
      <w:keepNext/>
      <w:keepLines/>
      <w:bidi/>
      <w:spacing w:before="40" w:after="0" w:line="259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98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52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Babak Ashtari</cp:lastModifiedBy>
  <cp:revision>4</cp:revision>
  <dcterms:created xsi:type="dcterms:W3CDTF">2024-02-25T16:37:00Z</dcterms:created>
  <dcterms:modified xsi:type="dcterms:W3CDTF">2024-02-25T19:01:00Z</dcterms:modified>
</cp:coreProperties>
</file>