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F61D68">
        <w:trPr>
          <w:cnfStyle w:val="100000000000" w:firstRow="1" w:lastRow="0" w:firstColumn="0" w:lastColumn="0" w:oddVBand="0" w:evenVBand="0" w:oddHBand="0" w:evenHBand="0" w:firstRowFirstColumn="0" w:firstRowLastColumn="0" w:lastRowFirstColumn="0" w:lastRowLastColumn="0"/>
          <w:trHeight w:val="2477"/>
          <w:tblHeader w:val="0"/>
        </w:trPr>
        <w:tc>
          <w:tcPr>
            <w:tcW w:w="12240" w:type="dxa"/>
            <w:gridSpan w:val="2"/>
            <w:tcBorders>
              <w:bottom w:val="none" w:sz="0" w:space="0" w:color="auto"/>
            </w:tcBorders>
            <w:shd w:val="clear" w:color="auto" w:fill="F6D12B"/>
            <w:vAlign w:val="center"/>
          </w:tcPr>
          <w:p w14:paraId="28CE385A" w14:textId="7EE0DE2C" w:rsidR="007D3165" w:rsidRPr="00C2486E" w:rsidRDefault="007D3165" w:rsidP="00F61D68">
            <w:pPr>
              <w:pStyle w:val="Title"/>
              <w:framePr w:wrap="auto" w:vAnchor="margin" w:hAnchor="text" w:xAlign="left" w:yAlign="inline"/>
              <w:spacing w:before="800"/>
            </w:pPr>
            <w:r>
              <w:t>How</w:t>
            </w:r>
            <w:r w:rsidR="00F61D68">
              <w:t>-</w:t>
            </w:r>
            <w:r>
              <w:t>To Guide</w:t>
            </w:r>
            <w:r w:rsidR="004827EF">
              <w:t xml:space="preserve"> –</w:t>
            </w:r>
            <w:r>
              <w:t xml:space="preserve"> </w:t>
            </w:r>
            <w:r w:rsidRPr="00C01E6C">
              <w:t>Drinking Water</w:t>
            </w:r>
          </w:p>
        </w:tc>
      </w:tr>
      <w:tr w:rsidR="007D3165" w14:paraId="0091964E" w14:textId="77777777" w:rsidTr="00690520">
        <w:tc>
          <w:tcPr>
            <w:tcW w:w="12240" w:type="dxa"/>
            <w:gridSpan w:val="2"/>
            <w:shd w:val="clear" w:color="auto" w:fill="FFA40B"/>
          </w:tcPr>
          <w:p w14:paraId="6951C223" w14:textId="0531CEB6" w:rsidR="007D3165" w:rsidRPr="00123ABD" w:rsidRDefault="00F61D68" w:rsidP="00690520">
            <w:r>
              <w:t xml:space="preserve">Provided by CDC’s </w:t>
            </w:r>
            <w:r w:rsidRPr="0024366D">
              <w:t>Environmental Public Health Tracking Program</w:t>
            </w:r>
          </w:p>
        </w:tc>
      </w:tr>
      <w:tr w:rsidR="007D3165" w14:paraId="5F0BB308" w14:textId="77777777" w:rsidTr="00690520">
        <w:tc>
          <w:tcPr>
            <w:tcW w:w="7986" w:type="dxa"/>
            <w:shd w:val="clear" w:color="auto" w:fill="003B9F"/>
          </w:tcPr>
          <w:p w14:paraId="71B81E7D" w14:textId="2455E22A" w:rsidR="00CF01F1" w:rsidRPr="00722F45" w:rsidRDefault="004B211F" w:rsidP="00690520">
            <w:pPr>
              <w:rPr>
                <w:bCs/>
                <w:color w:val="FFFFFF" w:themeColor="background1"/>
                <w:sz w:val="24"/>
                <w:szCs w:val="24"/>
              </w:rPr>
            </w:pPr>
            <w:r>
              <w:rPr>
                <w:bCs/>
                <w:color w:val="FFFFFF" w:themeColor="background1"/>
                <w:sz w:val="24"/>
                <w:szCs w:val="24"/>
              </w:rPr>
              <w:t>February</w:t>
            </w:r>
            <w:r w:rsidR="00CF01F1" w:rsidRPr="00722F45">
              <w:rPr>
                <w:bCs/>
                <w:color w:val="FFFFFF" w:themeColor="background1"/>
                <w:sz w:val="24"/>
                <w:szCs w:val="24"/>
              </w:rPr>
              <w:t xml:space="preserve"> 202</w:t>
            </w:r>
            <w:r>
              <w:rPr>
                <w:bCs/>
                <w:color w:val="FFFFFF" w:themeColor="background1"/>
                <w:sz w:val="24"/>
                <w:szCs w:val="24"/>
              </w:rPr>
              <w:t>3</w:t>
            </w:r>
          </w:p>
          <w:p w14:paraId="0B93981A" w14:textId="2673A93F" w:rsidR="007D3165" w:rsidRPr="00722F45" w:rsidRDefault="007D3165" w:rsidP="00690520">
            <w:pPr>
              <w:rPr>
                <w:bCs/>
                <w:color w:val="FFFFFF" w:themeColor="background1"/>
                <w:sz w:val="24"/>
                <w:szCs w:val="24"/>
              </w:rPr>
            </w:pPr>
            <w:r w:rsidRPr="00722F45">
              <w:rPr>
                <w:bCs/>
                <w:color w:val="FFFFFF" w:themeColor="background1"/>
                <w:sz w:val="24"/>
                <w:szCs w:val="24"/>
              </w:rPr>
              <w:t xml:space="preserve">CDC </w:t>
            </w:r>
            <w:proofErr w:type="gramStart"/>
            <w:r w:rsidRPr="00722F45">
              <w:rPr>
                <w:bCs/>
                <w:color w:val="FFFFFF" w:themeColor="background1"/>
                <w:sz w:val="24"/>
                <w:szCs w:val="24"/>
              </w:rPr>
              <w:t>Lead</w:t>
            </w:r>
            <w:proofErr w:type="gramEnd"/>
            <w:r w:rsidRPr="00722F45">
              <w:rPr>
                <w:bCs/>
                <w:color w:val="FFFFFF" w:themeColor="background1"/>
                <w:sz w:val="24"/>
                <w:szCs w:val="24"/>
              </w:rPr>
              <w:t xml:space="preserve">: </w:t>
            </w:r>
            <w:r w:rsidR="004B211F">
              <w:rPr>
                <w:bCs/>
                <w:color w:val="FFFFFF" w:themeColor="background1"/>
                <w:sz w:val="24"/>
                <w:szCs w:val="24"/>
              </w:rPr>
              <w:t>T.J. Pierce</w:t>
            </w:r>
            <w:r w:rsidRPr="00722F45">
              <w:rPr>
                <w:bCs/>
                <w:color w:val="FFFFFF" w:themeColor="background1"/>
                <w:sz w:val="24"/>
                <w:szCs w:val="24"/>
              </w:rPr>
              <w:t xml:space="preserve"> (</w:t>
            </w:r>
            <w:r w:rsidR="004B211F">
              <w:rPr>
                <w:bCs/>
                <w:color w:val="FFFFFF" w:themeColor="background1"/>
                <w:sz w:val="24"/>
                <w:szCs w:val="24"/>
              </w:rPr>
              <w:t>pwc2@cdc.gov</w:t>
            </w:r>
            <w:r w:rsidRPr="00722F45">
              <w:rPr>
                <w:bCs/>
                <w:color w:val="FFFFFF" w:themeColor="background1"/>
                <w:sz w:val="24"/>
                <w:szCs w:val="24"/>
              </w:rPr>
              <w:t>)</w:t>
            </w:r>
          </w:p>
          <w:p w14:paraId="690622E6" w14:textId="78181C2D" w:rsidR="00821F7F" w:rsidRPr="003C2C8D" w:rsidRDefault="00821F7F" w:rsidP="00690520">
            <w:pPr>
              <w:rPr>
                <w:b/>
                <w:sz w:val="24"/>
                <w:szCs w:val="24"/>
              </w:rPr>
            </w:pPr>
            <w:r w:rsidRPr="00722F45">
              <w:rPr>
                <w:bCs/>
                <w:color w:val="FFFFFF" w:themeColor="background1"/>
                <w:sz w:val="24"/>
                <w:szCs w:val="24"/>
              </w:rPr>
              <w:t>State L</w:t>
            </w:r>
            <w:r w:rsidR="00D127AF" w:rsidRPr="00722F45">
              <w:rPr>
                <w:bCs/>
                <w:color w:val="FFFFFF" w:themeColor="background1"/>
                <w:sz w:val="24"/>
                <w:szCs w:val="24"/>
              </w:rPr>
              <w:t>ead: Peter DiPipp</w:t>
            </w:r>
            <w:r w:rsidR="00255382" w:rsidRPr="00722F45">
              <w:rPr>
                <w:bCs/>
                <w:color w:val="FFFFFF" w:themeColor="background1"/>
                <w:sz w:val="24"/>
                <w:szCs w:val="24"/>
              </w:rPr>
              <w:t xml:space="preserve">o </w:t>
            </w:r>
            <w:r w:rsidR="00ED41AF" w:rsidRPr="00722F45">
              <w:rPr>
                <w:bCs/>
                <w:color w:val="FFFFFF" w:themeColor="background1"/>
                <w:sz w:val="24"/>
                <w:szCs w:val="24"/>
              </w:rPr>
              <w:t>(</w:t>
            </w:r>
            <w:r w:rsidR="00255382" w:rsidRPr="00722F45">
              <w:rPr>
                <w:bCs/>
                <w:color w:val="FFFFFF" w:themeColor="background1"/>
                <w:sz w:val="24"/>
                <w:szCs w:val="24"/>
              </w:rPr>
              <w:t>P</w:t>
            </w:r>
            <w:r w:rsidR="003E0D73" w:rsidRPr="00722F45">
              <w:rPr>
                <w:bCs/>
                <w:color w:val="FFFFFF" w:themeColor="background1"/>
                <w:sz w:val="24"/>
                <w:szCs w:val="24"/>
              </w:rPr>
              <w:t>eter.DiPippo@health.ri.gov</w:t>
            </w:r>
            <w:r w:rsidR="00ED41AF" w:rsidRPr="00722F45">
              <w:rPr>
                <w:bCs/>
                <w:color w:val="FFFFFF" w:themeColor="background1"/>
                <w:sz w:val="24"/>
                <w:szCs w:val="24"/>
              </w:rPr>
              <w:t>)</w:t>
            </w:r>
          </w:p>
        </w:tc>
        <w:tc>
          <w:tcPr>
            <w:tcW w:w="4254" w:type="dxa"/>
            <w:shd w:val="clear" w:color="auto" w:fill="FFFFFF" w:themeFill="background1"/>
          </w:tcPr>
          <w:p w14:paraId="2B75BE21" w14:textId="77777777" w:rsidR="007D3165" w:rsidRDefault="007D3165" w:rsidP="00690520"/>
        </w:tc>
      </w:tr>
    </w:tbl>
    <w:p w14:paraId="6D178169" w14:textId="0C51089E" w:rsidR="002D0867" w:rsidRDefault="002D0867" w:rsidP="002D0867">
      <w:pPr>
        <w:pStyle w:val="Heading1"/>
        <w:spacing w:before="0" w:after="0" w:line="276" w:lineRule="auto"/>
      </w:pPr>
      <w:r>
        <w:t>Purpose and Use of this Document</w:t>
      </w:r>
    </w:p>
    <w:p w14:paraId="12A9D305" w14:textId="71D3D525" w:rsidR="007D3165" w:rsidRDefault="007D3165" w:rsidP="007D3165">
      <w:pPr>
        <w:pStyle w:val="paragraph"/>
        <w:textAlignment w:val="baseline"/>
      </w:pPr>
      <w:r>
        <w:rPr>
          <w:rStyle w:val="normaltextrun"/>
          <w:rFonts w:ascii="Calibri" w:hAnsi="Calibri" w:cs="Calibri"/>
          <w:sz w:val="22"/>
          <w:szCs w:val="22"/>
        </w:rPr>
        <w:t>This How-To Guide (</w:t>
      </w:r>
      <w:r w:rsidR="00F924C4">
        <w:rPr>
          <w:rStyle w:val="normaltextrun"/>
          <w:rFonts w:ascii="Calibri" w:hAnsi="Calibri" w:cs="Calibri"/>
          <w:sz w:val="22"/>
          <w:szCs w:val="22"/>
        </w:rPr>
        <w:t>HTG</w:t>
      </w:r>
      <w:r>
        <w:rPr>
          <w:rStyle w:val="normaltextrun"/>
          <w:rFonts w:ascii="Calibri" w:hAnsi="Calibri" w:cs="Calibri"/>
          <w:sz w:val="22"/>
          <w:szCs w:val="22"/>
        </w:rPr>
        <w:t>) provides a general outline of the steps required for processing state drinking water quality compliance datasets into NCDMs for the National Environmental Public Health Tracking Network (NEPHTN).  </w:t>
      </w:r>
      <w:r>
        <w:rPr>
          <w:rStyle w:val="eop"/>
          <w:rFonts w:ascii="Calibri" w:hAnsi="Calibri" w:cs="Calibri"/>
          <w:sz w:val="22"/>
          <w:szCs w:val="22"/>
        </w:rPr>
        <w:t> </w:t>
      </w:r>
    </w:p>
    <w:p w14:paraId="64F0AC7C" w14:textId="77777777" w:rsidR="007D3165" w:rsidRDefault="007D3165" w:rsidP="007D3165">
      <w:pPr>
        <w:pStyle w:val="paragraph"/>
        <w:spacing w:before="0" w:beforeAutospacing="0" w:after="0" w:afterAutospacing="0"/>
        <w:textAlignment w:val="baseline"/>
      </w:pPr>
      <w:r>
        <w:rPr>
          <w:rStyle w:val="normaltextrun"/>
          <w:rFonts w:ascii="Calibri" w:hAnsi="Calibri" w:cs="Calibri"/>
          <w:sz w:val="22"/>
          <w:szCs w:val="22"/>
        </w:rPr>
        <w:t>The Guide is organized into the following sections (e.g., major steps):</w:t>
      </w:r>
      <w:r>
        <w:rPr>
          <w:rStyle w:val="eop"/>
          <w:rFonts w:ascii="Calibri" w:hAnsi="Calibri" w:cs="Calibri"/>
          <w:sz w:val="22"/>
          <w:szCs w:val="22"/>
        </w:rPr>
        <w:t> </w:t>
      </w:r>
    </w:p>
    <w:p w14:paraId="0015EB7D" w14:textId="77777777" w:rsidR="007D3165" w:rsidRDefault="007D3165" w:rsidP="007D3165">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Staging Table Development</w:t>
      </w:r>
      <w:r>
        <w:rPr>
          <w:rStyle w:val="eop"/>
          <w:rFonts w:ascii="Calibri" w:hAnsi="Calibri" w:cs="Calibri"/>
          <w:sz w:val="22"/>
          <w:szCs w:val="22"/>
        </w:rPr>
        <w:t> </w:t>
      </w:r>
    </w:p>
    <w:p w14:paraId="63F7D71A" w14:textId="12B5CA8B"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XML Dataset Development</w:t>
      </w:r>
      <w:r>
        <w:rPr>
          <w:rStyle w:val="eop"/>
          <w:rFonts w:ascii="Calibri" w:hAnsi="Calibri" w:cs="Calibri"/>
          <w:sz w:val="22"/>
          <w:szCs w:val="22"/>
        </w:rPr>
        <w:t> </w:t>
      </w:r>
    </w:p>
    <w:p w14:paraId="3603DF3B" w14:textId="77777777"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State-Level NCDM Development</w:t>
      </w:r>
      <w:r>
        <w:rPr>
          <w:rStyle w:val="eop"/>
          <w:rFonts w:ascii="Calibri" w:hAnsi="Calibri" w:cs="Calibri"/>
          <w:sz w:val="22"/>
          <w:szCs w:val="22"/>
        </w:rPr>
        <w:t> </w:t>
      </w:r>
    </w:p>
    <w:p w14:paraId="5336BE3C" w14:textId="77777777" w:rsidR="009C6040" w:rsidRDefault="009C6040"/>
    <w:p w14:paraId="63C121C0" w14:textId="7266BAAC" w:rsidR="00824FDD" w:rsidRDefault="00824FDD" w:rsidP="009C6040"/>
    <w:p w14:paraId="6A143B8A" w14:textId="253CFC12" w:rsidR="00A42245" w:rsidRDefault="00A42245" w:rsidP="009C6040"/>
    <w:p w14:paraId="2F9EF756" w14:textId="77777777" w:rsidR="00A42245" w:rsidRDefault="00A42245" w:rsidP="009C6040"/>
    <w:p w14:paraId="4B8D0D8C" w14:textId="77777777" w:rsidR="00A42245" w:rsidRDefault="00A42245" w:rsidP="009C6040"/>
    <w:p w14:paraId="3EBDE7C7" w14:textId="77777777" w:rsidR="00F110F1" w:rsidRDefault="00F110F1">
      <w:pPr>
        <w:spacing w:line="259" w:lineRule="auto"/>
        <w:rPr>
          <w:rFonts w:eastAsiaTheme="majorEastAsia" w:cstheme="minorHAnsi"/>
          <w:caps/>
          <w:color w:val="003B9F"/>
          <w:sz w:val="32"/>
          <w:szCs w:val="32"/>
        </w:rPr>
      </w:pPr>
      <w:r>
        <w:br w:type="page"/>
      </w:r>
    </w:p>
    <w:p w14:paraId="4CCAC668" w14:textId="54AAFD22" w:rsidR="00AD2C5A" w:rsidRDefault="00AD2C5A" w:rsidP="00AD2C5A">
      <w:pPr>
        <w:pStyle w:val="Heading1"/>
        <w:spacing w:before="0" w:after="0" w:line="276" w:lineRule="auto"/>
      </w:pPr>
      <w:r>
        <w:lastRenderedPageBreak/>
        <w:t>How</w:t>
      </w:r>
      <w:r w:rsidR="00F61D68">
        <w:t>-</w:t>
      </w:r>
      <w:r>
        <w:t>To Guide</w:t>
      </w:r>
    </w:p>
    <w:tbl>
      <w:tblPr>
        <w:tblStyle w:val="TableGrid"/>
        <w:tblW w:w="0" w:type="auto"/>
        <w:tblLook w:val="04A0" w:firstRow="1" w:lastRow="0" w:firstColumn="1" w:lastColumn="0" w:noHBand="0" w:noVBand="1"/>
      </w:tblPr>
      <w:tblGrid>
        <w:gridCol w:w="1998"/>
        <w:gridCol w:w="8072"/>
      </w:tblGrid>
      <w:tr w:rsidR="00C01E6C" w14:paraId="4C75DD5C" w14:textId="77777777" w:rsidTr="00513A50">
        <w:trPr>
          <w:cnfStyle w:val="100000000000" w:firstRow="1" w:lastRow="0" w:firstColumn="0" w:lastColumn="0" w:oddVBand="0" w:evenVBand="0" w:oddHBand="0" w:evenHBand="0" w:firstRowFirstColumn="0" w:firstRowLastColumn="0" w:lastRowFirstColumn="0" w:lastRowLastColumn="0"/>
          <w:tblHeader w:val="0"/>
        </w:trPr>
        <w:tc>
          <w:tcPr>
            <w:tcW w:w="1998" w:type="dxa"/>
            <w:tcBorders>
              <w:right w:val="single" w:sz="24" w:space="0" w:color="FFA40B"/>
            </w:tcBorders>
          </w:tcPr>
          <w:p w14:paraId="176C5F35" w14:textId="70F80474" w:rsidR="00C01E6C" w:rsidRPr="009F49E2" w:rsidRDefault="002C2A4A" w:rsidP="00690520">
            <w:pPr>
              <w:rPr>
                <w:b w:val="0"/>
                <w:bCs/>
                <w:color w:val="FFFFFF" w:themeColor="background1"/>
              </w:rPr>
            </w:pPr>
            <w:r w:rsidRPr="009F49E2">
              <w:rPr>
                <w:b w:val="0"/>
                <w:bCs/>
                <w:color w:val="FFFFFF" w:themeColor="background1"/>
              </w:rPr>
              <w:t>Measures</w:t>
            </w:r>
          </w:p>
        </w:tc>
        <w:tc>
          <w:tcPr>
            <w:tcW w:w="8072" w:type="dxa"/>
            <w:tcBorders>
              <w:left w:val="single" w:sz="24" w:space="0" w:color="FFA40B"/>
              <w:bottom w:val="single" w:sz="4" w:space="0" w:color="E7E6E6" w:themeColor="background2"/>
            </w:tcBorders>
            <w:shd w:val="clear" w:color="auto" w:fill="auto"/>
          </w:tcPr>
          <w:p w14:paraId="051A3010" w14:textId="7F062F81" w:rsidR="00D55490" w:rsidRPr="00DA3D81" w:rsidRDefault="00D55490" w:rsidP="00D55490">
            <w:pPr>
              <w:pStyle w:val="ListParagraph"/>
              <w:numPr>
                <w:ilvl w:val="0"/>
                <w:numId w:val="7"/>
              </w:numPr>
              <w:rPr>
                <w:rStyle w:val="normaltextrun"/>
                <w:rFonts w:eastAsiaTheme="minorEastAsia"/>
                <w:b w:val="0"/>
              </w:rPr>
            </w:pPr>
            <w:r w:rsidRPr="00206FEB">
              <w:rPr>
                <w:rStyle w:val="normaltextrun"/>
                <w:rFonts w:ascii="Calibri" w:hAnsi="Calibri" w:cs="Calibri"/>
                <w:b w:val="0"/>
                <w:bCs/>
              </w:rPr>
              <w:t>Annual</w:t>
            </w:r>
            <w:r w:rsidRPr="00E34799">
              <w:rPr>
                <w:rStyle w:val="normaltextrun"/>
                <w:rFonts w:ascii="Calibri" w:hAnsi="Calibri" w:cs="Calibri"/>
                <w:b w:val="0"/>
                <w:bCs/>
              </w:rPr>
              <w:t xml:space="preserve"> mean </w:t>
            </w:r>
            <w:r w:rsidR="00A74497" w:rsidRPr="00A74497">
              <w:rPr>
                <w:rStyle w:val="normaltextrun"/>
                <w:rFonts w:ascii="Calibri" w:hAnsi="Calibri" w:cs="Calibri"/>
                <w:b w:val="0"/>
                <w:bCs/>
              </w:rPr>
              <w:t xml:space="preserve">contaminant </w:t>
            </w:r>
            <w:r w:rsidRPr="00A74497">
              <w:rPr>
                <w:rStyle w:val="normaltextrun"/>
                <w:rFonts w:ascii="Calibri" w:hAnsi="Calibri" w:cs="Calibri"/>
                <w:b w:val="0"/>
                <w:bCs/>
              </w:rPr>
              <w:t>c</w:t>
            </w:r>
            <w:r w:rsidRPr="00E34799">
              <w:rPr>
                <w:rStyle w:val="normaltextrun"/>
                <w:rFonts w:ascii="Calibri" w:hAnsi="Calibri" w:cs="Calibri"/>
                <w:b w:val="0"/>
                <w:bCs/>
              </w:rPr>
              <w:t>oncentration values</w:t>
            </w:r>
            <w:r>
              <w:rPr>
                <w:rStyle w:val="normaltextrun"/>
                <w:rFonts w:ascii="Calibri" w:hAnsi="Calibri" w:cs="Calibri"/>
                <w:b w:val="0"/>
                <w:bCs/>
              </w:rPr>
              <w:t xml:space="preserve"> </w:t>
            </w:r>
            <w:r w:rsidRPr="001E325F">
              <w:rPr>
                <w:rStyle w:val="normaltextrun"/>
                <w:rFonts w:ascii="Calibri" w:hAnsi="Calibri" w:cs="Calibri"/>
                <w:b w:val="0"/>
                <w:bCs/>
              </w:rPr>
              <w:t>by CWS</w:t>
            </w:r>
            <w:r>
              <w:rPr>
                <w:rStyle w:val="normaltextrun"/>
                <w:rFonts w:ascii="Calibri" w:hAnsi="Calibri" w:cs="Calibri"/>
                <w:b w:val="0"/>
                <w:bCs/>
              </w:rPr>
              <w:t>.</w:t>
            </w:r>
          </w:p>
          <w:p w14:paraId="58B29760"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year.</w:t>
            </w:r>
          </w:p>
          <w:p w14:paraId="5666153E" w14:textId="77777777" w:rsidR="00D55490" w:rsidRPr="00CF2C0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maximum contaminant concentrations by year.</w:t>
            </w:r>
          </w:p>
          <w:p w14:paraId="2549BD6C"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mean contaminant concentrations by year.</w:t>
            </w:r>
          </w:p>
          <w:p w14:paraId="18F4A02B"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maximum contaminant concentrations by year.</w:t>
            </w:r>
          </w:p>
          <w:p w14:paraId="7BB1537B" w14:textId="074381A6"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5CDC88EC" w14:textId="4D484CCC"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people served by CWS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137DADAA" w14:textId="77777777" w:rsidR="00D55490" w:rsidRPr="00206FEB"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Number of people receiving water from CWS.</w:t>
            </w:r>
          </w:p>
          <w:p w14:paraId="338D3D4F" w14:textId="69B70E64" w:rsidR="00C01E6C" w:rsidRPr="00E34799" w:rsidRDefault="00D55490" w:rsidP="00D55490">
            <w:pPr>
              <w:pStyle w:val="ListParagraph"/>
              <w:numPr>
                <w:ilvl w:val="0"/>
                <w:numId w:val="7"/>
              </w:numPr>
              <w:rPr>
                <w:rFonts w:eastAsiaTheme="minorEastAsia"/>
                <w:b w:val="0"/>
              </w:rPr>
            </w:pPr>
            <w:r>
              <w:rPr>
                <w:rStyle w:val="normaltextrun"/>
                <w:rFonts w:ascii="Calibri" w:hAnsi="Calibri" w:cs="Calibri"/>
                <w:b w:val="0"/>
              </w:rPr>
              <w:t>Number of CWS.</w:t>
            </w:r>
            <w:r w:rsidR="4AF140FB" w:rsidRPr="00E34799">
              <w:rPr>
                <w:rStyle w:val="normaltextrun"/>
                <w:rFonts w:ascii="Calibri" w:hAnsi="Calibri" w:cs="Calibri"/>
                <w:b w:val="0"/>
                <w:bCs/>
              </w:rPr>
              <w:t xml:space="preserve">  </w:t>
            </w:r>
          </w:p>
        </w:tc>
      </w:tr>
      <w:tr w:rsidR="00C01E6C" w14:paraId="536045A3" w14:textId="77777777" w:rsidTr="00513A50">
        <w:tc>
          <w:tcPr>
            <w:tcW w:w="1998" w:type="dxa"/>
            <w:tcBorders>
              <w:right w:val="single" w:sz="24" w:space="0" w:color="FFA40B"/>
            </w:tcBorders>
            <w:shd w:val="clear" w:color="auto" w:fill="003B9F"/>
          </w:tcPr>
          <w:p w14:paraId="60B9EE35" w14:textId="4B9EE37A" w:rsidR="00C01E6C" w:rsidRPr="002C2A4A" w:rsidRDefault="002C2A4A" w:rsidP="00690520">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38F18DC5" w14:textId="77777777"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This set of processing steps involves extracting the following types of records for the reporting period from SDWIS:   </w:t>
            </w:r>
          </w:p>
          <w:p w14:paraId="4B08ABEC" w14:textId="1EA1F373" w:rsidR="00C01E6C" w:rsidRDefault="105D9FF7" w:rsidP="1C1F4A78">
            <w:pPr>
              <w:pStyle w:val="paragraph"/>
              <w:numPr>
                <w:ilvl w:val="0"/>
                <w:numId w:val="13"/>
              </w:numPr>
              <w:spacing w:before="0" w:beforeAutospacing="0"/>
              <w:rPr>
                <w:rStyle w:val="normaltextrun"/>
                <w:sz w:val="22"/>
                <w:szCs w:val="22"/>
              </w:rPr>
            </w:pPr>
            <w:r w:rsidRPr="1C1F4A78">
              <w:rPr>
                <w:rStyle w:val="normaltextrun"/>
                <w:rFonts w:ascii="Calibri" w:hAnsi="Calibri" w:cs="Calibri"/>
                <w:sz w:val="22"/>
                <w:szCs w:val="22"/>
              </w:rPr>
              <w:t>Water system descriptive and location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 xml:space="preserve"> the Inventory table; and</w:t>
            </w:r>
            <w:r w:rsidRPr="1C1F4A78">
              <w:rPr>
                <w:rStyle w:val="normaltextrun"/>
                <w:sz w:val="22"/>
                <w:szCs w:val="22"/>
              </w:rPr>
              <w:t> </w:t>
            </w:r>
          </w:p>
          <w:p w14:paraId="550B800C" w14:textId="30084D72" w:rsidR="00C01E6C" w:rsidRDefault="105D9FF7" w:rsidP="1C1F4A78">
            <w:pPr>
              <w:pStyle w:val="paragraph"/>
              <w:numPr>
                <w:ilvl w:val="0"/>
                <w:numId w:val="13"/>
              </w:numPr>
              <w:rPr>
                <w:sz w:val="22"/>
                <w:szCs w:val="22"/>
              </w:rPr>
            </w:pPr>
            <w:r w:rsidRPr="1C1F4A78">
              <w:rPr>
                <w:rStyle w:val="normaltextrun"/>
                <w:rFonts w:ascii="Calibri" w:hAnsi="Calibri" w:cs="Calibri"/>
                <w:sz w:val="22"/>
                <w:szCs w:val="22"/>
              </w:rPr>
              <w:t>Water quality sampling results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the “Sampling Results” table.  </w:t>
            </w:r>
            <w:r w:rsidRPr="1C1F4A78">
              <w:rPr>
                <w:rStyle w:val="normaltextrun"/>
                <w:sz w:val="22"/>
                <w:szCs w:val="22"/>
              </w:rPr>
              <w:t> </w:t>
            </w:r>
          </w:p>
          <w:p w14:paraId="57F454A6" w14:textId="2B0396D3"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The reporting period is 1999 to the most current year having complete water quality information within SDWIS (e.g., 20</w:t>
            </w:r>
            <w:r w:rsidR="00A53834">
              <w:rPr>
                <w:rStyle w:val="normaltextrun"/>
                <w:rFonts w:ascii="Calibri" w:hAnsi="Calibri" w:cs="Calibri"/>
                <w:sz w:val="22"/>
                <w:szCs w:val="22"/>
              </w:rPr>
              <w:t>2</w:t>
            </w:r>
            <w:r w:rsidRPr="1C1F4A78">
              <w:rPr>
                <w:rStyle w:val="normaltextrun"/>
                <w:rFonts w:ascii="Calibri" w:hAnsi="Calibri" w:cs="Calibri"/>
                <w:sz w:val="22"/>
                <w:szCs w:val="22"/>
              </w:rPr>
              <w:t>1 for the 20</w:t>
            </w:r>
            <w:r w:rsidR="00A53834">
              <w:rPr>
                <w:rStyle w:val="normaltextrun"/>
                <w:rFonts w:ascii="Calibri" w:hAnsi="Calibri" w:cs="Calibri"/>
                <w:sz w:val="22"/>
                <w:szCs w:val="22"/>
              </w:rPr>
              <w:t>2</w:t>
            </w:r>
            <w:r w:rsidR="00CE005D">
              <w:rPr>
                <w:rStyle w:val="normaltextrun"/>
                <w:rFonts w:ascii="Calibri" w:hAnsi="Calibri" w:cs="Calibri"/>
                <w:sz w:val="22"/>
                <w:szCs w:val="22"/>
              </w:rPr>
              <w:t>2</w:t>
            </w:r>
            <w:r w:rsidRPr="1C1F4A78">
              <w:rPr>
                <w:rStyle w:val="normaltextrun"/>
                <w:rFonts w:ascii="Calibri" w:hAnsi="Calibri" w:cs="Calibri"/>
                <w:sz w:val="22"/>
                <w:szCs w:val="22"/>
              </w:rPr>
              <w:t xml:space="preserve"> data call). </w:t>
            </w:r>
          </w:p>
        </w:tc>
      </w:tr>
      <w:tr w:rsidR="00C01E6C" w14:paraId="5C0B394E" w14:textId="77777777" w:rsidTr="00513A50">
        <w:tc>
          <w:tcPr>
            <w:tcW w:w="1998" w:type="dxa"/>
            <w:tcBorders>
              <w:right w:val="single" w:sz="24" w:space="0" w:color="FFA40B"/>
            </w:tcBorders>
            <w:shd w:val="clear" w:color="auto" w:fill="003B9F"/>
          </w:tcPr>
          <w:p w14:paraId="50DC0ECE" w14:textId="7991B063" w:rsidR="00C01E6C" w:rsidRPr="002C2A4A" w:rsidRDefault="002C2A4A" w:rsidP="00690520">
            <w:pPr>
              <w:rPr>
                <w:color w:val="FFFFFF" w:themeColor="background1"/>
              </w:rPr>
            </w:pPr>
            <w:r>
              <w:rPr>
                <w:color w:val="FFFFFF" w:themeColor="background1"/>
              </w:rPr>
              <w:t>Definitions Relevant to Indic</w:t>
            </w:r>
            <w:r w:rsidR="00D26A18">
              <w:rPr>
                <w:color w:val="FFFFFF" w:themeColor="background1"/>
              </w:rPr>
              <w:t>a</w:t>
            </w:r>
            <w:r>
              <w:rPr>
                <w:color w:val="FFFFFF" w:themeColor="background1"/>
              </w:rPr>
              <w:t>tor</w:t>
            </w:r>
          </w:p>
        </w:tc>
        <w:tc>
          <w:tcPr>
            <w:tcW w:w="8072" w:type="dxa"/>
            <w:tcBorders>
              <w:left w:val="single" w:sz="24" w:space="0" w:color="FFA40B"/>
            </w:tcBorders>
          </w:tcPr>
          <w:p w14:paraId="2530CBE8" w14:textId="1FF64091" w:rsidR="00C01E6C" w:rsidRDefault="008231E6" w:rsidP="00690520">
            <w:r>
              <w:rPr>
                <w:rStyle w:val="normaltextrun"/>
                <w:rFonts w:ascii="Calibri" w:hAnsi="Calibri" w:cs="Calibri"/>
              </w:rPr>
              <w:t>State water quality Safe Drinking Water Act compliance databases are referred to as “SDWIS” (Safe Drinking Water Information System)</w:t>
            </w:r>
            <w:r w:rsidR="00CE005D">
              <w:rPr>
                <w:rStyle w:val="normaltextrun"/>
                <w:rFonts w:ascii="Calibri" w:hAnsi="Calibri" w:cs="Calibri"/>
              </w:rPr>
              <w:t xml:space="preserve"> </w:t>
            </w:r>
            <w:r>
              <w:rPr>
                <w:rStyle w:val="normaltextrun"/>
                <w:rFonts w:ascii="Calibri" w:hAnsi="Calibri" w:cs="Calibri"/>
              </w:rPr>
              <w:t>since most grantee states use the SDWIS-State database.  States that have a SDWIS-like database can assume that the term “SDWIS” refers to their water quality database(s) as well.</w:t>
            </w:r>
            <w:r>
              <w:rPr>
                <w:rStyle w:val="eop"/>
                <w:rFonts w:ascii="Calibri" w:hAnsi="Calibri" w:cs="Calibri"/>
              </w:rPr>
              <w:t> </w:t>
            </w:r>
          </w:p>
        </w:tc>
      </w:tr>
      <w:tr w:rsidR="00C01E6C" w14:paraId="0F358449" w14:textId="77777777" w:rsidTr="00513A50">
        <w:tc>
          <w:tcPr>
            <w:tcW w:w="1998" w:type="dxa"/>
            <w:tcBorders>
              <w:right w:val="single" w:sz="24" w:space="0" w:color="FFA40B"/>
            </w:tcBorders>
            <w:shd w:val="clear" w:color="auto" w:fill="003B9F"/>
          </w:tcPr>
          <w:p w14:paraId="35A23DC1" w14:textId="3574E155" w:rsidR="00C01E6C" w:rsidRPr="002C2A4A" w:rsidRDefault="002C2A4A" w:rsidP="00690520">
            <w:pPr>
              <w:rPr>
                <w:color w:val="FFFFFF" w:themeColor="background1"/>
              </w:rPr>
            </w:pPr>
            <w:r>
              <w:rPr>
                <w:color w:val="FFFFFF" w:themeColor="background1"/>
              </w:rPr>
              <w:t>HTG Requirements and Cautions</w:t>
            </w:r>
          </w:p>
        </w:tc>
        <w:tc>
          <w:tcPr>
            <w:tcW w:w="8072" w:type="dxa"/>
            <w:tcBorders>
              <w:left w:val="single" w:sz="24" w:space="0" w:color="FFA40B"/>
            </w:tcBorders>
          </w:tcPr>
          <w:p w14:paraId="2C27D57A" w14:textId="034AA63C" w:rsidR="00C01E6C" w:rsidRDefault="00427639" w:rsidP="00BB66AD">
            <w:pPr>
              <w:pStyle w:val="paragraph"/>
              <w:textAlignment w:val="baseline"/>
            </w:pPr>
            <w:r>
              <w:rPr>
                <w:rStyle w:val="normaltextrun"/>
                <w:rFonts w:ascii="Calibri" w:hAnsi="Calibri" w:cs="Calibri"/>
                <w:sz w:val="22"/>
                <w:szCs w:val="22"/>
              </w:rPr>
              <w:t xml:space="preserve">The Guide </w:t>
            </w:r>
            <w:r w:rsidR="00BA4025">
              <w:rPr>
                <w:rStyle w:val="normaltextrun"/>
                <w:rFonts w:ascii="Calibri" w:hAnsi="Calibri" w:cs="Calibri"/>
                <w:sz w:val="22"/>
                <w:szCs w:val="22"/>
              </w:rPr>
              <w:t>co</w:t>
            </w:r>
            <w:r w:rsidR="009F2188">
              <w:rPr>
                <w:rStyle w:val="normaltextrun"/>
                <w:rFonts w:ascii="Calibri" w:hAnsi="Calibri" w:cs="Calibri"/>
                <w:sz w:val="22"/>
                <w:szCs w:val="22"/>
              </w:rPr>
              <w:t>vers</w:t>
            </w:r>
            <w:r>
              <w:rPr>
                <w:rStyle w:val="normaltextrun"/>
                <w:rFonts w:ascii="Calibri" w:hAnsi="Calibri" w:cs="Calibri"/>
                <w:sz w:val="22"/>
                <w:szCs w:val="22"/>
              </w:rPr>
              <w:t xml:space="preserve"> </w:t>
            </w:r>
            <w:r w:rsidR="008A54F5">
              <w:rPr>
                <w:rStyle w:val="normaltextrun"/>
                <w:rFonts w:ascii="Calibri" w:hAnsi="Calibri" w:cs="Calibri"/>
                <w:sz w:val="22"/>
                <w:szCs w:val="22"/>
              </w:rPr>
              <w:t>ten</w:t>
            </w:r>
            <w:r>
              <w:rPr>
                <w:rStyle w:val="normaltextrun"/>
                <w:rFonts w:ascii="Calibri" w:hAnsi="Calibri" w:cs="Calibri"/>
                <w:sz w:val="22"/>
                <w:szCs w:val="22"/>
              </w:rPr>
              <w:t xml:space="preserve"> analytes (</w:t>
            </w:r>
            <w:r w:rsidR="008075CE">
              <w:rPr>
                <w:rStyle w:val="normaltextrun"/>
                <w:rFonts w:ascii="Calibri" w:hAnsi="Calibri" w:cs="Calibri"/>
                <w:sz w:val="22"/>
                <w:szCs w:val="22"/>
              </w:rPr>
              <w:t>Arsenic, Nitrates, Disinfection By-products</w:t>
            </w:r>
            <w:r w:rsidR="00751738">
              <w:rPr>
                <w:rStyle w:val="normaltextrun"/>
                <w:rFonts w:ascii="Calibri" w:hAnsi="Calibri" w:cs="Calibri"/>
                <w:sz w:val="22"/>
                <w:szCs w:val="22"/>
              </w:rPr>
              <w:t>:</w:t>
            </w:r>
            <w:r w:rsidR="008075CE">
              <w:rPr>
                <w:rStyle w:val="normaltextrun"/>
                <w:rFonts w:ascii="Calibri" w:hAnsi="Calibri" w:cs="Calibri"/>
                <w:sz w:val="22"/>
                <w:szCs w:val="22"/>
              </w:rPr>
              <w:t xml:space="preserve"> </w:t>
            </w:r>
            <w:proofErr w:type="spellStart"/>
            <w:r w:rsidR="008075CE">
              <w:rPr>
                <w:rStyle w:val="normaltextrun"/>
                <w:rFonts w:ascii="Calibri" w:hAnsi="Calibri" w:cs="Calibri"/>
                <w:sz w:val="22"/>
                <w:szCs w:val="22"/>
              </w:rPr>
              <w:t>Haloacetic</w:t>
            </w:r>
            <w:proofErr w:type="spellEnd"/>
            <w:r w:rsidR="008075CE">
              <w:rPr>
                <w:rStyle w:val="normaltextrun"/>
                <w:rFonts w:ascii="Calibri" w:hAnsi="Calibri" w:cs="Calibri"/>
                <w:sz w:val="22"/>
                <w:szCs w:val="22"/>
              </w:rPr>
              <w:t xml:space="preserve"> Acids and Total Trihalomethanes</w:t>
            </w:r>
            <w:r w:rsidR="000178B8">
              <w:rPr>
                <w:rStyle w:val="normaltextrun"/>
                <w:rFonts w:ascii="Calibri" w:hAnsi="Calibri" w:cs="Calibri"/>
                <w:sz w:val="22"/>
                <w:szCs w:val="22"/>
              </w:rPr>
              <w:t xml:space="preserve">, </w:t>
            </w:r>
            <w:r>
              <w:rPr>
                <w:rStyle w:val="normaltextrun"/>
                <w:rFonts w:ascii="Calibri" w:hAnsi="Calibri" w:cs="Calibri"/>
                <w:sz w:val="22"/>
                <w:szCs w:val="22"/>
              </w:rPr>
              <w:t>Atrazine, DEHP, PCE, TCE, Radium, and Uranium) and locational information requirements for water systems. </w:t>
            </w:r>
            <w:r w:rsidR="000178B8">
              <w:rPr>
                <w:rStyle w:val="normaltextrun"/>
                <w:rFonts w:ascii="Calibri" w:hAnsi="Calibri" w:cs="Calibri"/>
                <w:sz w:val="22"/>
                <w:szCs w:val="22"/>
              </w:rPr>
              <w:t>A</w:t>
            </w:r>
            <w:r>
              <w:rPr>
                <w:rStyle w:val="normaltextrun"/>
                <w:rFonts w:ascii="Calibri" w:hAnsi="Calibri" w:cs="Calibri"/>
                <w:sz w:val="22"/>
                <w:szCs w:val="22"/>
              </w:rPr>
              <w:t xml:space="preserve">ll ten analytes are treated generically in this </w:t>
            </w:r>
            <w:r w:rsidR="00CA4082">
              <w:rPr>
                <w:rStyle w:val="normaltextrun"/>
                <w:rFonts w:ascii="Calibri" w:hAnsi="Calibri" w:cs="Calibri"/>
                <w:sz w:val="22"/>
                <w:szCs w:val="22"/>
              </w:rPr>
              <w:t>H</w:t>
            </w:r>
            <w:r w:rsidR="00CA4082">
              <w:rPr>
                <w:rStyle w:val="normaltextrun"/>
                <w:rFonts w:ascii="Calibri" w:hAnsi="Calibri" w:cs="Calibri"/>
              </w:rPr>
              <w:t>TG</w:t>
            </w:r>
            <w:r>
              <w:rPr>
                <w:rStyle w:val="normaltextrun"/>
                <w:rFonts w:ascii="Calibri" w:hAnsi="Calibri" w:cs="Calibri"/>
                <w:sz w:val="22"/>
                <w:szCs w:val="22"/>
              </w:rPr>
              <w:t xml:space="preserve"> unless analyte-specific details are otherwise noted.  </w:t>
            </w:r>
          </w:p>
        </w:tc>
      </w:tr>
      <w:tr w:rsidR="002C2A4A" w14:paraId="3D89824F" w14:textId="77777777" w:rsidTr="00513A50">
        <w:tc>
          <w:tcPr>
            <w:tcW w:w="1998" w:type="dxa"/>
            <w:tcBorders>
              <w:right w:val="single" w:sz="24" w:space="0" w:color="FFA40B"/>
            </w:tcBorders>
            <w:shd w:val="clear" w:color="auto" w:fill="003B9F"/>
          </w:tcPr>
          <w:p w14:paraId="6ABA29B5" w14:textId="70FDEFD1" w:rsidR="002C2A4A" w:rsidRDefault="002C2A4A" w:rsidP="00690520">
            <w:pPr>
              <w:rPr>
                <w:color w:val="FFFFFF" w:themeColor="background1"/>
              </w:rPr>
            </w:pPr>
            <w:r>
              <w:rPr>
                <w:color w:val="FFFFFF" w:themeColor="background1"/>
              </w:rPr>
              <w:t>Step #1</w:t>
            </w:r>
          </w:p>
        </w:tc>
        <w:tc>
          <w:tcPr>
            <w:tcW w:w="8072" w:type="dxa"/>
            <w:tcBorders>
              <w:left w:val="single" w:sz="24" w:space="0" w:color="FFA40B"/>
            </w:tcBorders>
          </w:tcPr>
          <w:p w14:paraId="78023FFE" w14:textId="77777777" w:rsidR="002E59A9" w:rsidRPr="002E59A9" w:rsidRDefault="002E59A9" w:rsidP="1C1F4A78">
            <w:pPr>
              <w:pStyle w:val="paragraph"/>
              <w:textAlignment w:val="baseline"/>
              <w:rPr>
                <w:rFonts w:ascii="Calibri" w:eastAsia="Calibri" w:hAnsi="Calibri" w:cs="Calibri"/>
                <w:b/>
                <w:bCs/>
                <w:i/>
                <w:iCs/>
                <w:sz w:val="22"/>
                <w:szCs w:val="22"/>
              </w:rPr>
            </w:pPr>
            <w:r w:rsidRPr="1C1F4A78">
              <w:rPr>
                <w:rStyle w:val="normaltextrun"/>
                <w:rFonts w:ascii="Calibri" w:eastAsia="Calibri" w:hAnsi="Calibri" w:cs="Calibri"/>
                <w:b/>
                <w:bCs/>
                <w:i/>
                <w:iCs/>
                <w:sz w:val="22"/>
                <w:szCs w:val="22"/>
              </w:rPr>
              <w:t>I.  Staging Table Development</w:t>
            </w:r>
            <w:r w:rsidRPr="1C1F4A78">
              <w:rPr>
                <w:rStyle w:val="eop"/>
                <w:rFonts w:ascii="Calibri" w:eastAsia="Calibri" w:hAnsi="Calibri" w:cs="Calibri"/>
                <w:b/>
                <w:bCs/>
                <w:i/>
                <w:iCs/>
                <w:sz w:val="22"/>
                <w:szCs w:val="22"/>
              </w:rPr>
              <w:t> </w:t>
            </w:r>
          </w:p>
          <w:p w14:paraId="303A6A3C" w14:textId="77777777" w:rsidR="002E59A9" w:rsidRPr="002E59A9" w:rsidRDefault="002E59A9" w:rsidP="002E59A9">
            <w:pPr>
              <w:pStyle w:val="paragraph"/>
              <w:textAlignment w:val="baseline"/>
              <w:rPr>
                <w:sz w:val="22"/>
                <w:szCs w:val="22"/>
              </w:rPr>
            </w:pPr>
            <w:r w:rsidRPr="002E59A9">
              <w:rPr>
                <w:rStyle w:val="normaltextrun"/>
                <w:rFonts w:ascii="Calibri" w:hAnsi="Calibri" w:cs="Calibri"/>
                <w:i/>
                <w:iCs/>
                <w:sz w:val="22"/>
                <w:szCs w:val="22"/>
              </w:rPr>
              <w:t xml:space="preserve">See </w:t>
            </w:r>
            <w:r w:rsidRPr="002E59A9">
              <w:rPr>
                <w:rStyle w:val="normaltextrun"/>
                <w:rFonts w:ascii="Calibri" w:hAnsi="Calibri" w:cs="Calibri"/>
                <w:i/>
                <w:iCs/>
                <w:color w:val="0000FF"/>
                <w:sz w:val="22"/>
                <w:szCs w:val="22"/>
                <w:u w:val="single"/>
              </w:rPr>
              <w:t>Appendix A</w:t>
            </w:r>
            <w:r w:rsidRPr="002E59A9">
              <w:rPr>
                <w:rStyle w:val="normaltextrun"/>
                <w:rFonts w:ascii="Calibri" w:hAnsi="Calibri" w:cs="Calibri"/>
                <w:i/>
                <w:iCs/>
                <w:sz w:val="22"/>
                <w:szCs w:val="22"/>
              </w:rPr>
              <w:t xml:space="preserve"> for sample Staging Tables. </w:t>
            </w:r>
            <w:r w:rsidRPr="002E59A9">
              <w:rPr>
                <w:rStyle w:val="eop"/>
                <w:rFonts w:ascii="Calibri" w:hAnsi="Calibri" w:cs="Calibri"/>
                <w:sz w:val="22"/>
                <w:szCs w:val="22"/>
              </w:rPr>
              <w:t> </w:t>
            </w:r>
          </w:p>
          <w:p w14:paraId="287620D5" w14:textId="77777777" w:rsidR="002E59A9" w:rsidRPr="002E59A9" w:rsidRDefault="002E59A9" w:rsidP="00BD7C6E">
            <w:pPr>
              <w:pStyle w:val="paragraph"/>
              <w:textAlignment w:val="baseline"/>
              <w:rPr>
                <w:rFonts w:asciiTheme="minorHAnsi" w:eastAsiaTheme="minorEastAsia" w:hAnsiTheme="minorHAnsi" w:cstheme="minorBidi"/>
                <w:b/>
                <w:bCs/>
                <w:sz w:val="22"/>
                <w:szCs w:val="22"/>
              </w:rPr>
            </w:pPr>
            <w:r w:rsidRPr="1C1F4A78">
              <w:rPr>
                <w:rStyle w:val="normaltextrun"/>
                <w:rFonts w:asciiTheme="minorHAnsi" w:eastAsiaTheme="minorEastAsia" w:hAnsiTheme="minorHAnsi" w:cstheme="minorBidi"/>
                <w:b/>
                <w:bCs/>
                <w:sz w:val="22"/>
                <w:szCs w:val="22"/>
              </w:rPr>
              <w:t>Steps for Staging Table Development </w:t>
            </w:r>
            <w:r w:rsidRPr="1C1F4A78">
              <w:rPr>
                <w:rStyle w:val="eop"/>
                <w:rFonts w:asciiTheme="minorHAnsi" w:eastAsiaTheme="minorEastAsia" w:hAnsiTheme="minorHAnsi" w:cstheme="minorBidi"/>
                <w:b/>
                <w:bCs/>
                <w:sz w:val="22"/>
                <w:szCs w:val="22"/>
              </w:rPr>
              <w:t> </w:t>
            </w:r>
          </w:p>
          <w:p w14:paraId="56D65B07" w14:textId="5D876AD4"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 xml:space="preserve">Assemble “Inventory” table – The Inventory staging table has one record for each Community Water System (CWS) for each year that it actively provided service to its retail population, whether systems were active for an entire year or a portion </w:t>
            </w:r>
            <w:r w:rsidR="00FE762A">
              <w:rPr>
                <w:rStyle w:val="normaltextrun"/>
                <w:rFonts w:ascii="Calibri" w:hAnsi="Calibri" w:cs="Calibri"/>
                <w:sz w:val="22"/>
                <w:szCs w:val="22"/>
              </w:rPr>
              <w:t>o</w:t>
            </w:r>
            <w:r w:rsidR="00FE762A">
              <w:rPr>
                <w:rStyle w:val="normaltextrun"/>
                <w:rFonts w:ascii="Calibri" w:hAnsi="Calibri" w:cs="Calibri"/>
              </w:rPr>
              <w:t>f that year</w:t>
            </w:r>
            <w:r w:rsidRPr="002E59A9">
              <w:rPr>
                <w:rStyle w:val="normaltextrun"/>
                <w:rFonts w:ascii="Calibri" w:hAnsi="Calibri" w:cs="Calibri"/>
                <w:sz w:val="22"/>
                <w:szCs w:val="22"/>
              </w:rPr>
              <w:t>.  Given limitations in SDWIS the hope is that NCDMs will be generated for water systems currently active as well as those that went inactive during the reporting period</w:t>
            </w:r>
            <w:r w:rsidRPr="00485DBA">
              <w:rPr>
                <w:rStyle w:val="normaltextrun"/>
                <w:rFonts w:ascii="Calibri" w:hAnsi="Calibri" w:cs="Calibri"/>
                <w:sz w:val="22"/>
                <w:szCs w:val="22"/>
                <w:highlight w:val="yellow"/>
              </w:rPr>
              <w:t>.  CWS that are currently inactive most often consolidate with other water systems to mitigate ongoing and costly water quality issues.</w:t>
            </w:r>
            <w:r w:rsidRPr="002E59A9">
              <w:rPr>
                <w:rStyle w:val="eop"/>
                <w:rFonts w:ascii="Calibri" w:hAnsi="Calibri" w:cs="Calibri"/>
                <w:sz w:val="22"/>
                <w:szCs w:val="22"/>
              </w:rPr>
              <w:t> </w:t>
            </w:r>
          </w:p>
          <w:p w14:paraId="786EF89A" w14:textId="1EA7E4DA" w:rsidR="002E59A9" w:rsidRPr="002E59A9" w:rsidRDefault="00F33392" w:rsidP="002E59A9">
            <w:pPr>
              <w:pStyle w:val="paragraph"/>
              <w:ind w:left="360"/>
              <w:textAlignment w:val="baseline"/>
              <w:rPr>
                <w:sz w:val="22"/>
                <w:szCs w:val="22"/>
              </w:rPr>
            </w:pPr>
            <w:r>
              <w:rPr>
                <w:rStyle w:val="normaltextrun"/>
                <w:rFonts w:ascii="Calibri" w:hAnsi="Calibri" w:cs="Calibri"/>
                <w:sz w:val="22"/>
                <w:szCs w:val="22"/>
              </w:rPr>
              <w:t>Recipients</w:t>
            </w:r>
            <w:r w:rsidR="002E59A9" w:rsidRPr="002E59A9">
              <w:rPr>
                <w:rStyle w:val="normaltextrun"/>
                <w:rFonts w:ascii="Calibri" w:hAnsi="Calibri" w:cs="Calibri"/>
                <w:sz w:val="22"/>
                <w:szCs w:val="22"/>
              </w:rPr>
              <w:t xml:space="preserve">, or cooperating data stewards at the state primacy agency, </w:t>
            </w:r>
            <w:r w:rsidR="002E59A9" w:rsidRPr="00485DBA">
              <w:rPr>
                <w:rStyle w:val="normaltextrun"/>
                <w:rFonts w:ascii="Calibri" w:hAnsi="Calibri" w:cs="Calibri"/>
                <w:sz w:val="22"/>
                <w:szCs w:val="22"/>
                <w:highlight w:val="yellow"/>
              </w:rPr>
              <w:t>will extract the Inventory table directly from SDWIS or via data flow tailored for Tracking Water NCDMs</w:t>
            </w:r>
            <w:r w:rsidR="00F469AB" w:rsidRPr="00485DBA">
              <w:rPr>
                <w:rStyle w:val="normaltextrun"/>
                <w:rFonts w:ascii="Calibri" w:hAnsi="Calibri" w:cs="Calibri"/>
                <w:sz w:val="22"/>
                <w:szCs w:val="22"/>
                <w:highlight w:val="yellow"/>
              </w:rPr>
              <w:t>.</w:t>
            </w:r>
            <w:r w:rsidR="00F469AB">
              <w:rPr>
                <w:rStyle w:val="normaltextrun"/>
                <w:rFonts w:ascii="Calibri" w:hAnsi="Calibri" w:cs="Calibri"/>
              </w:rPr>
              <w:t xml:space="preserve"> </w:t>
            </w:r>
            <w:r w:rsidR="009C79CA">
              <w:rPr>
                <w:rStyle w:val="normaltextrun"/>
                <w:rFonts w:ascii="Calibri" w:hAnsi="Calibri" w:cs="Calibri"/>
                <w:sz w:val="22"/>
                <w:szCs w:val="22"/>
              </w:rPr>
              <w:t>T</w:t>
            </w:r>
            <w:r w:rsidR="002E59A9" w:rsidRPr="002E59A9">
              <w:rPr>
                <w:rStyle w:val="normaltextrun"/>
                <w:rFonts w:ascii="Calibri" w:hAnsi="Calibri" w:cs="Calibri"/>
                <w:sz w:val="22"/>
                <w:szCs w:val="22"/>
              </w:rPr>
              <w:t xml:space="preserve">he Inventory staging table includes </w:t>
            </w:r>
            <w:r w:rsidR="00311335">
              <w:rPr>
                <w:rStyle w:val="normaltextrun"/>
                <w:rFonts w:ascii="Calibri" w:hAnsi="Calibri" w:cs="Calibri"/>
                <w:sz w:val="22"/>
                <w:szCs w:val="22"/>
              </w:rPr>
              <w:t xml:space="preserve">all </w:t>
            </w:r>
            <w:r w:rsidR="002E59A9" w:rsidRPr="002E59A9">
              <w:rPr>
                <w:rStyle w:val="normaltextrun"/>
                <w:rFonts w:ascii="Calibri" w:hAnsi="Calibri" w:cs="Calibri"/>
                <w:sz w:val="22"/>
                <w:szCs w:val="22"/>
              </w:rPr>
              <w:t>the elements</w:t>
            </w:r>
            <w:r w:rsidR="003D5913">
              <w:rPr>
                <w:rStyle w:val="normaltextrun"/>
                <w:rFonts w:ascii="Calibri" w:hAnsi="Calibri" w:cs="Calibri"/>
                <w:sz w:val="22"/>
                <w:szCs w:val="22"/>
              </w:rPr>
              <w:t xml:space="preserve"> </w:t>
            </w:r>
            <w:r w:rsidR="00311335">
              <w:rPr>
                <w:rStyle w:val="normaltextrun"/>
                <w:rFonts w:ascii="Calibri" w:hAnsi="Calibri" w:cs="Calibri"/>
                <w:sz w:val="22"/>
                <w:szCs w:val="22"/>
              </w:rPr>
              <w:t xml:space="preserve">from the data </w:t>
            </w:r>
            <w:r w:rsidR="00311335">
              <w:rPr>
                <w:rStyle w:val="normaltextrun"/>
                <w:rFonts w:ascii="Calibri" w:hAnsi="Calibri" w:cs="Calibri"/>
                <w:sz w:val="22"/>
                <w:szCs w:val="22"/>
              </w:rPr>
              <w:lastRenderedPageBreak/>
              <w:t>dictionary</w:t>
            </w:r>
            <w:r w:rsidR="004E4384">
              <w:rPr>
                <w:rStyle w:val="normaltextrun"/>
                <w:rFonts w:ascii="Calibri" w:hAnsi="Calibri" w:cs="Calibri"/>
                <w:sz w:val="22"/>
                <w:szCs w:val="22"/>
              </w:rPr>
              <w:t>:</w:t>
            </w:r>
            <w:r w:rsidR="002E59A9" w:rsidRPr="002E59A9">
              <w:rPr>
                <w:rStyle w:val="normaltextrun"/>
                <w:rFonts w:ascii="Calibri" w:hAnsi="Calibri" w:cs="Calibri"/>
                <w:sz w:val="22"/>
                <w:szCs w:val="22"/>
              </w:rPr>
              <w:t xml:space="preserve"> </w:t>
            </w:r>
            <w:r w:rsidR="00047B8B">
              <w:rPr>
                <w:rStyle w:val="normaltextrun"/>
                <w:rFonts w:ascii="Calibri" w:hAnsi="Calibri" w:cs="Calibri"/>
                <w:sz w:val="22"/>
                <w:szCs w:val="22"/>
              </w:rPr>
              <w:t>PWS</w:t>
            </w:r>
            <w:r w:rsidR="004364F9">
              <w:rPr>
                <w:rStyle w:val="normaltextrun"/>
                <w:rFonts w:ascii="Calibri" w:hAnsi="Calibri" w:cs="Calibri"/>
                <w:sz w:val="22"/>
                <w:szCs w:val="22"/>
              </w:rPr>
              <w:t xml:space="preserve"> </w:t>
            </w:r>
            <w:r w:rsidR="00047B8B">
              <w:rPr>
                <w:rStyle w:val="normaltextrun"/>
                <w:rFonts w:ascii="Calibri" w:hAnsi="Calibri" w:cs="Calibri"/>
                <w:sz w:val="22"/>
                <w:szCs w:val="22"/>
              </w:rPr>
              <w:t xml:space="preserve">ID Number, </w:t>
            </w:r>
            <w:r w:rsidR="004364F9">
              <w:rPr>
                <w:rStyle w:val="normaltextrun"/>
                <w:rFonts w:ascii="Calibri" w:hAnsi="Calibri" w:cs="Calibri"/>
                <w:sz w:val="22"/>
                <w:szCs w:val="22"/>
              </w:rPr>
              <w:t xml:space="preserve">Year Associated To, Year Pulled, </w:t>
            </w:r>
            <w:r w:rsidR="00D24D23">
              <w:rPr>
                <w:rStyle w:val="normaltextrun"/>
                <w:rFonts w:ascii="Calibri" w:hAnsi="Calibri" w:cs="Calibri"/>
                <w:sz w:val="22"/>
                <w:szCs w:val="22"/>
              </w:rPr>
              <w:t xml:space="preserve">PWS name, </w:t>
            </w:r>
            <w:r w:rsidR="002E59A9" w:rsidRPr="002E59A9">
              <w:rPr>
                <w:rStyle w:val="normaltextrun"/>
                <w:rFonts w:ascii="Calibri" w:hAnsi="Calibri" w:cs="Calibri"/>
                <w:sz w:val="22"/>
                <w:szCs w:val="22"/>
              </w:rPr>
              <w:t>principal city/county served</w:t>
            </w:r>
            <w:r w:rsidR="00D24D23">
              <w:rPr>
                <w:rStyle w:val="normaltextrun"/>
                <w:rFonts w:ascii="Calibri" w:hAnsi="Calibri" w:cs="Calibri"/>
                <w:sz w:val="22"/>
                <w:szCs w:val="22"/>
              </w:rPr>
              <w:t xml:space="preserve"> FIPS</w:t>
            </w:r>
            <w:r w:rsidR="002E59A9" w:rsidRPr="002E59A9">
              <w:rPr>
                <w:rStyle w:val="normaltextrun"/>
                <w:rFonts w:ascii="Calibri" w:hAnsi="Calibri" w:cs="Calibri"/>
                <w:sz w:val="22"/>
                <w:szCs w:val="22"/>
              </w:rPr>
              <w:t>, number of connections, population served, primary type of source water</w:t>
            </w:r>
            <w:r w:rsidR="00B14E2B">
              <w:rPr>
                <w:rStyle w:val="normaltextrun"/>
                <w:rFonts w:ascii="Calibri" w:hAnsi="Calibri" w:cs="Calibri"/>
                <w:sz w:val="22"/>
                <w:szCs w:val="22"/>
              </w:rPr>
              <w:t>, latitude</w:t>
            </w:r>
            <w:r w:rsidR="00D872EA">
              <w:rPr>
                <w:rStyle w:val="normaltextrun"/>
                <w:rFonts w:ascii="Calibri" w:hAnsi="Calibri" w:cs="Calibri"/>
                <w:sz w:val="22"/>
                <w:szCs w:val="22"/>
              </w:rPr>
              <w:t xml:space="preserve">, longitude, </w:t>
            </w:r>
            <w:r w:rsidR="00B37F79">
              <w:rPr>
                <w:rStyle w:val="normaltextrun"/>
                <w:rFonts w:ascii="Calibri" w:hAnsi="Calibri" w:cs="Calibri"/>
                <w:sz w:val="22"/>
                <w:szCs w:val="22"/>
              </w:rPr>
              <w:t>location derivation code</w:t>
            </w:r>
            <w:r w:rsidR="002E59A9" w:rsidRPr="002E59A9">
              <w:rPr>
                <w:rStyle w:val="normaltextrun"/>
                <w:rFonts w:ascii="Calibri" w:hAnsi="Calibri" w:cs="Calibri"/>
                <w:sz w:val="22"/>
                <w:szCs w:val="22"/>
              </w:rPr>
              <w:t>.</w:t>
            </w:r>
            <w:r w:rsidR="002E59A9" w:rsidRPr="002E59A9">
              <w:rPr>
                <w:rStyle w:val="eop"/>
                <w:rFonts w:ascii="Calibri" w:hAnsi="Calibri" w:cs="Calibri"/>
                <w:sz w:val="22"/>
                <w:szCs w:val="22"/>
              </w:rPr>
              <w:t> </w:t>
            </w:r>
          </w:p>
          <w:p w14:paraId="54441CB6" w14:textId="15EDD234"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processing steps and associated data elements that c</w:t>
            </w:r>
            <w:r w:rsidR="00F72F58">
              <w:rPr>
                <w:rStyle w:val="normaltextrun"/>
                <w:rFonts w:ascii="Calibri" w:hAnsi="Calibri" w:cs="Calibri"/>
                <w:i/>
                <w:iCs/>
                <w:sz w:val="22"/>
                <w:szCs w:val="22"/>
              </w:rPr>
              <w:t xml:space="preserve">orrespond to the current </w:t>
            </w:r>
            <w:r w:rsidRPr="002E59A9">
              <w:rPr>
                <w:rStyle w:val="normaltextrun"/>
                <w:rFonts w:ascii="Calibri" w:hAnsi="Calibri" w:cs="Calibri"/>
                <w:i/>
                <w:iCs/>
                <w:sz w:val="22"/>
                <w:szCs w:val="22"/>
              </w:rPr>
              <w:t>XML schema:</w:t>
            </w:r>
            <w:r w:rsidRPr="002E59A9">
              <w:rPr>
                <w:rStyle w:val="eop"/>
                <w:rFonts w:ascii="Calibri" w:hAnsi="Calibri" w:cs="Calibri"/>
                <w:sz w:val="22"/>
                <w:szCs w:val="22"/>
              </w:rPr>
              <w:t> </w:t>
            </w:r>
          </w:p>
          <w:p w14:paraId="540E5A31" w14:textId="77777777" w:rsidR="002E59A9" w:rsidRPr="002E59A9" w:rsidRDefault="002E59A9" w:rsidP="002E59A9">
            <w:pPr>
              <w:pStyle w:val="paragraph"/>
              <w:numPr>
                <w:ilvl w:val="0"/>
                <w:numId w:val="1"/>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calculate geographic coordinates of approximate center of the retail service area.  These coordinates will assist users in identifying water systems; they are not intended for water quality linkage analysis.  Please see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 xml:space="preserve"> - Guidance for Estimating Community Water System (CWS) Service Area Representative Point Locations for further reference.</w:t>
            </w:r>
            <w:r w:rsidRPr="002E59A9">
              <w:rPr>
                <w:rStyle w:val="eop"/>
                <w:rFonts w:ascii="Calibri" w:hAnsi="Calibri" w:cs="Calibri"/>
                <w:sz w:val="22"/>
                <w:szCs w:val="22"/>
              </w:rPr>
              <w:t> </w:t>
            </w:r>
          </w:p>
          <w:p w14:paraId="45A6EF1B" w14:textId="77777777" w:rsidR="002E59A9" w:rsidRPr="002E59A9" w:rsidRDefault="002E59A9" w:rsidP="002E59A9">
            <w:pPr>
              <w:pStyle w:val="paragraph"/>
              <w:numPr>
                <w:ilvl w:val="0"/>
                <w:numId w:val="2"/>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in which a representative geographic coordinate has been found, provide a code that describes the derivation technique used.  These codes have been enumerated in the Data Dictionary and can be found in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302FA877" w14:textId="77777777"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Assemble water quality “Sampling Results” table – The Sampling Results staging table includes one record for each compliance sample for each of the ten tracked analytes that are attributable to each CWS in the Inventory table. </w:t>
            </w:r>
            <w:r w:rsidRPr="002E59A9">
              <w:rPr>
                <w:rStyle w:val="eop"/>
                <w:rFonts w:ascii="Calibri" w:hAnsi="Calibri" w:cs="Calibri"/>
                <w:sz w:val="22"/>
                <w:szCs w:val="22"/>
              </w:rPr>
              <w:t> </w:t>
            </w:r>
          </w:p>
          <w:p w14:paraId="2F5EA5EA" w14:textId="39784270" w:rsidR="002E59A9" w:rsidRPr="002E59A9" w:rsidRDefault="002E59A9" w:rsidP="002E59A9">
            <w:pPr>
              <w:pStyle w:val="paragraph"/>
              <w:ind w:left="360"/>
              <w:textAlignment w:val="baseline"/>
              <w:rPr>
                <w:sz w:val="22"/>
                <w:szCs w:val="22"/>
              </w:rPr>
            </w:pPr>
            <w:r w:rsidRPr="00485DBA">
              <w:rPr>
                <w:rStyle w:val="normaltextrun"/>
                <w:rFonts w:ascii="Calibri" w:hAnsi="Calibri" w:cs="Calibri"/>
                <w:sz w:val="22"/>
                <w:szCs w:val="22"/>
                <w:highlight w:val="yellow"/>
              </w:rPr>
              <w:t>Water quality sampling data will be extracted directly from SDWIS or via data flow tailored for Tracking Water NCDMs</w:t>
            </w:r>
            <w:r w:rsidRPr="002E59A9">
              <w:rPr>
                <w:rStyle w:val="normaltextrun"/>
                <w:rFonts w:ascii="Calibri" w:hAnsi="Calibri" w:cs="Calibri"/>
                <w:sz w:val="22"/>
                <w:szCs w:val="22"/>
              </w:rPr>
              <w:t xml:space="preserve"> by </w:t>
            </w:r>
            <w:r w:rsidRPr="00485DBA">
              <w:rPr>
                <w:rStyle w:val="normaltextrun"/>
                <w:rFonts w:ascii="Calibri" w:hAnsi="Calibri" w:cs="Calibri"/>
                <w:sz w:val="22"/>
                <w:szCs w:val="22"/>
                <w:highlight w:val="yellow"/>
              </w:rPr>
              <w:t>the Exchange Network.</w:t>
            </w:r>
            <w:r w:rsidRPr="002E59A9">
              <w:rPr>
                <w:rStyle w:val="normaltextrun"/>
                <w:rFonts w:ascii="Calibri" w:hAnsi="Calibri" w:cs="Calibri"/>
                <w:sz w:val="22"/>
                <w:szCs w:val="22"/>
              </w:rPr>
              <w:t xml:space="preserve">  </w:t>
            </w:r>
            <w:r w:rsidR="00BC1166">
              <w:rPr>
                <w:rStyle w:val="normaltextrun"/>
                <w:rFonts w:ascii="Calibri" w:hAnsi="Calibri" w:cs="Calibri"/>
                <w:sz w:val="22"/>
                <w:szCs w:val="22"/>
              </w:rPr>
              <w:t>T</w:t>
            </w:r>
            <w:r w:rsidRPr="002E59A9">
              <w:rPr>
                <w:rStyle w:val="normaltextrun"/>
                <w:rFonts w:ascii="Calibri" w:hAnsi="Calibri" w:cs="Calibri"/>
                <w:sz w:val="22"/>
                <w:szCs w:val="22"/>
              </w:rPr>
              <w:t>he Sampling Results staging table includes the following elements:</w:t>
            </w:r>
            <w:r w:rsidR="00420977">
              <w:rPr>
                <w:rStyle w:val="normaltextrun"/>
                <w:rFonts w:ascii="Calibri" w:hAnsi="Calibri" w:cs="Calibri"/>
                <w:sz w:val="22"/>
                <w:szCs w:val="22"/>
              </w:rPr>
              <w:t xml:space="preserve"> PWS ID number,</w:t>
            </w:r>
            <w:r w:rsidRPr="002E59A9">
              <w:rPr>
                <w:rStyle w:val="normaltextrun"/>
                <w:rFonts w:ascii="Calibri" w:hAnsi="Calibri" w:cs="Calibri"/>
                <w:sz w:val="22"/>
                <w:szCs w:val="22"/>
              </w:rPr>
              <w:t xml:space="preserve"> </w:t>
            </w:r>
            <w:r w:rsidR="00776466">
              <w:rPr>
                <w:rStyle w:val="normaltextrun"/>
                <w:rFonts w:ascii="Calibri" w:hAnsi="Calibri" w:cs="Calibri"/>
                <w:sz w:val="22"/>
                <w:szCs w:val="22"/>
              </w:rPr>
              <w:t>y</w:t>
            </w:r>
            <w:r w:rsidR="003773B3">
              <w:rPr>
                <w:rStyle w:val="normaltextrun"/>
                <w:rFonts w:ascii="Calibri" w:hAnsi="Calibri" w:cs="Calibri"/>
                <w:sz w:val="22"/>
                <w:szCs w:val="22"/>
              </w:rPr>
              <w:t xml:space="preserve">ear, </w:t>
            </w:r>
            <w:r w:rsidR="00776466">
              <w:rPr>
                <w:rStyle w:val="normaltextrun"/>
                <w:rFonts w:ascii="Calibri" w:hAnsi="Calibri" w:cs="Calibri"/>
                <w:sz w:val="22"/>
                <w:szCs w:val="22"/>
              </w:rPr>
              <w:t>a</w:t>
            </w:r>
            <w:r w:rsidR="001B05CB" w:rsidRPr="002E59A9">
              <w:rPr>
                <w:rStyle w:val="normaltextrun"/>
                <w:rFonts w:ascii="Calibri" w:hAnsi="Calibri" w:cs="Calibri"/>
                <w:sz w:val="22"/>
                <w:szCs w:val="22"/>
              </w:rPr>
              <w:t>nalyte</w:t>
            </w:r>
            <w:r w:rsidR="00725110">
              <w:rPr>
                <w:rStyle w:val="normaltextrun"/>
                <w:rFonts w:ascii="Calibri" w:hAnsi="Calibri" w:cs="Calibri"/>
                <w:sz w:val="22"/>
                <w:szCs w:val="22"/>
              </w:rPr>
              <w:t xml:space="preserve"> </w:t>
            </w:r>
            <w:r w:rsidR="00776466">
              <w:rPr>
                <w:rStyle w:val="normaltextrun"/>
                <w:rFonts w:ascii="Calibri" w:hAnsi="Calibri" w:cs="Calibri"/>
                <w:sz w:val="22"/>
                <w:szCs w:val="22"/>
              </w:rPr>
              <w:t>c</w:t>
            </w:r>
            <w:r w:rsidR="001B05CB" w:rsidRPr="002E59A9">
              <w:rPr>
                <w:rStyle w:val="normaltextrun"/>
                <w:rFonts w:ascii="Calibri" w:hAnsi="Calibri" w:cs="Calibri"/>
                <w:sz w:val="22"/>
                <w:szCs w:val="22"/>
              </w:rPr>
              <w:t>ode</w:t>
            </w:r>
            <w:r w:rsidR="001B05CB">
              <w:rPr>
                <w:rStyle w:val="normaltextrun"/>
                <w:rFonts w:ascii="Calibri" w:hAnsi="Calibri" w:cs="Calibri"/>
                <w:sz w:val="22"/>
                <w:szCs w:val="22"/>
              </w:rPr>
              <w:t>,</w:t>
            </w:r>
            <w:r w:rsidR="001B05CB" w:rsidRPr="002E59A9">
              <w:rPr>
                <w:rStyle w:val="normaltextrun"/>
                <w:rFonts w:ascii="Calibri" w:hAnsi="Calibri" w:cs="Calibri"/>
                <w:sz w:val="22"/>
                <w:szCs w:val="22"/>
              </w:rPr>
              <w:t xml:space="preserve"> </w:t>
            </w:r>
            <w:r w:rsidR="005953E5" w:rsidRPr="002E59A9">
              <w:rPr>
                <w:rStyle w:val="normaltextrun"/>
                <w:rFonts w:ascii="Calibri" w:hAnsi="Calibri" w:cs="Calibri"/>
                <w:sz w:val="22"/>
                <w:szCs w:val="22"/>
              </w:rPr>
              <w:t>concentration units</w:t>
            </w:r>
            <w:r w:rsidR="00F41EBA">
              <w:rPr>
                <w:rStyle w:val="normaltextrun"/>
                <w:rFonts w:ascii="Calibri" w:hAnsi="Calibri" w:cs="Calibri"/>
                <w:sz w:val="22"/>
                <w:szCs w:val="22"/>
              </w:rPr>
              <w:t>,</w:t>
            </w:r>
            <w:r w:rsidR="005953E5" w:rsidRPr="002E59A9">
              <w:rPr>
                <w:rStyle w:val="normaltextrun"/>
                <w:rFonts w:ascii="Calibri" w:hAnsi="Calibri" w:cs="Calibri"/>
                <w:sz w:val="22"/>
                <w:szCs w:val="22"/>
              </w:rPr>
              <w:t xml:space="preserve"> </w:t>
            </w:r>
            <w:r w:rsidR="00F41EBA" w:rsidRPr="002E59A9">
              <w:rPr>
                <w:rStyle w:val="normaltextrun"/>
                <w:rFonts w:ascii="Calibri" w:hAnsi="Calibri" w:cs="Calibri"/>
                <w:sz w:val="22"/>
                <w:szCs w:val="22"/>
              </w:rPr>
              <w:t>concentration</w:t>
            </w:r>
            <w:r w:rsidR="00F41EBA">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41EBA" w:rsidRPr="002E59A9">
              <w:rPr>
                <w:rStyle w:val="normaltextrun"/>
                <w:rFonts w:ascii="Calibri" w:hAnsi="Calibri" w:cs="Calibri"/>
                <w:sz w:val="22"/>
                <w:szCs w:val="22"/>
              </w:rPr>
              <w:t>date</w:t>
            </w:r>
            <w:r w:rsidR="00F41EBA" w:rsidRPr="002E59A9" w:rsidDel="003773B3">
              <w:rPr>
                <w:rStyle w:val="normaltextrun"/>
                <w:rFonts w:ascii="Calibri" w:hAnsi="Calibri" w:cs="Calibri"/>
                <w:sz w:val="22"/>
                <w:szCs w:val="22"/>
              </w:rPr>
              <w:t xml:space="preserve"> </w:t>
            </w:r>
            <w:r w:rsidR="00F41EBA">
              <w:rPr>
                <w:rStyle w:val="normaltextrun"/>
                <w:rFonts w:ascii="Calibri" w:hAnsi="Calibri" w:cs="Calibri"/>
                <w:sz w:val="22"/>
                <w:szCs w:val="22"/>
              </w:rPr>
              <w:t>sampled</w:t>
            </w:r>
            <w:r w:rsidR="00C87FBE">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74380">
              <w:rPr>
                <w:rStyle w:val="normaltextrun"/>
                <w:rFonts w:ascii="Calibri" w:hAnsi="Calibri" w:cs="Calibri"/>
                <w:sz w:val="22"/>
                <w:szCs w:val="22"/>
              </w:rPr>
              <w:t xml:space="preserve">aggregation type, number of sampling locations, </w:t>
            </w:r>
            <w:r w:rsidR="00485E6B">
              <w:rPr>
                <w:rStyle w:val="normaltextrun"/>
                <w:rFonts w:ascii="Calibri" w:hAnsi="Calibri" w:cs="Calibri"/>
                <w:sz w:val="22"/>
                <w:szCs w:val="22"/>
              </w:rPr>
              <w:t>summary time period, number of samples</w:t>
            </w:r>
            <w:r w:rsidR="00BE2317">
              <w:rPr>
                <w:rStyle w:val="normaltextrun"/>
                <w:rFonts w:ascii="Calibri" w:hAnsi="Calibri" w:cs="Calibri"/>
                <w:sz w:val="22"/>
                <w:szCs w:val="22"/>
              </w:rPr>
              <w:t xml:space="preserve">, number of non-detects. </w:t>
            </w:r>
            <w:r w:rsidRPr="002E59A9">
              <w:rPr>
                <w:rStyle w:val="normaltextrun"/>
                <w:rFonts w:ascii="Calibri" w:hAnsi="Calibri" w:cs="Calibri"/>
                <w:sz w:val="22"/>
                <w:szCs w:val="22"/>
              </w:rPr>
              <w:t> </w:t>
            </w:r>
            <w:r w:rsidRPr="002E59A9">
              <w:rPr>
                <w:rStyle w:val="eop"/>
                <w:rFonts w:ascii="Calibri" w:hAnsi="Calibri" w:cs="Calibri"/>
                <w:sz w:val="22"/>
                <w:szCs w:val="22"/>
              </w:rPr>
              <w:t> </w:t>
            </w:r>
          </w:p>
          <w:p w14:paraId="5D0FBCD3" w14:textId="77777777"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some notable special cases and processing guidelines that should be adhered to when assembling the Sampling Results staging table:</w:t>
            </w:r>
            <w:r w:rsidRPr="002E59A9">
              <w:rPr>
                <w:rStyle w:val="eop"/>
                <w:rFonts w:ascii="Calibri" w:hAnsi="Calibri" w:cs="Calibri"/>
                <w:sz w:val="22"/>
                <w:szCs w:val="22"/>
              </w:rPr>
              <w:t> </w:t>
            </w:r>
          </w:p>
          <w:p w14:paraId="3FCBDB0C" w14:textId="77777777" w:rsidR="002E59A9" w:rsidRPr="002E59A9" w:rsidRDefault="002E59A9" w:rsidP="002E59A9">
            <w:pPr>
              <w:pStyle w:val="paragraph"/>
              <w:numPr>
                <w:ilvl w:val="0"/>
                <w:numId w:val="3"/>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All samples with results below the detection limit must have a non-zero and positive detection limit value provided.  If a detection limit is not available from the source data, </w:t>
            </w:r>
            <w:commentRangeStart w:id="0"/>
            <w:r w:rsidRPr="002E59A9">
              <w:rPr>
                <w:rStyle w:val="normaltextrun"/>
                <w:rFonts w:ascii="Calibri" w:hAnsi="Calibri" w:cs="Calibri"/>
                <w:sz w:val="22"/>
                <w:szCs w:val="22"/>
              </w:rPr>
              <w:t xml:space="preserve">grantees are expected to estimate the detection limit </w:t>
            </w:r>
            <w:commentRangeEnd w:id="0"/>
            <w:r w:rsidR="00485DBA">
              <w:rPr>
                <w:rStyle w:val="CommentReference"/>
                <w:rFonts w:asciiTheme="minorHAnsi" w:eastAsiaTheme="minorHAnsi" w:hAnsiTheme="minorHAnsi" w:cstheme="minorBidi"/>
                <w:color w:val="262626" w:themeColor="text1" w:themeTint="D9"/>
              </w:rPr>
              <w:commentReference w:id="0"/>
            </w:r>
            <w:r w:rsidRPr="002E59A9">
              <w:rPr>
                <w:rStyle w:val="normaltextrun"/>
                <w:rFonts w:ascii="Calibri" w:hAnsi="Calibri" w:cs="Calibri"/>
                <w:sz w:val="22"/>
                <w:szCs w:val="22"/>
              </w:rPr>
              <w:t xml:space="preserve">from available data and/or provide a standard detection limit number.  Guidance for determining detection limits when one is not provided is available in </w:t>
            </w:r>
            <w:r w:rsidRPr="002E59A9">
              <w:rPr>
                <w:rStyle w:val="normaltextrun"/>
                <w:rFonts w:ascii="Calibri" w:hAnsi="Calibri" w:cs="Calibri"/>
                <w:color w:val="0000FF"/>
                <w:sz w:val="22"/>
                <w:szCs w:val="22"/>
                <w:u w:val="single"/>
              </w:rPr>
              <w:t>Appendix D</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0A9F2086" w14:textId="77777777" w:rsidR="002E59A9" w:rsidRPr="002E59A9" w:rsidRDefault="002E59A9" w:rsidP="002E59A9">
            <w:pPr>
              <w:pStyle w:val="paragraph"/>
              <w:numPr>
                <w:ilvl w:val="0"/>
                <w:numId w:val="4"/>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Compliance sampling done by drinking water wholesalers, that have interties with and sold to the CWS having a retail population, should be included in the Sampling Results staging table, if SDWIS captures this information accurately and completely.  Each importing CWS should be attributed with wholesalers’ applicable sampling results data.</w:t>
            </w:r>
            <w:r w:rsidRPr="002E59A9">
              <w:rPr>
                <w:rStyle w:val="eop"/>
                <w:rFonts w:ascii="Calibri" w:hAnsi="Calibri" w:cs="Calibri"/>
                <w:sz w:val="22"/>
                <w:szCs w:val="22"/>
              </w:rPr>
              <w:t> </w:t>
            </w:r>
          </w:p>
          <w:p w14:paraId="15AF5AE5" w14:textId="77777777" w:rsidR="002E59A9" w:rsidRPr="002E59A9" w:rsidRDefault="002E59A9" w:rsidP="002E59A9">
            <w:pPr>
              <w:pStyle w:val="paragraph"/>
              <w:numPr>
                <w:ilvl w:val="0"/>
                <w:numId w:val="5"/>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Uranium samples that are reported in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/L, convert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 to µg using </w:t>
            </w:r>
            <w:r w:rsidRPr="00BD420C">
              <w:rPr>
                <w:rStyle w:val="normaltextrun"/>
                <w:rFonts w:ascii="Calibri" w:hAnsi="Calibri" w:cs="Calibri"/>
                <w:sz w:val="22"/>
                <w:szCs w:val="22"/>
                <w:highlight w:val="yellow"/>
              </w:rPr>
              <w:t>the following conversion</w:t>
            </w:r>
            <w:r w:rsidRPr="002E59A9">
              <w:rPr>
                <w:rStyle w:val="normaltextrun"/>
                <w:rFonts w:ascii="Calibri" w:hAnsi="Calibri" w:cs="Calibri"/>
                <w:sz w:val="22"/>
                <w:szCs w:val="22"/>
              </w:rPr>
              <w:t xml:space="preserve">: 0.67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/µ</w:t>
            </w:r>
            <w:proofErr w:type="gramStart"/>
            <w:r w:rsidRPr="002E59A9">
              <w:rPr>
                <w:rStyle w:val="normaltextrun"/>
                <w:rFonts w:ascii="Calibri" w:hAnsi="Calibri" w:cs="Calibri"/>
                <w:sz w:val="22"/>
                <w:szCs w:val="22"/>
              </w:rPr>
              <w:t>g  (</w:t>
            </w:r>
            <w:proofErr w:type="gramEnd"/>
            <w:r w:rsidRPr="002E59A9">
              <w:rPr>
                <w:rStyle w:val="normaltextrun"/>
                <w:rFonts w:ascii="Calibri" w:hAnsi="Calibri" w:cs="Calibri"/>
                <w:sz w:val="22"/>
                <w:szCs w:val="22"/>
              </w:rPr>
              <w:t xml:space="preserve">or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/L x 1.49 = µg/L)</w:t>
            </w:r>
            <w:r w:rsidRPr="002E59A9">
              <w:rPr>
                <w:rStyle w:val="eop"/>
                <w:rFonts w:ascii="Calibri" w:hAnsi="Calibri" w:cs="Calibri"/>
                <w:sz w:val="22"/>
                <w:szCs w:val="22"/>
              </w:rPr>
              <w:t> </w:t>
            </w:r>
          </w:p>
          <w:p w14:paraId="02DEEF28" w14:textId="0AB0CB06" w:rsidR="002C2A4A" w:rsidRPr="002E59A9" w:rsidRDefault="002E59A9" w:rsidP="002E59A9">
            <w:pPr>
              <w:pStyle w:val="paragraph"/>
              <w:textAlignment w:val="baseline"/>
              <w:rPr>
                <w:sz w:val="22"/>
                <w:szCs w:val="22"/>
              </w:rPr>
            </w:pPr>
            <w:r w:rsidRPr="002E59A9">
              <w:rPr>
                <w:rStyle w:val="normaltextrun"/>
                <w:rFonts w:ascii="Calibri" w:hAnsi="Calibri" w:cs="Calibri"/>
                <w:b/>
                <w:bCs/>
                <w:sz w:val="22"/>
                <w:szCs w:val="22"/>
              </w:rPr>
              <w:lastRenderedPageBreak/>
              <w:t>Note</w:t>
            </w:r>
            <w:r w:rsidRPr="002E59A9">
              <w:rPr>
                <w:rStyle w:val="normaltextrun"/>
                <w:rFonts w:ascii="Calibri" w:hAnsi="Calibri" w:cs="Calibri"/>
                <w:sz w:val="22"/>
                <w:szCs w:val="22"/>
              </w:rPr>
              <w:t xml:space="preserve">: The </w:t>
            </w:r>
            <w:r w:rsidR="006B0FA6">
              <w:rPr>
                <w:rStyle w:val="normaltextrun"/>
                <w:rFonts w:ascii="Calibri" w:hAnsi="Calibri" w:cs="Calibri"/>
                <w:sz w:val="22"/>
                <w:szCs w:val="22"/>
              </w:rPr>
              <w:t>Dri</w:t>
            </w:r>
            <w:r w:rsidR="001F7FD5">
              <w:rPr>
                <w:rStyle w:val="normaltextrun"/>
                <w:rFonts w:ascii="Calibri" w:hAnsi="Calibri" w:cs="Calibri"/>
                <w:sz w:val="22"/>
                <w:szCs w:val="22"/>
              </w:rPr>
              <w:t>n</w:t>
            </w:r>
            <w:r w:rsidR="006B0FA6">
              <w:rPr>
                <w:rStyle w:val="normaltextrun"/>
                <w:rFonts w:ascii="Calibri" w:hAnsi="Calibri" w:cs="Calibri"/>
                <w:sz w:val="22"/>
                <w:szCs w:val="22"/>
              </w:rPr>
              <w:t xml:space="preserve">king </w:t>
            </w:r>
            <w:r w:rsidRPr="002E59A9">
              <w:rPr>
                <w:rStyle w:val="normaltextrun"/>
                <w:rFonts w:ascii="Calibri" w:hAnsi="Calibri" w:cs="Calibri"/>
                <w:sz w:val="22"/>
                <w:szCs w:val="22"/>
              </w:rPr>
              <w:t xml:space="preserve">Water Team is tasked to develop SAS and SQL indicator calculation packages that take the two </w:t>
            </w:r>
            <w:r w:rsidR="00583ACA" w:rsidRPr="002E59A9">
              <w:rPr>
                <w:rStyle w:val="normaltextrun"/>
                <w:rFonts w:ascii="Calibri" w:hAnsi="Calibri" w:cs="Calibri"/>
                <w:sz w:val="22"/>
                <w:szCs w:val="22"/>
              </w:rPr>
              <w:t>Staging</w:t>
            </w:r>
            <w:r w:rsidRPr="002E59A9">
              <w:rPr>
                <w:rStyle w:val="normaltextrun"/>
                <w:rFonts w:ascii="Calibri" w:hAnsi="Calibri" w:cs="Calibri"/>
                <w:sz w:val="22"/>
                <w:szCs w:val="22"/>
              </w:rPr>
              <w:t xml:space="preserve"> Tables as input and accomplishes Steps II and III below.  These SAS and SQL programs will be developed by and shared among grantees</w:t>
            </w:r>
            <w:r w:rsidR="004C6FAD">
              <w:rPr>
                <w:rStyle w:val="normaltextrun"/>
                <w:rFonts w:ascii="Calibri" w:hAnsi="Calibri" w:cs="Calibri"/>
                <w:sz w:val="22"/>
                <w:szCs w:val="22"/>
              </w:rPr>
              <w:t xml:space="preserve"> (please see Share Point)</w:t>
            </w:r>
            <w:r w:rsidRPr="002E59A9">
              <w:rPr>
                <w:rStyle w:val="normaltextrun"/>
                <w:rFonts w:ascii="Calibri" w:hAnsi="Calibri" w:cs="Calibri"/>
                <w:sz w:val="22"/>
                <w:szCs w:val="22"/>
              </w:rPr>
              <w:t xml:space="preserve">.  </w:t>
            </w:r>
          </w:p>
        </w:tc>
      </w:tr>
      <w:tr w:rsidR="002C2A4A" w14:paraId="085EF80A" w14:textId="77777777" w:rsidTr="00513A50">
        <w:tc>
          <w:tcPr>
            <w:tcW w:w="1998" w:type="dxa"/>
            <w:tcBorders>
              <w:right w:val="single" w:sz="24" w:space="0" w:color="FFA40B"/>
            </w:tcBorders>
            <w:shd w:val="clear" w:color="auto" w:fill="003B9F"/>
          </w:tcPr>
          <w:p w14:paraId="78364AB2" w14:textId="4DE0D129" w:rsidR="002C2A4A" w:rsidRDefault="002C2A4A" w:rsidP="00690520">
            <w:pPr>
              <w:rPr>
                <w:color w:val="FFFFFF" w:themeColor="background1"/>
              </w:rPr>
            </w:pPr>
            <w:r>
              <w:rPr>
                <w:color w:val="FFFFFF" w:themeColor="background1"/>
              </w:rPr>
              <w:lastRenderedPageBreak/>
              <w:t>Step #2</w:t>
            </w:r>
          </w:p>
        </w:tc>
        <w:tc>
          <w:tcPr>
            <w:tcW w:w="8072" w:type="dxa"/>
            <w:tcBorders>
              <w:left w:val="single" w:sz="24" w:space="0" w:color="FFA40B"/>
            </w:tcBorders>
          </w:tcPr>
          <w:p w14:paraId="4FA8088E"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 XML Dataset Development</w:t>
            </w:r>
            <w:r w:rsidRPr="1C1F4A78">
              <w:rPr>
                <w:rStyle w:val="eop"/>
                <w:rFonts w:asciiTheme="minorHAnsi" w:eastAsiaTheme="minorEastAsia" w:hAnsiTheme="minorHAnsi" w:cstheme="minorBidi"/>
                <w:b/>
                <w:bCs/>
                <w:i/>
                <w:iCs/>
                <w:sz w:val="22"/>
                <w:szCs w:val="22"/>
              </w:rPr>
              <w:t> </w:t>
            </w:r>
          </w:p>
          <w:p w14:paraId="7C5CFE7B" w14:textId="3B69567C" w:rsidR="0008779E" w:rsidRDefault="0008779E" w:rsidP="0008779E">
            <w:pPr>
              <w:pStyle w:val="paragraph"/>
              <w:textAlignment w:val="baseline"/>
            </w:pPr>
            <w:r>
              <w:rPr>
                <w:rStyle w:val="normaltextrun"/>
                <w:rFonts w:ascii="Calibri" w:hAnsi="Calibri" w:cs="Calibri"/>
                <w:sz w:val="22"/>
                <w:szCs w:val="22"/>
              </w:rPr>
              <w:t xml:space="preserve">This set of processing steps summarizes and formats the Staging Tables into </w:t>
            </w:r>
            <w:r w:rsidRPr="004C6FAD">
              <w:rPr>
                <w:rStyle w:val="normaltextrun"/>
                <w:rFonts w:ascii="Calibri" w:hAnsi="Calibri" w:cs="Calibri"/>
                <w:sz w:val="22"/>
                <w:szCs w:val="22"/>
              </w:rPr>
              <w:t xml:space="preserve">two </w:t>
            </w:r>
            <w:r>
              <w:rPr>
                <w:rStyle w:val="normaltextrun"/>
                <w:rFonts w:ascii="Calibri" w:hAnsi="Calibri" w:cs="Calibri"/>
                <w:sz w:val="22"/>
                <w:szCs w:val="22"/>
              </w:rPr>
              <w:t xml:space="preserve">XML datasets that conform to </w:t>
            </w:r>
            <w:proofErr w:type="gramStart"/>
            <w:r>
              <w:rPr>
                <w:rStyle w:val="normaltextrun"/>
                <w:rFonts w:ascii="Calibri" w:hAnsi="Calibri" w:cs="Calibri"/>
                <w:sz w:val="22"/>
                <w:szCs w:val="22"/>
              </w:rPr>
              <w:t>the  XML</w:t>
            </w:r>
            <w:proofErr w:type="gramEnd"/>
            <w:r>
              <w:rPr>
                <w:rStyle w:val="normaltextrun"/>
                <w:rFonts w:ascii="Calibri" w:hAnsi="Calibri" w:cs="Calibri"/>
                <w:sz w:val="22"/>
                <w:szCs w:val="22"/>
              </w:rPr>
              <w:t xml:space="preserve"> schema.  Please see Appendix E for example XML that have been validated for submission to CDC.</w:t>
            </w:r>
            <w:r>
              <w:rPr>
                <w:rStyle w:val="eop"/>
                <w:rFonts w:ascii="Calibri" w:hAnsi="Calibri" w:cs="Calibri"/>
                <w:sz w:val="22"/>
                <w:szCs w:val="22"/>
              </w:rPr>
              <w:t> </w:t>
            </w:r>
          </w:p>
          <w:p w14:paraId="169BBF27" w14:textId="77777777" w:rsidR="0008779E" w:rsidRDefault="0008779E"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The Inventory XML dataset is an annual list of each CWS that was actively delivering water to customers for the years of reporting; it is a direct copy in XML format of the Inventory staging table.</w:t>
            </w:r>
            <w:r>
              <w:rPr>
                <w:rStyle w:val="eop"/>
                <w:rFonts w:ascii="Calibri" w:hAnsi="Calibri" w:cs="Calibri"/>
                <w:sz w:val="22"/>
                <w:szCs w:val="22"/>
              </w:rPr>
              <w:t> </w:t>
            </w:r>
          </w:p>
          <w:p w14:paraId="7001086B" w14:textId="611365D2" w:rsidR="0008779E" w:rsidRPr="0043722A" w:rsidRDefault="0008779E" w:rsidP="0008779E">
            <w:pPr>
              <w:pStyle w:val="paragraph"/>
              <w:numPr>
                <w:ilvl w:val="0"/>
                <w:numId w:val="11"/>
              </w:numPr>
              <w:textAlignment w:val="baseline"/>
              <w:rPr>
                <w:rFonts w:ascii="Calibri" w:hAnsi="Calibri" w:cs="Calibri"/>
                <w:sz w:val="22"/>
                <w:szCs w:val="22"/>
              </w:rPr>
            </w:pPr>
            <w:r w:rsidRPr="0043722A">
              <w:rPr>
                <w:rStyle w:val="normaltextrun"/>
                <w:rFonts w:ascii="Calibri" w:hAnsi="Calibri" w:cs="Calibri"/>
                <w:sz w:val="22"/>
                <w:szCs w:val="22"/>
              </w:rPr>
              <w:t xml:space="preserve">The Water Quality XML dataset </w:t>
            </w:r>
            <w:r w:rsidR="00CC680C">
              <w:rPr>
                <w:rStyle w:val="normaltextrun"/>
                <w:rFonts w:ascii="Calibri" w:hAnsi="Calibri" w:cs="Calibri"/>
                <w:sz w:val="22"/>
                <w:szCs w:val="22"/>
              </w:rPr>
              <w:t xml:space="preserve">includes </w:t>
            </w:r>
            <w:r w:rsidRPr="0043722A">
              <w:rPr>
                <w:rStyle w:val="normaltextrun"/>
                <w:rFonts w:ascii="Calibri" w:hAnsi="Calibri" w:cs="Calibri"/>
                <w:sz w:val="22"/>
                <w:szCs w:val="22"/>
              </w:rPr>
              <w:t>summary-level measures of water contaminant concentrations.  The Water Quality dataset has a finite number of columns, and incorporates a hierarchical data structure, such that including additional analytes in future data calls will not require additional XML schema changes.  The reader is referred to the Data Dictionary as reference in further understanding this structure.  The current Data Dictionary can be found on SharePoint</w:t>
            </w:r>
            <w:r w:rsidR="00770810">
              <w:rPr>
                <w:rStyle w:val="normaltextrun"/>
                <w:rFonts w:ascii="Calibri" w:hAnsi="Calibri" w:cs="Calibri"/>
                <w:sz w:val="22"/>
                <w:szCs w:val="22"/>
              </w:rPr>
              <w:t xml:space="preserve"> </w:t>
            </w:r>
            <w:r w:rsidR="00770810">
              <w:rPr>
                <w:rStyle w:val="normaltextrun"/>
                <w:rFonts w:ascii="Calibri" w:hAnsi="Calibri" w:cs="Calibri"/>
              </w:rPr>
              <w:t xml:space="preserve">under Data Submission Documentation. </w:t>
            </w:r>
          </w:p>
          <w:p w14:paraId="72ACD51F" w14:textId="77777777" w:rsidR="0008779E" w:rsidRDefault="0008779E" w:rsidP="0008779E">
            <w:pPr>
              <w:pStyle w:val="paragraph"/>
              <w:ind w:left="360"/>
              <w:textAlignment w:val="baseline"/>
            </w:pPr>
            <w:r>
              <w:rPr>
                <w:rStyle w:val="normaltextrun"/>
                <w:rFonts w:ascii="Calibri" w:hAnsi="Calibri" w:cs="Calibri"/>
                <w:sz w:val="22"/>
                <w:szCs w:val="22"/>
              </w:rPr>
              <w:t>Listed below are processing steps that are affected by changes to the new XML schema:</w:t>
            </w:r>
            <w:r>
              <w:rPr>
                <w:rStyle w:val="eop"/>
                <w:rFonts w:ascii="Calibri" w:hAnsi="Calibri" w:cs="Calibri"/>
                <w:sz w:val="22"/>
                <w:szCs w:val="22"/>
              </w:rPr>
              <w:t> </w:t>
            </w:r>
          </w:p>
          <w:p w14:paraId="1D335265" w14:textId="4C8CF5A2" w:rsidR="0008779E" w:rsidRDefault="002B143A" w:rsidP="003C20C1">
            <w:pPr>
              <w:pStyle w:val="paragraph"/>
              <w:ind w:left="360"/>
              <w:textAlignment w:val="baseline"/>
              <w:rPr>
                <w:rFonts w:ascii="Calibri" w:hAnsi="Calibri" w:cs="Calibri"/>
                <w:sz w:val="22"/>
                <w:szCs w:val="22"/>
              </w:rPr>
            </w:pPr>
            <w:r>
              <w:rPr>
                <w:rStyle w:val="normaltextrun"/>
                <w:rFonts w:ascii="Calibri" w:hAnsi="Calibri" w:cs="Calibri"/>
                <w:sz w:val="22"/>
                <w:szCs w:val="22"/>
              </w:rPr>
              <w:t xml:space="preserve">1. </w:t>
            </w:r>
            <w:r w:rsidRPr="00B251A0">
              <w:rPr>
                <w:rStyle w:val="normaltextrun"/>
                <w:rFonts w:ascii="Calibri" w:hAnsi="Calibri" w:cs="Calibri"/>
                <w:sz w:val="22"/>
                <w:szCs w:val="22"/>
                <w:highlight w:val="yellow"/>
              </w:rPr>
              <w:t>C</w:t>
            </w:r>
            <w:r w:rsidR="0008779E" w:rsidRPr="00B251A0">
              <w:rPr>
                <w:rStyle w:val="normaltextrun"/>
                <w:rFonts w:ascii="Calibri" w:hAnsi="Calibri" w:cs="Calibri"/>
                <w:sz w:val="22"/>
                <w:szCs w:val="22"/>
                <w:highlight w:val="yellow"/>
              </w:rPr>
              <w:t xml:space="preserve">alculate </w:t>
            </w:r>
            <w:r w:rsidR="0008779E" w:rsidRPr="00B251A0">
              <w:rPr>
                <w:rStyle w:val="normaltextrun"/>
                <w:rFonts w:ascii="Calibri" w:hAnsi="Calibri" w:cs="Calibri"/>
                <w:sz w:val="22"/>
                <w:szCs w:val="22"/>
                <w:highlight w:val="yellow"/>
                <w:u w:val="single"/>
              </w:rPr>
              <w:t>annual</w:t>
            </w:r>
            <w:r w:rsidR="0008779E" w:rsidRPr="1C1F4A78">
              <w:rPr>
                <w:rStyle w:val="normaltextrun"/>
                <w:rFonts w:ascii="Calibri" w:hAnsi="Calibri" w:cs="Calibri"/>
                <w:sz w:val="22"/>
                <w:szCs w:val="22"/>
              </w:rPr>
              <w:t xml:space="preserve"> mean and maximum concentration values, count of unique samples, count of unique sampling stations, count of samples that resulted in non-detect, and date of last sample.  </w:t>
            </w:r>
            <w:r w:rsidR="0008779E" w:rsidRPr="00B251A0">
              <w:rPr>
                <w:rStyle w:val="normaltextrun"/>
                <w:rFonts w:ascii="Calibri" w:hAnsi="Calibri" w:cs="Calibri"/>
                <w:sz w:val="22"/>
                <w:szCs w:val="22"/>
                <w:highlight w:val="yellow"/>
              </w:rPr>
              <w:t>Append these annual measures</w:t>
            </w:r>
            <w:r w:rsidR="0008779E" w:rsidRPr="1C1F4A78">
              <w:rPr>
                <w:rStyle w:val="normaltextrun"/>
                <w:rFonts w:ascii="Calibri" w:hAnsi="Calibri" w:cs="Calibri"/>
                <w:sz w:val="22"/>
                <w:szCs w:val="22"/>
              </w:rPr>
              <w:t xml:space="preserve"> to dataset and code these records as “summary-level” data with an “annual” time period type.  </w:t>
            </w:r>
            <w:r w:rsidR="0008779E" w:rsidRPr="0045306A">
              <w:rPr>
                <w:rStyle w:val="normaltextrun"/>
                <w:rFonts w:ascii="Calibri" w:hAnsi="Calibri" w:cs="Calibri"/>
                <w:sz w:val="22"/>
                <w:szCs w:val="22"/>
                <w:highlight w:val="yellow"/>
              </w:rPr>
              <w:t>For samples coded as non-detect a concentration of half the detection limit is used before summarizing.</w:t>
            </w:r>
            <w:r w:rsidR="0008779E" w:rsidRPr="1C1F4A78">
              <w:rPr>
                <w:rStyle w:val="eop"/>
                <w:rFonts w:ascii="Calibri" w:hAnsi="Calibri" w:cs="Calibri"/>
                <w:sz w:val="22"/>
                <w:szCs w:val="22"/>
              </w:rPr>
              <w:t> </w:t>
            </w:r>
          </w:p>
          <w:p w14:paraId="54ECA111" w14:textId="1DDF1942" w:rsidR="0008779E" w:rsidRPr="00450DF2" w:rsidRDefault="00AE6E7B" w:rsidP="00450DF2">
            <w:pPr>
              <w:pStyle w:val="paragraph"/>
              <w:textAlignment w:val="baseline"/>
              <w:rPr>
                <w:rFonts w:ascii="Calibri" w:hAnsi="Calibri" w:cs="Calibri"/>
                <w:b/>
                <w:bCs/>
                <w:sz w:val="22"/>
                <w:szCs w:val="22"/>
              </w:rPr>
            </w:pPr>
            <w:r>
              <w:rPr>
                <w:rStyle w:val="normaltextrun"/>
                <w:rFonts w:ascii="Calibri" w:hAnsi="Calibri" w:cs="Calibri"/>
                <w:sz w:val="22"/>
                <w:szCs w:val="22"/>
              </w:rPr>
              <w:t xml:space="preserve">2.   </w:t>
            </w:r>
            <w:r w:rsidR="0008779E" w:rsidRPr="1C1F4A78">
              <w:rPr>
                <w:rStyle w:val="normaltextrun"/>
                <w:rFonts w:ascii="Calibri" w:hAnsi="Calibri" w:cs="Calibri"/>
                <w:sz w:val="22"/>
                <w:szCs w:val="22"/>
              </w:rPr>
              <w:t xml:space="preserve">In the same manner as </w:t>
            </w:r>
            <w:r w:rsidR="0008779E" w:rsidRPr="1C1F4A78">
              <w:rPr>
                <w:rStyle w:val="normaltextrun"/>
                <w:rFonts w:ascii="Calibri" w:hAnsi="Calibri" w:cs="Calibri"/>
                <w:color w:val="0000FF"/>
                <w:sz w:val="22"/>
                <w:szCs w:val="22"/>
                <w:u w:val="single"/>
              </w:rPr>
              <w:t>Step I</w:t>
            </w:r>
            <w:r w:rsidR="006D5CC0">
              <w:rPr>
                <w:rStyle w:val="normaltextrun"/>
                <w:rFonts w:ascii="Calibri" w:hAnsi="Calibri" w:cs="Calibri"/>
                <w:color w:val="0000FF"/>
                <w:sz w:val="22"/>
                <w:szCs w:val="22"/>
                <w:u w:val="single"/>
              </w:rPr>
              <w:t xml:space="preserve"> </w:t>
            </w:r>
            <w:r w:rsidR="0008779E" w:rsidRPr="1C1F4A78">
              <w:rPr>
                <w:rStyle w:val="normaltextrun"/>
                <w:rFonts w:ascii="Calibri" w:hAnsi="Calibri" w:cs="Calibri"/>
                <w:sz w:val="22"/>
                <w:szCs w:val="22"/>
              </w:rPr>
              <w:t xml:space="preserve">above, </w:t>
            </w:r>
            <w:r w:rsidR="0008779E" w:rsidRPr="00B251A0">
              <w:rPr>
                <w:rStyle w:val="normaltextrun"/>
                <w:rFonts w:ascii="Calibri" w:hAnsi="Calibri" w:cs="Calibri"/>
                <w:sz w:val="22"/>
                <w:szCs w:val="22"/>
                <w:highlight w:val="yellow"/>
              </w:rPr>
              <w:t>calculate</w:t>
            </w:r>
            <w:r w:rsidR="0008779E" w:rsidRPr="1C1F4A78">
              <w:rPr>
                <w:rStyle w:val="normaltextrun"/>
                <w:rFonts w:ascii="Calibri" w:hAnsi="Calibri" w:cs="Calibri"/>
                <w:sz w:val="22"/>
                <w:szCs w:val="22"/>
              </w:rPr>
              <w:t xml:space="preserve"> CWS-level </w:t>
            </w:r>
            <w:r w:rsidR="0008779E" w:rsidRPr="00B251A0">
              <w:rPr>
                <w:rStyle w:val="normaltextrun"/>
                <w:rFonts w:ascii="Calibri" w:hAnsi="Calibri" w:cs="Calibri"/>
                <w:sz w:val="22"/>
                <w:szCs w:val="22"/>
                <w:highlight w:val="yellow"/>
                <w:u w:val="single"/>
              </w:rPr>
              <w:t>quarterly</w:t>
            </w:r>
            <w:r w:rsidR="0008779E" w:rsidRPr="1C1F4A78">
              <w:rPr>
                <w:rStyle w:val="normaltextrun"/>
                <w:rFonts w:ascii="Calibri" w:hAnsi="Calibri" w:cs="Calibri"/>
                <w:sz w:val="22"/>
                <w:szCs w:val="22"/>
              </w:rPr>
              <w:t xml:space="preserve"> mean concentration values, count of unique samples, count of unique sampling stations, count of samples that resulted in non-detect, and date of last sample for </w:t>
            </w:r>
            <w:r w:rsidR="0008779E" w:rsidRPr="00450DF2">
              <w:rPr>
                <w:rStyle w:val="normaltextrun"/>
                <w:rFonts w:ascii="Calibri" w:hAnsi="Calibri" w:cs="Calibri"/>
                <w:b/>
                <w:bCs/>
                <w:sz w:val="22"/>
                <w:szCs w:val="22"/>
              </w:rPr>
              <w:t>Nitrate, Atrazine, TTHM, and HAA5 only.</w:t>
            </w:r>
            <w:r w:rsidR="0008779E" w:rsidRPr="00450DF2">
              <w:rPr>
                <w:rStyle w:val="eop"/>
                <w:rFonts w:ascii="Calibri" w:hAnsi="Calibri" w:cs="Calibri"/>
                <w:b/>
                <w:bCs/>
                <w:sz w:val="22"/>
                <w:szCs w:val="22"/>
              </w:rPr>
              <w:t> </w:t>
            </w:r>
          </w:p>
          <w:p w14:paraId="55DC881F" w14:textId="71ECE264" w:rsidR="002C2A4A" w:rsidRDefault="0008779E" w:rsidP="0008779E">
            <w:pPr>
              <w:pStyle w:val="paragraph"/>
              <w:textAlignment w:val="baseline"/>
            </w:pPr>
            <w:r>
              <w:rPr>
                <w:rStyle w:val="normaltextrun"/>
                <w:rFonts w:ascii="Calibri" w:hAnsi="Calibri" w:cs="Calibri"/>
                <w:b/>
                <w:bCs/>
                <w:sz w:val="22"/>
                <w:szCs w:val="22"/>
                <w:u w:val="single"/>
              </w:rPr>
              <w:t>Special note for Steps II.b.</w:t>
            </w:r>
            <w:r w:rsidR="003877C0">
              <w:rPr>
                <w:rStyle w:val="normaltextrun"/>
                <w:rFonts w:ascii="Calibri" w:hAnsi="Calibri" w:cs="Calibri"/>
                <w:b/>
                <w:bCs/>
                <w:sz w:val="22"/>
                <w:szCs w:val="22"/>
                <w:u w:val="single"/>
              </w:rPr>
              <w:t>1</w:t>
            </w:r>
            <w:r>
              <w:rPr>
                <w:rStyle w:val="normaltextrun"/>
                <w:rFonts w:ascii="Calibri" w:hAnsi="Calibri" w:cs="Calibri"/>
                <w:b/>
                <w:bCs/>
                <w:sz w:val="22"/>
                <w:szCs w:val="22"/>
                <w:u w:val="single"/>
              </w:rPr>
              <w:t xml:space="preserve"> &amp; II.b.</w:t>
            </w:r>
            <w:r w:rsidR="003877C0">
              <w:rPr>
                <w:rStyle w:val="normaltextrun"/>
                <w:rFonts w:ascii="Calibri" w:hAnsi="Calibri" w:cs="Calibri"/>
                <w:b/>
                <w:bCs/>
                <w:sz w:val="22"/>
                <w:szCs w:val="22"/>
                <w:u w:val="single"/>
              </w:rPr>
              <w:t>2</w:t>
            </w:r>
            <w:r>
              <w:rPr>
                <w:rStyle w:val="normaltextrun"/>
                <w:rFonts w:ascii="Calibri" w:hAnsi="Calibri" w:cs="Calibri"/>
                <w:b/>
                <w:bCs/>
                <w:sz w:val="22"/>
                <w:szCs w:val="22"/>
                <w:u w:val="single"/>
              </w:rPr>
              <w:t xml:space="preserve"> Above</w:t>
            </w:r>
            <w:r>
              <w:rPr>
                <w:rStyle w:val="normaltextrun"/>
                <w:rFonts w:ascii="Calibri" w:hAnsi="Calibri" w:cs="Calibri"/>
                <w:sz w:val="22"/>
                <w:szCs w:val="22"/>
              </w:rPr>
              <w:t xml:space="preserve">:  For Nitrate, Arsenic, </w:t>
            </w:r>
            <w:r w:rsidR="00F324B1">
              <w:rPr>
                <w:rStyle w:val="normaltextrun"/>
                <w:rFonts w:ascii="Calibri" w:hAnsi="Calibri" w:cs="Calibri"/>
                <w:sz w:val="22"/>
                <w:szCs w:val="22"/>
              </w:rPr>
              <w:t xml:space="preserve">Atrazine, </w:t>
            </w:r>
            <w:r w:rsidR="003877C0">
              <w:rPr>
                <w:rStyle w:val="normaltextrun"/>
                <w:rFonts w:ascii="Calibri" w:hAnsi="Calibri" w:cs="Calibri"/>
                <w:sz w:val="22"/>
                <w:szCs w:val="22"/>
              </w:rPr>
              <w:t xml:space="preserve">DEHP, TCE, PCE, Uranium and Radium, </w:t>
            </w:r>
            <w:r>
              <w:rPr>
                <w:rStyle w:val="normaltextrun"/>
                <w:rFonts w:ascii="Calibri" w:hAnsi="Calibri" w:cs="Calibri"/>
                <w:sz w:val="22"/>
                <w:szCs w:val="22"/>
              </w:rPr>
              <w:t xml:space="preserve">annual [and quarterly for Nitrate and Atrazine only] average concentration values are derived from </w:t>
            </w:r>
            <w:commentRangeStart w:id="1"/>
            <w:r>
              <w:rPr>
                <w:rStyle w:val="normaltextrun"/>
                <w:rFonts w:ascii="Calibri" w:hAnsi="Calibri" w:cs="Calibri"/>
                <w:sz w:val="22"/>
                <w:szCs w:val="22"/>
              </w:rPr>
              <w:t xml:space="preserve">first averaging by </w:t>
            </w:r>
            <w:r>
              <w:rPr>
                <w:rStyle w:val="normaltextrun"/>
                <w:rFonts w:ascii="Calibri" w:hAnsi="Calibri" w:cs="Calibri"/>
                <w:sz w:val="22"/>
                <w:szCs w:val="22"/>
                <w:u w:val="single"/>
              </w:rPr>
              <w:t>sampling station</w:t>
            </w:r>
            <w:r>
              <w:rPr>
                <w:rStyle w:val="normaltextrun"/>
                <w:rFonts w:ascii="Calibri" w:hAnsi="Calibri" w:cs="Calibri"/>
                <w:sz w:val="22"/>
                <w:szCs w:val="22"/>
              </w:rPr>
              <w:t>, then averaging by CWS</w:t>
            </w:r>
            <w:commentRangeEnd w:id="1"/>
            <w:r w:rsidR="0045306A">
              <w:rPr>
                <w:rStyle w:val="CommentReference"/>
                <w:rFonts w:asciiTheme="minorHAnsi" w:eastAsiaTheme="minorHAnsi" w:hAnsiTheme="minorHAnsi" w:cstheme="minorBidi"/>
                <w:color w:val="262626" w:themeColor="text1" w:themeTint="D9"/>
              </w:rPr>
              <w:commentReference w:id="1"/>
            </w:r>
            <w:r>
              <w:rPr>
                <w:rStyle w:val="normaltextrun"/>
                <w:rFonts w:ascii="Calibri" w:hAnsi="Calibri" w:cs="Calibri"/>
                <w:sz w:val="22"/>
                <w:szCs w:val="22"/>
              </w:rPr>
              <w:t xml:space="preserve">.  For disinfection-by-products (TTHM and HAA5) annual and quarterly average concentration values are derived from first averaging by </w:t>
            </w:r>
            <w:r>
              <w:rPr>
                <w:rStyle w:val="normaltextrun"/>
                <w:rFonts w:ascii="Calibri" w:hAnsi="Calibri" w:cs="Calibri"/>
                <w:sz w:val="22"/>
                <w:szCs w:val="22"/>
                <w:u w:val="single"/>
              </w:rPr>
              <w:t>day</w:t>
            </w:r>
            <w:r>
              <w:rPr>
                <w:rStyle w:val="normaltextrun"/>
                <w:rFonts w:ascii="Calibri" w:hAnsi="Calibri" w:cs="Calibri"/>
                <w:sz w:val="22"/>
                <w:szCs w:val="22"/>
              </w:rPr>
              <w:t>, then by CWS.   Maximums for all 10 analytes are derived by taking the annual maximum for each CWS.</w:t>
            </w:r>
            <w:r>
              <w:rPr>
                <w:rStyle w:val="eop"/>
                <w:rFonts w:ascii="Calibri" w:hAnsi="Calibri" w:cs="Calibri"/>
                <w:sz w:val="22"/>
                <w:szCs w:val="22"/>
              </w:rPr>
              <w:t> </w:t>
            </w:r>
          </w:p>
        </w:tc>
      </w:tr>
      <w:tr w:rsidR="002C2A4A" w14:paraId="639EE510" w14:textId="77777777" w:rsidTr="00513A50">
        <w:tc>
          <w:tcPr>
            <w:tcW w:w="1998" w:type="dxa"/>
            <w:tcBorders>
              <w:right w:val="single" w:sz="24" w:space="0" w:color="FFA40B"/>
            </w:tcBorders>
            <w:shd w:val="clear" w:color="auto" w:fill="003B9F"/>
          </w:tcPr>
          <w:p w14:paraId="49B255E3" w14:textId="6FC471F1" w:rsidR="002C2A4A" w:rsidRDefault="0008779E" w:rsidP="00690520">
            <w:pPr>
              <w:rPr>
                <w:color w:val="FFFFFF" w:themeColor="background1"/>
              </w:rPr>
            </w:pPr>
            <w:r>
              <w:rPr>
                <w:color w:val="FFFFFF" w:themeColor="background1"/>
              </w:rPr>
              <w:t>Step 3</w:t>
            </w:r>
          </w:p>
        </w:tc>
        <w:tc>
          <w:tcPr>
            <w:tcW w:w="8072" w:type="dxa"/>
            <w:tcBorders>
              <w:left w:val="single" w:sz="24" w:space="0" w:color="FFA40B"/>
            </w:tcBorders>
          </w:tcPr>
          <w:p w14:paraId="12279B3F"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III. State-Level NCDM Development</w:t>
            </w:r>
            <w:r w:rsidRPr="1C1F4A78">
              <w:rPr>
                <w:rStyle w:val="eop"/>
                <w:rFonts w:asciiTheme="minorHAnsi" w:eastAsiaTheme="minorEastAsia" w:hAnsiTheme="minorHAnsi" w:cstheme="minorBidi"/>
                <w:b/>
                <w:bCs/>
                <w:i/>
                <w:iCs/>
                <w:sz w:val="22"/>
                <w:szCs w:val="22"/>
              </w:rPr>
              <w:t> </w:t>
            </w:r>
          </w:p>
          <w:p w14:paraId="147B7DC8" w14:textId="77777777" w:rsidR="0008779E" w:rsidRDefault="0008779E" w:rsidP="0008779E">
            <w:pPr>
              <w:pStyle w:val="paragraph"/>
              <w:textAlignment w:val="baseline"/>
            </w:pPr>
            <w:r>
              <w:rPr>
                <w:rStyle w:val="normaltextrun"/>
                <w:rFonts w:ascii="Calibri" w:hAnsi="Calibri" w:cs="Calibri"/>
                <w:sz w:val="22"/>
                <w:szCs w:val="22"/>
              </w:rPr>
              <w:t xml:space="preserve">This set of processing steps further summarizes the CWS-level measures (calculated in </w:t>
            </w:r>
            <w:r>
              <w:rPr>
                <w:rStyle w:val="normaltextrun"/>
                <w:rFonts w:ascii="Calibri" w:hAnsi="Calibri" w:cs="Calibri"/>
                <w:color w:val="0000FF"/>
                <w:sz w:val="22"/>
                <w:szCs w:val="22"/>
                <w:u w:val="single"/>
              </w:rPr>
              <w:t>Step II</w:t>
            </w:r>
            <w:r>
              <w:rPr>
                <w:rStyle w:val="normaltextrun"/>
                <w:rFonts w:ascii="Calibri" w:hAnsi="Calibri" w:cs="Calibri"/>
                <w:sz w:val="22"/>
                <w:szCs w:val="22"/>
              </w:rPr>
              <w:t xml:space="preserve">) into statewide frequencies of water systems and summed population-served by </w:t>
            </w:r>
            <w:r>
              <w:rPr>
                <w:rStyle w:val="normaltextrun"/>
                <w:rFonts w:ascii="Calibri" w:hAnsi="Calibri" w:cs="Calibri"/>
                <w:sz w:val="22"/>
                <w:szCs w:val="22"/>
              </w:rPr>
              <w:lastRenderedPageBreak/>
              <w:t xml:space="preserve">analyte-specific concentration categories.  </w:t>
            </w:r>
            <w:r w:rsidRPr="00B03C48">
              <w:rPr>
                <w:rStyle w:val="normaltextrun"/>
                <w:rFonts w:ascii="Calibri" w:hAnsi="Calibri" w:cs="Calibri"/>
                <w:sz w:val="22"/>
                <w:szCs w:val="22"/>
                <w:highlight w:val="yellow"/>
              </w:rPr>
              <w:t>The data produced in this step are not submitted to CDC.</w:t>
            </w:r>
            <w:r>
              <w:rPr>
                <w:rStyle w:val="eop"/>
                <w:rFonts w:ascii="Calibri" w:hAnsi="Calibri" w:cs="Calibri"/>
                <w:sz w:val="22"/>
                <w:szCs w:val="22"/>
              </w:rPr>
              <w:t> </w:t>
            </w:r>
          </w:p>
          <w:p w14:paraId="6095167B" w14:textId="27B61303" w:rsidR="0008779E" w:rsidRDefault="0008779E" w:rsidP="0008779E">
            <w:pPr>
              <w:pStyle w:val="paragraph"/>
              <w:textAlignment w:val="baseline"/>
            </w:pPr>
            <w:r>
              <w:rPr>
                <w:rStyle w:val="normaltextrun"/>
                <w:rFonts w:ascii="Calibri" w:hAnsi="Calibri" w:cs="Calibri"/>
                <w:sz w:val="22"/>
                <w:szCs w:val="22"/>
              </w:rPr>
              <w:t>Standard concentration categories have not been specified by CDC for each analyte</w:t>
            </w:r>
            <w:r w:rsidR="00FE25DB">
              <w:rPr>
                <w:rStyle w:val="normaltextrun"/>
                <w:rFonts w:ascii="Calibri" w:hAnsi="Calibri" w:cs="Calibri"/>
                <w:sz w:val="22"/>
                <w:szCs w:val="22"/>
              </w:rPr>
              <w:t>.</w:t>
            </w:r>
            <w:r>
              <w:rPr>
                <w:rStyle w:val="normaltextrun"/>
                <w:rFonts w:ascii="Calibri" w:hAnsi="Calibri" w:cs="Calibri"/>
                <w:sz w:val="22"/>
                <w:szCs w:val="22"/>
              </w:rPr>
              <w:t xml:space="preserve">  However, previous SAS indicator packages have suggested and used benchmarks relative to the regulatory Maximum Contaminant Level (MCL) for each analyte.  </w:t>
            </w:r>
            <w:commentRangeStart w:id="2"/>
            <w:r>
              <w:rPr>
                <w:rStyle w:val="normaltextrun"/>
                <w:rFonts w:ascii="Calibri" w:hAnsi="Calibri" w:cs="Calibri"/>
                <w:sz w:val="22"/>
                <w:szCs w:val="22"/>
              </w:rPr>
              <w:t>In practice, grantees and CDC have been afforded the option of choosing which analyte-specific concentration categories work best for them.</w:t>
            </w:r>
            <w:r>
              <w:rPr>
                <w:rStyle w:val="eop"/>
                <w:rFonts w:ascii="Calibri" w:hAnsi="Calibri" w:cs="Calibri"/>
                <w:sz w:val="22"/>
                <w:szCs w:val="22"/>
              </w:rPr>
              <w:t> </w:t>
            </w:r>
            <w:commentRangeEnd w:id="2"/>
            <w:r w:rsidR="00B03C48">
              <w:rPr>
                <w:rStyle w:val="CommentReference"/>
                <w:rFonts w:asciiTheme="minorHAnsi" w:eastAsiaTheme="minorHAnsi" w:hAnsiTheme="minorHAnsi" w:cstheme="minorBidi"/>
                <w:color w:val="262626" w:themeColor="text1" w:themeTint="D9"/>
              </w:rPr>
              <w:commentReference w:id="2"/>
            </w:r>
          </w:p>
          <w:p w14:paraId="528C48B2" w14:textId="77777777" w:rsidR="0008779E" w:rsidRDefault="0008779E" w:rsidP="0008779E">
            <w:pPr>
              <w:pStyle w:val="paragraph"/>
              <w:textAlignment w:val="baseline"/>
            </w:pPr>
            <w:r>
              <w:rPr>
                <w:rStyle w:val="normaltextrun"/>
                <w:rFonts w:ascii="Calibri" w:hAnsi="Calibri" w:cs="Calibri"/>
                <w:sz w:val="22"/>
                <w:szCs w:val="22"/>
              </w:rPr>
              <w:t>Listed below are the steps for producing State-level annual and quarterly NCDMs:</w:t>
            </w:r>
            <w:r>
              <w:rPr>
                <w:rStyle w:val="eop"/>
                <w:rFonts w:ascii="Calibri" w:hAnsi="Calibri" w:cs="Calibri"/>
                <w:sz w:val="22"/>
                <w:szCs w:val="22"/>
              </w:rPr>
              <w:t> </w:t>
            </w:r>
          </w:p>
          <w:p w14:paraId="6ACDB099" w14:textId="1D079808" w:rsidR="0008779E" w:rsidRDefault="0008779E" w:rsidP="0008779E">
            <w:pPr>
              <w:pStyle w:val="paragraph"/>
              <w:numPr>
                <w:ilvl w:val="0"/>
                <w:numId w:val="12"/>
              </w:numPr>
              <w:textAlignment w:val="baseline"/>
              <w:rPr>
                <w:rFonts w:ascii="Calibri" w:hAnsi="Calibri" w:cs="Calibri"/>
                <w:sz w:val="22"/>
                <w:szCs w:val="22"/>
              </w:rPr>
            </w:pPr>
            <w:r>
              <w:rPr>
                <w:rStyle w:val="normaltextrun"/>
                <w:rFonts w:ascii="Calibri" w:hAnsi="Calibri" w:cs="Calibri"/>
                <w:sz w:val="22"/>
                <w:szCs w:val="22"/>
              </w:rPr>
              <w:t>Joining the Inventory (</w:t>
            </w:r>
            <w:r>
              <w:rPr>
                <w:rStyle w:val="normaltextrun"/>
                <w:rFonts w:ascii="Calibri" w:hAnsi="Calibri" w:cs="Calibri"/>
                <w:color w:val="0000FF"/>
                <w:sz w:val="22"/>
                <w:szCs w:val="22"/>
                <w:u w:val="single"/>
              </w:rPr>
              <w:t xml:space="preserve">Step </w:t>
            </w:r>
            <w:proofErr w:type="spellStart"/>
            <w:r>
              <w:rPr>
                <w:rStyle w:val="spellingerror"/>
                <w:rFonts w:ascii="Calibri" w:hAnsi="Calibri" w:cs="Calibri"/>
                <w:color w:val="0000FF"/>
                <w:sz w:val="22"/>
                <w:szCs w:val="22"/>
                <w:u w:val="single"/>
              </w:rPr>
              <w:t>II.a</w:t>
            </w:r>
            <w:proofErr w:type="spellEnd"/>
            <w:r>
              <w:rPr>
                <w:rStyle w:val="normaltextrun"/>
                <w:rFonts w:ascii="Calibri" w:hAnsi="Calibri" w:cs="Calibri"/>
                <w:sz w:val="22"/>
                <w:szCs w:val="22"/>
              </w:rPr>
              <w:t xml:space="preserve">) and annual CWS-level records from the Water Quality dataset (see </w:t>
            </w:r>
            <w:r>
              <w:rPr>
                <w:rStyle w:val="normaltextrun"/>
                <w:rFonts w:ascii="Calibri" w:hAnsi="Calibri" w:cs="Calibri"/>
                <w:color w:val="0000FF"/>
                <w:sz w:val="22"/>
                <w:szCs w:val="22"/>
                <w:u w:val="single"/>
              </w:rPr>
              <w:t>Step II.b.</w:t>
            </w:r>
            <w:r w:rsidR="000F6F76">
              <w:rPr>
                <w:rStyle w:val="normaltextrun"/>
                <w:rFonts w:ascii="Calibri" w:hAnsi="Calibri" w:cs="Calibri"/>
                <w:color w:val="0000FF"/>
                <w:sz w:val="22"/>
                <w:szCs w:val="22"/>
                <w:u w:val="single"/>
              </w:rPr>
              <w:t>1</w:t>
            </w:r>
            <w:r>
              <w:rPr>
                <w:rStyle w:val="normaltextrun"/>
                <w:rFonts w:ascii="Calibri" w:hAnsi="Calibri" w:cs="Calibri"/>
                <w:sz w:val="22"/>
                <w:szCs w:val="22"/>
              </w:rPr>
              <w:t>) and grouping by: (1) analyte-specific concentration categories, (2) by all analytes, and (3) by all years, calculate State-level annual frequencies of CWS and summed population-served.  </w:t>
            </w:r>
            <w:r>
              <w:rPr>
                <w:rStyle w:val="eop"/>
                <w:rFonts w:ascii="Calibri" w:hAnsi="Calibri" w:cs="Calibri"/>
                <w:sz w:val="22"/>
                <w:szCs w:val="22"/>
              </w:rPr>
              <w:t> </w:t>
            </w:r>
          </w:p>
          <w:p w14:paraId="5995D1CF" w14:textId="476038FB" w:rsidR="002C2A4A" w:rsidRDefault="0008779E" w:rsidP="00690520">
            <w:r>
              <w:rPr>
                <w:rStyle w:val="normaltextrun"/>
                <w:rFonts w:ascii="Calibri" w:hAnsi="Calibri" w:cs="Calibri"/>
              </w:rPr>
              <w:t xml:space="preserve">In the same manner as </w:t>
            </w:r>
            <w:r>
              <w:rPr>
                <w:rStyle w:val="normaltextrun"/>
                <w:rFonts w:ascii="Calibri" w:hAnsi="Calibri" w:cs="Calibri"/>
                <w:color w:val="0000FF"/>
                <w:u w:val="single"/>
              </w:rPr>
              <w:t xml:space="preserve">Step </w:t>
            </w:r>
            <w:proofErr w:type="spellStart"/>
            <w:r>
              <w:rPr>
                <w:rStyle w:val="spellingerror"/>
                <w:rFonts w:ascii="Calibri" w:hAnsi="Calibri" w:cs="Calibri"/>
                <w:color w:val="0000FF"/>
                <w:u w:val="single"/>
              </w:rPr>
              <w:t>III.a</w:t>
            </w:r>
            <w:proofErr w:type="spellEnd"/>
            <w:r>
              <w:rPr>
                <w:rStyle w:val="normaltextrun"/>
                <w:rFonts w:ascii="Calibri" w:hAnsi="Calibri" w:cs="Calibri"/>
              </w:rPr>
              <w:t xml:space="preserve"> </w:t>
            </w:r>
            <w:proofErr w:type="gramStart"/>
            <w:r>
              <w:rPr>
                <w:rStyle w:val="normaltextrun"/>
                <w:rFonts w:ascii="Calibri" w:hAnsi="Calibri" w:cs="Calibri"/>
              </w:rPr>
              <w:t>above, and</w:t>
            </w:r>
            <w:proofErr w:type="gramEnd"/>
            <w:r>
              <w:rPr>
                <w:rStyle w:val="normaltextrun"/>
                <w:rFonts w:ascii="Calibri" w:hAnsi="Calibri" w:cs="Calibri"/>
              </w:rPr>
              <w:t xml:space="preserve"> using quarterly CWS-level records from the Water Quality dataset (see </w:t>
            </w:r>
            <w:r w:rsidRPr="00F110F1">
              <w:rPr>
                <w:rStyle w:val="normaltextrun"/>
                <w:rFonts w:ascii="Calibri" w:eastAsia="Times New Roman" w:hAnsi="Calibri" w:cs="Calibri"/>
                <w:color w:val="0000FF"/>
                <w:u w:val="single"/>
              </w:rPr>
              <w:t>Step II.b.</w:t>
            </w:r>
            <w:r w:rsidR="000F6F76" w:rsidRPr="00F110F1">
              <w:rPr>
                <w:rStyle w:val="normaltextrun"/>
                <w:rFonts w:ascii="Calibri" w:eastAsia="Times New Roman" w:hAnsi="Calibri" w:cs="Calibri"/>
                <w:color w:val="0000FF"/>
                <w:u w:val="single"/>
              </w:rPr>
              <w:t>2</w:t>
            </w:r>
            <w:r>
              <w:rPr>
                <w:rStyle w:val="normaltextrun"/>
                <w:rFonts w:ascii="Calibri" w:hAnsi="Calibri" w:cs="Calibri"/>
              </w:rPr>
              <w:t>), calculate state-level quarterly frequencies of CWS and summed population-served for Nitrate, Atrazine, TTHM, and HAA5 only.</w:t>
            </w:r>
            <w:r>
              <w:rPr>
                <w:rStyle w:val="eop"/>
                <w:rFonts w:ascii="Calibri" w:hAnsi="Calibri" w:cs="Calibri"/>
              </w:rPr>
              <w:t> </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F61D6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1332EF9A" w14:textId="19FEAA2F" w:rsidR="00053E85" w:rsidRDefault="0000353C" w:rsidP="00F110F1">
      <w:pPr>
        <w:pStyle w:val="Heading1"/>
        <w:spacing w:before="0" w:after="0" w:line="276" w:lineRule="auto"/>
        <w:ind w:right="-810"/>
      </w:pPr>
      <w:r>
        <w:t>Appendix</w:t>
      </w:r>
      <w:r w:rsidRPr="614E78C3">
        <w:t xml:space="preserve"> </w:t>
      </w:r>
      <w:r>
        <w:t>A – Sample staging Tables</w:t>
      </w:r>
      <w:r w:rsidRPr="00711329">
        <w:rPr>
          <w:rFonts w:ascii="Cambria" w:eastAsia="Times New Roman" w:hAnsi="Cambria" w:cs="Times New Roman"/>
          <w:b/>
          <w:bCs/>
          <w:i/>
          <w:iCs/>
          <w:color w:val="auto"/>
          <w:sz w:val="24"/>
          <w:szCs w:val="24"/>
        </w:rPr>
        <w:t>  </w:t>
      </w:r>
    </w:p>
    <w:p w14:paraId="458CF65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b/>
          <w:bCs/>
          <w:color w:val="auto"/>
          <w:sz w:val="24"/>
          <w:szCs w:val="24"/>
        </w:rPr>
      </w:pPr>
      <w:r w:rsidRPr="0000353C">
        <w:rPr>
          <w:rFonts w:ascii="Cambria" w:eastAsia="Times New Roman" w:hAnsi="Cambria" w:cs="Times New Roman"/>
          <w:b/>
          <w:bCs/>
          <w:color w:val="auto"/>
          <w:sz w:val="24"/>
          <w:szCs w:val="24"/>
        </w:rPr>
        <w:t>PWS Inventory  </w:t>
      </w:r>
    </w:p>
    <w:tbl>
      <w:tblPr>
        <w:tblW w:w="1412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2"/>
        <w:gridCol w:w="1170"/>
        <w:gridCol w:w="810"/>
        <w:gridCol w:w="1260"/>
        <w:gridCol w:w="1170"/>
        <w:gridCol w:w="990"/>
        <w:gridCol w:w="1108"/>
        <w:gridCol w:w="1109"/>
        <w:gridCol w:w="1383"/>
        <w:gridCol w:w="990"/>
        <w:gridCol w:w="1260"/>
        <w:gridCol w:w="1620"/>
      </w:tblGrid>
      <w:tr w:rsidR="00CD3324" w:rsidRPr="0000353C" w14:paraId="6833F677" w14:textId="77777777" w:rsidTr="006C3CED">
        <w:trPr>
          <w:trHeight w:val="789"/>
        </w:trPr>
        <w:tc>
          <w:tcPr>
            <w:tcW w:w="125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D2F35E"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PWSIDNumber</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76CF4AD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Associated to </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09771750"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Pulled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38C61F9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PWSName</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23B7DC26"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PrincipalCountyServedFIPS</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5F8558EC"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PrincipalCityFeatureID</w:t>
            </w:r>
            <w:proofErr w:type="spellEnd"/>
            <w:r w:rsidRPr="0000353C">
              <w:rPr>
                <w:rFonts w:ascii="Calibri" w:eastAsia="Times New Roman" w:hAnsi="Calibri" w:cs="Calibri"/>
                <w:color w:val="auto"/>
                <w:sz w:val="20"/>
                <w:szCs w:val="20"/>
              </w:rPr>
              <w:t> </w:t>
            </w:r>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19B13BA4"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TotalConnections</w:t>
            </w:r>
            <w:proofErr w:type="spellEnd"/>
            <w:r w:rsidRPr="0000353C">
              <w:rPr>
                <w:rFonts w:ascii="Calibri" w:eastAsia="Times New Roman" w:hAnsi="Calibri" w:cs="Calibri"/>
                <w:color w:val="auto"/>
                <w:sz w:val="20"/>
                <w:szCs w:val="20"/>
              </w:rPr>
              <w:t> </w:t>
            </w:r>
          </w:p>
        </w:tc>
        <w:tc>
          <w:tcPr>
            <w:tcW w:w="1109" w:type="dxa"/>
            <w:tcBorders>
              <w:top w:val="single" w:sz="6" w:space="0" w:color="auto"/>
              <w:left w:val="nil"/>
              <w:bottom w:val="single" w:sz="6" w:space="0" w:color="auto"/>
              <w:right w:val="single" w:sz="6" w:space="0" w:color="auto"/>
            </w:tcBorders>
            <w:shd w:val="clear" w:color="auto" w:fill="auto"/>
            <w:vAlign w:val="bottom"/>
            <w:hideMark/>
          </w:tcPr>
          <w:p w14:paraId="3F49B74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SystemPopulation</w:t>
            </w:r>
            <w:proofErr w:type="spellEnd"/>
            <w:r w:rsidRPr="0000353C">
              <w:rPr>
                <w:rFonts w:ascii="Calibri" w:eastAsia="Times New Roman" w:hAnsi="Calibri" w:cs="Calibri"/>
                <w:color w:val="auto"/>
                <w:sz w:val="20"/>
                <w:szCs w:val="20"/>
              </w:rPr>
              <w:t> </w:t>
            </w:r>
          </w:p>
        </w:tc>
        <w:tc>
          <w:tcPr>
            <w:tcW w:w="1383" w:type="dxa"/>
            <w:tcBorders>
              <w:top w:val="single" w:sz="6" w:space="0" w:color="auto"/>
              <w:left w:val="nil"/>
              <w:bottom w:val="single" w:sz="6" w:space="0" w:color="auto"/>
              <w:right w:val="single" w:sz="6" w:space="0" w:color="auto"/>
            </w:tcBorders>
            <w:shd w:val="clear" w:color="auto" w:fill="auto"/>
            <w:vAlign w:val="bottom"/>
            <w:hideMark/>
          </w:tcPr>
          <w:p w14:paraId="0A0806B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PrimarySourceCode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70F5721D"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Latitude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1327BD1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Longitude </w:t>
            </w:r>
          </w:p>
        </w:tc>
        <w:tc>
          <w:tcPr>
            <w:tcW w:w="1620" w:type="dxa"/>
            <w:tcBorders>
              <w:top w:val="single" w:sz="6" w:space="0" w:color="auto"/>
              <w:left w:val="nil"/>
              <w:bottom w:val="single" w:sz="6" w:space="0" w:color="auto"/>
              <w:right w:val="single" w:sz="6" w:space="0" w:color="auto"/>
            </w:tcBorders>
            <w:shd w:val="clear" w:color="auto" w:fill="auto"/>
            <w:vAlign w:val="bottom"/>
            <w:hideMark/>
          </w:tcPr>
          <w:p w14:paraId="768F080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LocationDerivationCode</w:t>
            </w:r>
            <w:proofErr w:type="spellEnd"/>
            <w:r w:rsidRPr="0000353C">
              <w:rPr>
                <w:rFonts w:ascii="Calibri" w:eastAsia="Times New Roman" w:hAnsi="Calibri" w:cs="Calibri"/>
                <w:color w:val="auto"/>
                <w:sz w:val="20"/>
                <w:szCs w:val="20"/>
              </w:rPr>
              <w:t> </w:t>
            </w:r>
          </w:p>
        </w:tc>
      </w:tr>
      <w:tr w:rsidR="00CD3324" w:rsidRPr="0000353C" w14:paraId="5B87C5BE"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2C83323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NH1234567 </w:t>
            </w:r>
          </w:p>
        </w:tc>
        <w:tc>
          <w:tcPr>
            <w:tcW w:w="1170" w:type="dxa"/>
            <w:tcBorders>
              <w:top w:val="nil"/>
              <w:left w:val="nil"/>
              <w:bottom w:val="single" w:sz="6" w:space="0" w:color="auto"/>
              <w:right w:val="single" w:sz="6" w:space="0" w:color="auto"/>
            </w:tcBorders>
            <w:shd w:val="clear" w:color="auto" w:fill="auto"/>
            <w:hideMark/>
          </w:tcPr>
          <w:p w14:paraId="402AFD11" w14:textId="1B0F35AF"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18A3F187" w14:textId="47CDC837"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64757F6A"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wild acres development </w:t>
            </w:r>
          </w:p>
        </w:tc>
        <w:tc>
          <w:tcPr>
            <w:tcW w:w="1170" w:type="dxa"/>
            <w:tcBorders>
              <w:top w:val="nil"/>
              <w:left w:val="nil"/>
              <w:bottom w:val="single" w:sz="6" w:space="0" w:color="auto"/>
              <w:right w:val="single" w:sz="6" w:space="0" w:color="auto"/>
            </w:tcBorders>
            <w:shd w:val="clear" w:color="auto" w:fill="auto"/>
            <w:hideMark/>
          </w:tcPr>
          <w:p w14:paraId="0AA5E844" w14:textId="45DA8AB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33003</w:t>
            </w:r>
          </w:p>
        </w:tc>
        <w:tc>
          <w:tcPr>
            <w:tcW w:w="990" w:type="dxa"/>
            <w:tcBorders>
              <w:top w:val="nil"/>
              <w:left w:val="nil"/>
              <w:bottom w:val="single" w:sz="6" w:space="0" w:color="auto"/>
              <w:right w:val="single" w:sz="6" w:space="0" w:color="auto"/>
            </w:tcBorders>
            <w:shd w:val="clear" w:color="auto" w:fill="auto"/>
            <w:hideMark/>
          </w:tcPr>
          <w:p w14:paraId="19CC3B9E" w14:textId="6C09537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873526</w:t>
            </w:r>
          </w:p>
        </w:tc>
        <w:tc>
          <w:tcPr>
            <w:tcW w:w="1108" w:type="dxa"/>
            <w:tcBorders>
              <w:top w:val="nil"/>
              <w:left w:val="nil"/>
              <w:bottom w:val="single" w:sz="6" w:space="0" w:color="auto"/>
              <w:right w:val="single" w:sz="6" w:space="0" w:color="auto"/>
            </w:tcBorders>
            <w:shd w:val="clear" w:color="auto" w:fill="auto"/>
            <w:hideMark/>
          </w:tcPr>
          <w:p w14:paraId="4B17D7BE" w14:textId="3CD30DA3"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375</w:t>
            </w:r>
          </w:p>
        </w:tc>
        <w:tc>
          <w:tcPr>
            <w:tcW w:w="1109" w:type="dxa"/>
            <w:tcBorders>
              <w:top w:val="nil"/>
              <w:left w:val="nil"/>
              <w:bottom w:val="single" w:sz="6" w:space="0" w:color="auto"/>
              <w:right w:val="single" w:sz="6" w:space="0" w:color="auto"/>
            </w:tcBorders>
            <w:shd w:val="clear" w:color="auto" w:fill="auto"/>
            <w:hideMark/>
          </w:tcPr>
          <w:p w14:paraId="6CBC6877" w14:textId="07BEFC2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750</w:t>
            </w:r>
          </w:p>
        </w:tc>
        <w:tc>
          <w:tcPr>
            <w:tcW w:w="1383" w:type="dxa"/>
            <w:tcBorders>
              <w:top w:val="nil"/>
              <w:left w:val="nil"/>
              <w:bottom w:val="single" w:sz="6" w:space="0" w:color="auto"/>
              <w:right w:val="single" w:sz="6" w:space="0" w:color="auto"/>
            </w:tcBorders>
            <w:shd w:val="clear" w:color="auto" w:fill="auto"/>
            <w:hideMark/>
          </w:tcPr>
          <w:p w14:paraId="13009246" w14:textId="44DC71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SWP</w:t>
            </w:r>
          </w:p>
        </w:tc>
        <w:tc>
          <w:tcPr>
            <w:tcW w:w="990" w:type="dxa"/>
            <w:tcBorders>
              <w:top w:val="nil"/>
              <w:left w:val="nil"/>
              <w:bottom w:val="single" w:sz="6" w:space="0" w:color="auto"/>
              <w:right w:val="single" w:sz="6" w:space="0" w:color="auto"/>
            </w:tcBorders>
            <w:shd w:val="clear" w:color="auto" w:fill="auto"/>
            <w:hideMark/>
          </w:tcPr>
          <w:p w14:paraId="17F8306B" w14:textId="737060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44.1467</w:t>
            </w:r>
          </w:p>
        </w:tc>
        <w:tc>
          <w:tcPr>
            <w:tcW w:w="1260" w:type="dxa"/>
            <w:tcBorders>
              <w:top w:val="nil"/>
              <w:left w:val="nil"/>
              <w:bottom w:val="single" w:sz="6" w:space="0" w:color="auto"/>
              <w:right w:val="single" w:sz="6" w:space="0" w:color="auto"/>
            </w:tcBorders>
            <w:shd w:val="clear" w:color="auto" w:fill="auto"/>
            <w:hideMark/>
          </w:tcPr>
          <w:p w14:paraId="27663A0F" w14:textId="3934EFB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-72.5537</w:t>
            </w:r>
          </w:p>
        </w:tc>
        <w:tc>
          <w:tcPr>
            <w:tcW w:w="1620" w:type="dxa"/>
            <w:tcBorders>
              <w:top w:val="nil"/>
              <w:left w:val="nil"/>
              <w:bottom w:val="single" w:sz="6" w:space="0" w:color="auto"/>
              <w:right w:val="single" w:sz="6" w:space="0" w:color="auto"/>
            </w:tcBorders>
            <w:shd w:val="clear" w:color="auto" w:fill="auto"/>
            <w:hideMark/>
          </w:tcPr>
          <w:p w14:paraId="17CE2C57" w14:textId="3EDE22D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SA</w:t>
            </w:r>
          </w:p>
        </w:tc>
      </w:tr>
      <w:tr w:rsidR="00CD3324" w:rsidRPr="0000353C" w14:paraId="0C8EB9D8"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02B9F673"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NH0023010 </w:t>
            </w:r>
          </w:p>
        </w:tc>
        <w:tc>
          <w:tcPr>
            <w:tcW w:w="1170" w:type="dxa"/>
            <w:tcBorders>
              <w:top w:val="nil"/>
              <w:left w:val="nil"/>
              <w:bottom w:val="single" w:sz="6" w:space="0" w:color="auto"/>
              <w:right w:val="single" w:sz="6" w:space="0" w:color="auto"/>
            </w:tcBorders>
            <w:shd w:val="clear" w:color="auto" w:fill="auto"/>
            <w:hideMark/>
          </w:tcPr>
          <w:p w14:paraId="333046E3" w14:textId="3C86CBA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36285CEF" w14:textId="1E628D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458201F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green pine mobile home park </w:t>
            </w:r>
          </w:p>
        </w:tc>
        <w:tc>
          <w:tcPr>
            <w:tcW w:w="1170" w:type="dxa"/>
            <w:tcBorders>
              <w:top w:val="nil"/>
              <w:left w:val="nil"/>
              <w:bottom w:val="single" w:sz="6" w:space="0" w:color="auto"/>
              <w:right w:val="single" w:sz="6" w:space="0" w:color="auto"/>
            </w:tcBorders>
            <w:shd w:val="clear" w:color="auto" w:fill="auto"/>
            <w:hideMark/>
          </w:tcPr>
          <w:p w14:paraId="2792ED20" w14:textId="57FA6B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33019</w:t>
            </w:r>
          </w:p>
        </w:tc>
        <w:tc>
          <w:tcPr>
            <w:tcW w:w="990" w:type="dxa"/>
            <w:tcBorders>
              <w:top w:val="nil"/>
              <w:left w:val="nil"/>
              <w:bottom w:val="single" w:sz="6" w:space="0" w:color="auto"/>
              <w:right w:val="single" w:sz="6" w:space="0" w:color="auto"/>
            </w:tcBorders>
            <w:shd w:val="clear" w:color="auto" w:fill="auto"/>
            <w:hideMark/>
          </w:tcPr>
          <w:p w14:paraId="4A9FB087" w14:textId="3CFCE15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873525</w:t>
            </w:r>
          </w:p>
        </w:tc>
        <w:tc>
          <w:tcPr>
            <w:tcW w:w="1108" w:type="dxa"/>
            <w:tcBorders>
              <w:top w:val="nil"/>
              <w:left w:val="nil"/>
              <w:bottom w:val="single" w:sz="6" w:space="0" w:color="auto"/>
              <w:right w:val="single" w:sz="6" w:space="0" w:color="auto"/>
            </w:tcBorders>
            <w:shd w:val="clear" w:color="auto" w:fill="auto"/>
            <w:hideMark/>
          </w:tcPr>
          <w:p w14:paraId="6B4404F4" w14:textId="4C5D3CF0"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100</w:t>
            </w:r>
          </w:p>
        </w:tc>
        <w:tc>
          <w:tcPr>
            <w:tcW w:w="1109" w:type="dxa"/>
            <w:tcBorders>
              <w:top w:val="nil"/>
              <w:left w:val="nil"/>
              <w:bottom w:val="single" w:sz="6" w:space="0" w:color="auto"/>
              <w:right w:val="single" w:sz="6" w:space="0" w:color="auto"/>
            </w:tcBorders>
            <w:shd w:val="clear" w:color="auto" w:fill="auto"/>
            <w:hideMark/>
          </w:tcPr>
          <w:p w14:paraId="2B7F03A5" w14:textId="2FF7B2D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200</w:t>
            </w:r>
          </w:p>
        </w:tc>
        <w:tc>
          <w:tcPr>
            <w:tcW w:w="1383" w:type="dxa"/>
            <w:tcBorders>
              <w:top w:val="nil"/>
              <w:left w:val="nil"/>
              <w:bottom w:val="single" w:sz="6" w:space="0" w:color="auto"/>
              <w:right w:val="single" w:sz="6" w:space="0" w:color="auto"/>
            </w:tcBorders>
            <w:shd w:val="clear" w:color="auto" w:fill="auto"/>
            <w:hideMark/>
          </w:tcPr>
          <w:p w14:paraId="42BBA649" w14:textId="4C94619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GW</w:t>
            </w:r>
          </w:p>
        </w:tc>
        <w:tc>
          <w:tcPr>
            <w:tcW w:w="990" w:type="dxa"/>
            <w:tcBorders>
              <w:top w:val="nil"/>
              <w:left w:val="nil"/>
              <w:bottom w:val="single" w:sz="6" w:space="0" w:color="auto"/>
              <w:right w:val="single" w:sz="6" w:space="0" w:color="auto"/>
            </w:tcBorders>
            <w:shd w:val="clear" w:color="auto" w:fill="auto"/>
            <w:hideMark/>
          </w:tcPr>
          <w:p w14:paraId="33E71417" w14:textId="6AEC662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42.9725</w:t>
            </w:r>
          </w:p>
        </w:tc>
        <w:tc>
          <w:tcPr>
            <w:tcW w:w="1260" w:type="dxa"/>
            <w:tcBorders>
              <w:top w:val="nil"/>
              <w:left w:val="nil"/>
              <w:bottom w:val="single" w:sz="6" w:space="0" w:color="auto"/>
              <w:right w:val="single" w:sz="6" w:space="0" w:color="auto"/>
            </w:tcBorders>
            <w:shd w:val="clear" w:color="auto" w:fill="auto"/>
            <w:hideMark/>
          </w:tcPr>
          <w:p w14:paraId="42FA7A77" w14:textId="0A16E4C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-71.4385</w:t>
            </w:r>
          </w:p>
        </w:tc>
        <w:tc>
          <w:tcPr>
            <w:tcW w:w="1620" w:type="dxa"/>
            <w:tcBorders>
              <w:top w:val="nil"/>
              <w:left w:val="nil"/>
              <w:bottom w:val="single" w:sz="6" w:space="0" w:color="auto"/>
              <w:right w:val="single" w:sz="6" w:space="0" w:color="auto"/>
            </w:tcBorders>
            <w:shd w:val="clear" w:color="auto" w:fill="auto"/>
            <w:hideMark/>
          </w:tcPr>
          <w:p w14:paraId="1E390558" w14:textId="2B5318E2"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MFL</w:t>
            </w:r>
          </w:p>
        </w:tc>
      </w:tr>
    </w:tbl>
    <w:p w14:paraId="6B69F693" w14:textId="69F308DC" w:rsidR="0000353C" w:rsidRPr="0000353C" w:rsidRDefault="0000353C" w:rsidP="000A07B4">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00353C">
        <w:rPr>
          <w:rFonts w:ascii="Times New Roman" w:eastAsia="Times New Roman" w:hAnsi="Times New Roman" w:cs="Times New Roman"/>
          <w:b/>
          <w:bCs/>
          <w:color w:val="auto"/>
          <w:sz w:val="24"/>
          <w:szCs w:val="24"/>
        </w:rPr>
        <w:t>Sampling Results</w:t>
      </w:r>
    </w:p>
    <w:tbl>
      <w:tblPr>
        <w:tblW w:w="1005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1"/>
        <w:gridCol w:w="1171"/>
        <w:gridCol w:w="810"/>
        <w:gridCol w:w="954"/>
        <w:gridCol w:w="650"/>
        <w:gridCol w:w="1238"/>
        <w:gridCol w:w="1663"/>
        <w:gridCol w:w="1108"/>
        <w:gridCol w:w="1213"/>
      </w:tblGrid>
      <w:tr w:rsidR="00B1282C" w:rsidRPr="0000353C" w14:paraId="2A509DA6" w14:textId="77777777" w:rsidTr="00B1282C">
        <w:trPr>
          <w:trHeight w:val="627"/>
        </w:trPr>
        <w:tc>
          <w:tcPr>
            <w:tcW w:w="125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255C76" w14:textId="00B2CA4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State FIPS code</w:t>
            </w:r>
          </w:p>
        </w:tc>
        <w:tc>
          <w:tcPr>
            <w:tcW w:w="1171" w:type="dxa"/>
            <w:tcBorders>
              <w:top w:val="single" w:sz="6" w:space="0" w:color="auto"/>
              <w:left w:val="nil"/>
              <w:bottom w:val="single" w:sz="6" w:space="0" w:color="auto"/>
              <w:right w:val="single" w:sz="6" w:space="0" w:color="auto"/>
            </w:tcBorders>
            <w:shd w:val="clear" w:color="auto" w:fill="auto"/>
            <w:vAlign w:val="bottom"/>
            <w:hideMark/>
          </w:tcPr>
          <w:p w14:paraId="43590CD5" w14:textId="66060F4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PWSID</w:t>
            </w:r>
          </w:p>
          <w:p w14:paraId="4A4E2BC8" w14:textId="1184232F"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Number</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79434C6C" w14:textId="1546769A"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5D7CE49" w14:textId="4B40B21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Year</w:t>
            </w:r>
          </w:p>
        </w:tc>
        <w:tc>
          <w:tcPr>
            <w:tcW w:w="954" w:type="dxa"/>
            <w:tcBorders>
              <w:top w:val="single" w:sz="6" w:space="0" w:color="auto"/>
              <w:left w:val="nil"/>
              <w:bottom w:val="single" w:sz="6" w:space="0" w:color="auto"/>
              <w:right w:val="single" w:sz="6" w:space="0" w:color="auto"/>
            </w:tcBorders>
            <w:shd w:val="clear" w:color="auto" w:fill="auto"/>
            <w:vAlign w:val="bottom"/>
            <w:hideMark/>
          </w:tcPr>
          <w:p w14:paraId="63119485" w14:textId="0BFCB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Date</w:t>
            </w:r>
          </w:p>
          <w:p w14:paraId="347B8F87" w14:textId="79C7123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Sampled</w:t>
            </w:r>
          </w:p>
        </w:tc>
        <w:tc>
          <w:tcPr>
            <w:tcW w:w="650" w:type="dxa"/>
            <w:tcBorders>
              <w:top w:val="single" w:sz="6" w:space="0" w:color="auto"/>
              <w:left w:val="nil"/>
              <w:bottom w:val="single" w:sz="6" w:space="0" w:color="auto"/>
              <w:right w:val="single" w:sz="6" w:space="0" w:color="auto"/>
            </w:tcBorders>
            <w:shd w:val="clear" w:color="auto" w:fill="auto"/>
            <w:vAlign w:val="bottom"/>
            <w:hideMark/>
          </w:tcPr>
          <w:p w14:paraId="7D87BD5B" w14:textId="7657FD4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Analyte Code</w:t>
            </w:r>
          </w:p>
        </w:tc>
        <w:tc>
          <w:tcPr>
            <w:tcW w:w="1238" w:type="dxa"/>
            <w:tcBorders>
              <w:top w:val="single" w:sz="6" w:space="0" w:color="auto"/>
              <w:left w:val="nil"/>
              <w:bottom w:val="single" w:sz="6" w:space="0" w:color="auto"/>
              <w:right w:val="single" w:sz="6" w:space="0" w:color="auto"/>
            </w:tcBorders>
            <w:shd w:val="clear" w:color="auto" w:fill="auto"/>
            <w:vAlign w:val="bottom"/>
            <w:hideMark/>
          </w:tcPr>
          <w:p w14:paraId="5B785182" w14:textId="289D750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Concentration</w:t>
            </w:r>
          </w:p>
        </w:tc>
        <w:tc>
          <w:tcPr>
            <w:tcW w:w="1663" w:type="dxa"/>
            <w:tcBorders>
              <w:top w:val="single" w:sz="6" w:space="0" w:color="auto"/>
              <w:left w:val="nil"/>
              <w:bottom w:val="single" w:sz="6" w:space="0" w:color="auto"/>
              <w:right w:val="single" w:sz="6" w:space="0" w:color="auto"/>
            </w:tcBorders>
            <w:shd w:val="clear" w:color="auto" w:fill="auto"/>
            <w:vAlign w:val="bottom"/>
            <w:hideMark/>
          </w:tcPr>
          <w:p w14:paraId="31DBC5F7" w14:textId="3BA033C9"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ConcentrationUnits</w:t>
            </w:r>
            <w:proofErr w:type="spellEnd"/>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7702D416" w14:textId="482F9B94"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Aggregation Type</w:t>
            </w:r>
          </w:p>
        </w:tc>
        <w:tc>
          <w:tcPr>
            <w:tcW w:w="1213" w:type="dxa"/>
            <w:tcBorders>
              <w:top w:val="single" w:sz="6" w:space="0" w:color="auto"/>
              <w:left w:val="nil"/>
              <w:bottom w:val="single" w:sz="6" w:space="0" w:color="auto"/>
              <w:right w:val="single" w:sz="6" w:space="0" w:color="auto"/>
            </w:tcBorders>
            <w:shd w:val="clear" w:color="auto" w:fill="auto"/>
            <w:vAlign w:val="bottom"/>
            <w:hideMark/>
          </w:tcPr>
          <w:p w14:paraId="7D6517D7" w14:textId="1F3C0690"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NumSampling</w:t>
            </w:r>
            <w:proofErr w:type="spellEnd"/>
            <w:r w:rsidRPr="0000353C">
              <w:rPr>
                <w:rFonts w:eastAsia="Times New Roman" w:cstheme="minorHAnsi"/>
                <w:color w:val="auto"/>
                <w:sz w:val="20"/>
                <w:szCs w:val="20"/>
              </w:rPr>
              <w:t xml:space="preserve"> Locations</w:t>
            </w:r>
          </w:p>
        </w:tc>
      </w:tr>
      <w:tr w:rsidR="00B1282C" w:rsidRPr="0000353C" w14:paraId="55842196"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1BCBD99"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33 </w:t>
            </w:r>
          </w:p>
        </w:tc>
        <w:tc>
          <w:tcPr>
            <w:tcW w:w="1171" w:type="dxa"/>
            <w:tcBorders>
              <w:top w:val="nil"/>
              <w:left w:val="nil"/>
              <w:bottom w:val="single" w:sz="6" w:space="0" w:color="auto"/>
              <w:right w:val="single" w:sz="6" w:space="0" w:color="auto"/>
            </w:tcBorders>
            <w:shd w:val="clear" w:color="auto" w:fill="auto"/>
            <w:hideMark/>
          </w:tcPr>
          <w:p w14:paraId="70C27DAE"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705C7A03" w14:textId="3D4B534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2001</w:t>
            </w:r>
          </w:p>
        </w:tc>
        <w:tc>
          <w:tcPr>
            <w:tcW w:w="954" w:type="dxa"/>
            <w:tcBorders>
              <w:top w:val="nil"/>
              <w:left w:val="nil"/>
              <w:bottom w:val="single" w:sz="6" w:space="0" w:color="auto"/>
              <w:right w:val="single" w:sz="6" w:space="0" w:color="auto"/>
            </w:tcBorders>
            <w:shd w:val="clear" w:color="auto" w:fill="auto"/>
            <w:hideMark/>
          </w:tcPr>
          <w:p w14:paraId="26C1C465"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11/28/2001 </w:t>
            </w:r>
          </w:p>
        </w:tc>
        <w:tc>
          <w:tcPr>
            <w:tcW w:w="650" w:type="dxa"/>
            <w:tcBorders>
              <w:top w:val="nil"/>
              <w:left w:val="nil"/>
              <w:bottom w:val="single" w:sz="6" w:space="0" w:color="auto"/>
              <w:right w:val="single" w:sz="6" w:space="0" w:color="auto"/>
            </w:tcBorders>
            <w:shd w:val="clear" w:color="auto" w:fill="auto"/>
            <w:hideMark/>
          </w:tcPr>
          <w:p w14:paraId="514BBCF1" w14:textId="2DEE5C3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1040</w:t>
            </w:r>
          </w:p>
        </w:tc>
        <w:tc>
          <w:tcPr>
            <w:tcW w:w="1238" w:type="dxa"/>
            <w:tcBorders>
              <w:top w:val="nil"/>
              <w:left w:val="nil"/>
              <w:bottom w:val="single" w:sz="6" w:space="0" w:color="auto"/>
              <w:right w:val="single" w:sz="6" w:space="0" w:color="auto"/>
            </w:tcBorders>
            <w:shd w:val="clear" w:color="auto" w:fill="auto"/>
            <w:hideMark/>
          </w:tcPr>
          <w:p w14:paraId="619C55AC" w14:textId="2C55443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0</w:t>
            </w:r>
          </w:p>
        </w:tc>
        <w:tc>
          <w:tcPr>
            <w:tcW w:w="1663" w:type="dxa"/>
            <w:tcBorders>
              <w:top w:val="nil"/>
              <w:left w:val="nil"/>
              <w:bottom w:val="single" w:sz="6" w:space="0" w:color="auto"/>
              <w:right w:val="single" w:sz="6" w:space="0" w:color="auto"/>
            </w:tcBorders>
            <w:shd w:val="clear" w:color="auto" w:fill="auto"/>
            <w:hideMark/>
          </w:tcPr>
          <w:p w14:paraId="458F8572" w14:textId="5E2794D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mg/L</w:t>
            </w:r>
          </w:p>
        </w:tc>
        <w:tc>
          <w:tcPr>
            <w:tcW w:w="1108" w:type="dxa"/>
            <w:tcBorders>
              <w:top w:val="nil"/>
              <w:left w:val="nil"/>
              <w:bottom w:val="single" w:sz="6" w:space="0" w:color="auto"/>
              <w:right w:val="single" w:sz="6" w:space="0" w:color="auto"/>
            </w:tcBorders>
            <w:shd w:val="clear" w:color="auto" w:fill="auto"/>
            <w:hideMark/>
          </w:tcPr>
          <w:p w14:paraId="7FD1D55F" w14:textId="1598C68B"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FF38DC1" w14:textId="630DD6B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Mean</w:t>
            </w:r>
          </w:p>
        </w:tc>
        <w:tc>
          <w:tcPr>
            <w:tcW w:w="1213" w:type="dxa"/>
            <w:tcBorders>
              <w:top w:val="nil"/>
              <w:left w:val="nil"/>
              <w:bottom w:val="single" w:sz="6" w:space="0" w:color="auto"/>
              <w:right w:val="single" w:sz="6" w:space="0" w:color="auto"/>
            </w:tcBorders>
            <w:shd w:val="clear" w:color="auto" w:fill="auto"/>
            <w:hideMark/>
          </w:tcPr>
          <w:p w14:paraId="2D9202DA" w14:textId="24F35E29"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42107029"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490960C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07D220E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23455F17" w14:textId="0DC716F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2002</w:t>
            </w:r>
          </w:p>
        </w:tc>
        <w:tc>
          <w:tcPr>
            <w:tcW w:w="954" w:type="dxa"/>
            <w:tcBorders>
              <w:top w:val="nil"/>
              <w:left w:val="nil"/>
              <w:bottom w:val="single" w:sz="6" w:space="0" w:color="auto"/>
              <w:right w:val="single" w:sz="6" w:space="0" w:color="auto"/>
            </w:tcBorders>
            <w:shd w:val="clear" w:color="auto" w:fill="auto"/>
            <w:hideMark/>
          </w:tcPr>
          <w:p w14:paraId="375DC40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10/9/2002 </w:t>
            </w:r>
          </w:p>
        </w:tc>
        <w:tc>
          <w:tcPr>
            <w:tcW w:w="650" w:type="dxa"/>
            <w:tcBorders>
              <w:top w:val="nil"/>
              <w:left w:val="nil"/>
              <w:bottom w:val="single" w:sz="6" w:space="0" w:color="auto"/>
              <w:right w:val="single" w:sz="6" w:space="0" w:color="auto"/>
            </w:tcBorders>
            <w:shd w:val="clear" w:color="auto" w:fill="auto"/>
            <w:hideMark/>
          </w:tcPr>
          <w:p w14:paraId="71C6836C" w14:textId="2770146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1005</w:t>
            </w:r>
          </w:p>
        </w:tc>
        <w:tc>
          <w:tcPr>
            <w:tcW w:w="1238" w:type="dxa"/>
            <w:tcBorders>
              <w:top w:val="nil"/>
              <w:left w:val="nil"/>
              <w:bottom w:val="single" w:sz="6" w:space="0" w:color="auto"/>
              <w:right w:val="single" w:sz="6" w:space="0" w:color="auto"/>
            </w:tcBorders>
            <w:shd w:val="clear" w:color="auto" w:fill="auto"/>
            <w:hideMark/>
          </w:tcPr>
          <w:p w14:paraId="67ACA95D" w14:textId="11CB6E2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5</w:t>
            </w:r>
          </w:p>
        </w:tc>
        <w:tc>
          <w:tcPr>
            <w:tcW w:w="1663" w:type="dxa"/>
            <w:tcBorders>
              <w:top w:val="nil"/>
              <w:left w:val="nil"/>
              <w:bottom w:val="single" w:sz="6" w:space="0" w:color="auto"/>
              <w:right w:val="single" w:sz="6" w:space="0" w:color="auto"/>
            </w:tcBorders>
            <w:shd w:val="clear" w:color="auto" w:fill="auto"/>
            <w:hideMark/>
          </w:tcPr>
          <w:p w14:paraId="65EA3A9C" w14:textId="444E0452"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5BF452B" w14:textId="47DB0D7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Maximum</w:t>
            </w:r>
          </w:p>
        </w:tc>
        <w:tc>
          <w:tcPr>
            <w:tcW w:w="1213" w:type="dxa"/>
            <w:tcBorders>
              <w:top w:val="nil"/>
              <w:left w:val="nil"/>
              <w:bottom w:val="single" w:sz="6" w:space="0" w:color="auto"/>
              <w:right w:val="single" w:sz="6" w:space="0" w:color="auto"/>
            </w:tcBorders>
            <w:shd w:val="clear" w:color="auto" w:fill="auto"/>
            <w:hideMark/>
          </w:tcPr>
          <w:p w14:paraId="55CD5A5C" w14:textId="399FCA92"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8AA10D7"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0BABAE9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5455743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6D58B6B3" w14:textId="29C9272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2003</w:t>
            </w:r>
          </w:p>
        </w:tc>
        <w:tc>
          <w:tcPr>
            <w:tcW w:w="954" w:type="dxa"/>
            <w:tcBorders>
              <w:top w:val="nil"/>
              <w:left w:val="nil"/>
              <w:bottom w:val="single" w:sz="6" w:space="0" w:color="auto"/>
              <w:right w:val="single" w:sz="6" w:space="0" w:color="auto"/>
            </w:tcBorders>
            <w:shd w:val="clear" w:color="auto" w:fill="auto"/>
            <w:hideMark/>
          </w:tcPr>
          <w:p w14:paraId="7F65E4DD"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10/28/2003 </w:t>
            </w:r>
          </w:p>
        </w:tc>
        <w:tc>
          <w:tcPr>
            <w:tcW w:w="650" w:type="dxa"/>
            <w:tcBorders>
              <w:top w:val="nil"/>
              <w:left w:val="nil"/>
              <w:bottom w:val="single" w:sz="6" w:space="0" w:color="auto"/>
              <w:right w:val="single" w:sz="6" w:space="0" w:color="auto"/>
            </w:tcBorders>
            <w:shd w:val="clear" w:color="auto" w:fill="auto"/>
            <w:hideMark/>
          </w:tcPr>
          <w:p w14:paraId="2EA0030E" w14:textId="422B1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2950</w:t>
            </w:r>
          </w:p>
        </w:tc>
        <w:tc>
          <w:tcPr>
            <w:tcW w:w="1238" w:type="dxa"/>
            <w:tcBorders>
              <w:top w:val="nil"/>
              <w:left w:val="nil"/>
              <w:bottom w:val="single" w:sz="6" w:space="0" w:color="auto"/>
              <w:right w:val="single" w:sz="6" w:space="0" w:color="auto"/>
            </w:tcBorders>
            <w:shd w:val="clear" w:color="auto" w:fill="auto"/>
            <w:hideMark/>
          </w:tcPr>
          <w:p w14:paraId="4BA20BF3" w14:textId="0AE016D6"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15</w:t>
            </w:r>
          </w:p>
        </w:tc>
        <w:tc>
          <w:tcPr>
            <w:tcW w:w="1663" w:type="dxa"/>
            <w:tcBorders>
              <w:top w:val="nil"/>
              <w:left w:val="nil"/>
              <w:bottom w:val="single" w:sz="6" w:space="0" w:color="auto"/>
              <w:right w:val="single" w:sz="6" w:space="0" w:color="auto"/>
            </w:tcBorders>
            <w:shd w:val="clear" w:color="auto" w:fill="auto"/>
            <w:hideMark/>
          </w:tcPr>
          <w:p w14:paraId="22B14E48" w14:textId="51D8C9B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2537A966" w14:textId="6E040D55"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636A862B" w14:textId="2C806885"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BE830AD"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F54CD3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7350966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75A70A3D" w14:textId="24F09F3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2004</w:t>
            </w:r>
          </w:p>
        </w:tc>
        <w:tc>
          <w:tcPr>
            <w:tcW w:w="954" w:type="dxa"/>
            <w:tcBorders>
              <w:top w:val="nil"/>
              <w:left w:val="nil"/>
              <w:bottom w:val="single" w:sz="6" w:space="0" w:color="auto"/>
              <w:right w:val="single" w:sz="6" w:space="0" w:color="auto"/>
            </w:tcBorders>
            <w:shd w:val="clear" w:color="auto" w:fill="auto"/>
            <w:hideMark/>
          </w:tcPr>
          <w:p w14:paraId="2440CD1C"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10/25/2004 </w:t>
            </w:r>
          </w:p>
        </w:tc>
        <w:tc>
          <w:tcPr>
            <w:tcW w:w="650" w:type="dxa"/>
            <w:tcBorders>
              <w:top w:val="nil"/>
              <w:left w:val="nil"/>
              <w:bottom w:val="single" w:sz="6" w:space="0" w:color="auto"/>
              <w:right w:val="single" w:sz="6" w:space="0" w:color="auto"/>
            </w:tcBorders>
            <w:shd w:val="clear" w:color="auto" w:fill="auto"/>
            <w:hideMark/>
          </w:tcPr>
          <w:p w14:paraId="344A0EED" w14:textId="55368CD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2456</w:t>
            </w:r>
          </w:p>
        </w:tc>
        <w:tc>
          <w:tcPr>
            <w:tcW w:w="1238" w:type="dxa"/>
            <w:tcBorders>
              <w:top w:val="nil"/>
              <w:left w:val="nil"/>
              <w:bottom w:val="single" w:sz="6" w:space="0" w:color="auto"/>
              <w:right w:val="single" w:sz="6" w:space="0" w:color="auto"/>
            </w:tcBorders>
            <w:shd w:val="clear" w:color="auto" w:fill="auto"/>
            <w:hideMark/>
          </w:tcPr>
          <w:p w14:paraId="182B5F8F" w14:textId="28C6A5E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25</w:t>
            </w:r>
          </w:p>
        </w:tc>
        <w:tc>
          <w:tcPr>
            <w:tcW w:w="1663" w:type="dxa"/>
            <w:tcBorders>
              <w:top w:val="nil"/>
              <w:left w:val="nil"/>
              <w:bottom w:val="single" w:sz="6" w:space="0" w:color="auto"/>
              <w:right w:val="single" w:sz="6" w:space="0" w:color="auto"/>
            </w:tcBorders>
            <w:shd w:val="clear" w:color="auto" w:fill="auto"/>
            <w:hideMark/>
          </w:tcPr>
          <w:p w14:paraId="52FDB309" w14:textId="67D7111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28EB145" w14:textId="04594A28"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773373A3" w14:textId="707E955A"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346404A5" w14:textId="77777777" w:rsidTr="00B1282C">
        <w:trPr>
          <w:trHeight w:val="273"/>
        </w:trPr>
        <w:tc>
          <w:tcPr>
            <w:tcW w:w="1251" w:type="dxa"/>
            <w:tcBorders>
              <w:top w:val="nil"/>
              <w:left w:val="single" w:sz="6" w:space="0" w:color="auto"/>
              <w:bottom w:val="single" w:sz="6" w:space="0" w:color="auto"/>
              <w:right w:val="single" w:sz="6" w:space="0" w:color="auto"/>
            </w:tcBorders>
            <w:shd w:val="clear" w:color="auto" w:fill="auto"/>
          </w:tcPr>
          <w:p w14:paraId="7C399970" w14:textId="6F3D2313" w:rsidR="00B1282C" w:rsidRPr="0000353C" w:rsidRDefault="00B1282C" w:rsidP="00F61D68">
            <w:pPr>
              <w:spacing w:after="0" w:line="240" w:lineRule="auto"/>
              <w:textAlignment w:val="baseline"/>
              <w:rPr>
                <w:rFonts w:eastAsia="Times New Roman" w:cstheme="minorHAnsi"/>
                <w:color w:val="auto"/>
                <w:sz w:val="20"/>
                <w:szCs w:val="20"/>
              </w:rPr>
            </w:pPr>
          </w:p>
        </w:tc>
        <w:tc>
          <w:tcPr>
            <w:tcW w:w="1171" w:type="dxa"/>
            <w:tcBorders>
              <w:top w:val="nil"/>
              <w:left w:val="nil"/>
              <w:bottom w:val="single" w:sz="6" w:space="0" w:color="auto"/>
              <w:right w:val="single" w:sz="6" w:space="0" w:color="auto"/>
            </w:tcBorders>
            <w:shd w:val="clear" w:color="auto" w:fill="auto"/>
          </w:tcPr>
          <w:p w14:paraId="48C066CE" w14:textId="388E75EE" w:rsidR="00B1282C" w:rsidRPr="0000353C" w:rsidRDefault="00B1282C" w:rsidP="00F61D68">
            <w:pPr>
              <w:spacing w:after="0" w:line="240" w:lineRule="auto"/>
              <w:textAlignment w:val="baseline"/>
              <w:rPr>
                <w:rFonts w:eastAsia="Times New Roman" w:cstheme="minorHAnsi"/>
                <w:color w:val="auto"/>
                <w:sz w:val="20"/>
                <w:szCs w:val="20"/>
              </w:rPr>
            </w:pPr>
          </w:p>
        </w:tc>
        <w:tc>
          <w:tcPr>
            <w:tcW w:w="810" w:type="dxa"/>
            <w:tcBorders>
              <w:top w:val="nil"/>
              <w:left w:val="nil"/>
              <w:bottom w:val="single" w:sz="6" w:space="0" w:color="auto"/>
              <w:right w:val="single" w:sz="6" w:space="0" w:color="auto"/>
            </w:tcBorders>
            <w:shd w:val="clear" w:color="auto" w:fill="auto"/>
          </w:tcPr>
          <w:p w14:paraId="1834D643" w14:textId="3263C522" w:rsidR="00B1282C" w:rsidRPr="0000353C" w:rsidRDefault="00B1282C" w:rsidP="00F61D68">
            <w:pPr>
              <w:spacing w:after="0" w:line="240" w:lineRule="auto"/>
              <w:textAlignment w:val="baseline"/>
              <w:rPr>
                <w:rFonts w:eastAsia="Times New Roman" w:cstheme="minorHAnsi"/>
                <w:color w:val="auto"/>
                <w:sz w:val="20"/>
                <w:szCs w:val="20"/>
              </w:rPr>
            </w:pPr>
          </w:p>
        </w:tc>
        <w:tc>
          <w:tcPr>
            <w:tcW w:w="954" w:type="dxa"/>
            <w:tcBorders>
              <w:top w:val="nil"/>
              <w:left w:val="nil"/>
              <w:bottom w:val="single" w:sz="6" w:space="0" w:color="auto"/>
              <w:right w:val="single" w:sz="6" w:space="0" w:color="auto"/>
            </w:tcBorders>
            <w:shd w:val="clear" w:color="auto" w:fill="auto"/>
          </w:tcPr>
          <w:p w14:paraId="3E0C919F" w14:textId="2615EE4D" w:rsidR="00B1282C" w:rsidRPr="0000353C" w:rsidRDefault="00B1282C" w:rsidP="00F61D68">
            <w:pPr>
              <w:spacing w:after="0" w:line="240" w:lineRule="auto"/>
              <w:textAlignment w:val="baseline"/>
              <w:rPr>
                <w:rFonts w:eastAsia="Times New Roman" w:cstheme="minorHAnsi"/>
                <w:color w:val="auto"/>
                <w:sz w:val="20"/>
                <w:szCs w:val="20"/>
              </w:rPr>
            </w:pPr>
          </w:p>
        </w:tc>
        <w:tc>
          <w:tcPr>
            <w:tcW w:w="650" w:type="dxa"/>
            <w:tcBorders>
              <w:top w:val="nil"/>
              <w:left w:val="nil"/>
              <w:bottom w:val="single" w:sz="6" w:space="0" w:color="auto"/>
              <w:right w:val="single" w:sz="6" w:space="0" w:color="auto"/>
            </w:tcBorders>
            <w:shd w:val="clear" w:color="auto" w:fill="auto"/>
          </w:tcPr>
          <w:p w14:paraId="15046F28" w14:textId="1CF490B6" w:rsidR="00B1282C" w:rsidRPr="0000353C" w:rsidRDefault="00B1282C" w:rsidP="00F61D68">
            <w:pPr>
              <w:spacing w:after="0" w:line="240" w:lineRule="auto"/>
              <w:textAlignment w:val="baseline"/>
              <w:rPr>
                <w:rFonts w:eastAsia="Times New Roman" w:cstheme="minorHAnsi"/>
                <w:color w:val="auto"/>
                <w:sz w:val="20"/>
                <w:szCs w:val="20"/>
              </w:rPr>
            </w:pPr>
          </w:p>
        </w:tc>
        <w:tc>
          <w:tcPr>
            <w:tcW w:w="1238" w:type="dxa"/>
            <w:tcBorders>
              <w:top w:val="nil"/>
              <w:left w:val="nil"/>
              <w:bottom w:val="single" w:sz="6" w:space="0" w:color="auto"/>
              <w:right w:val="single" w:sz="6" w:space="0" w:color="auto"/>
            </w:tcBorders>
            <w:shd w:val="clear" w:color="auto" w:fill="auto"/>
          </w:tcPr>
          <w:p w14:paraId="662919B0" w14:textId="70B9A4CF" w:rsidR="00B1282C" w:rsidRPr="0000353C" w:rsidRDefault="00B1282C" w:rsidP="00F61D68">
            <w:pPr>
              <w:spacing w:after="0" w:line="240" w:lineRule="auto"/>
              <w:textAlignment w:val="baseline"/>
              <w:rPr>
                <w:rFonts w:eastAsia="Times New Roman" w:cstheme="minorHAnsi"/>
                <w:color w:val="auto"/>
                <w:sz w:val="20"/>
                <w:szCs w:val="20"/>
              </w:rPr>
            </w:pPr>
          </w:p>
        </w:tc>
        <w:tc>
          <w:tcPr>
            <w:tcW w:w="1663" w:type="dxa"/>
            <w:tcBorders>
              <w:top w:val="nil"/>
              <w:left w:val="nil"/>
              <w:bottom w:val="single" w:sz="6" w:space="0" w:color="auto"/>
              <w:right w:val="single" w:sz="6" w:space="0" w:color="auto"/>
            </w:tcBorders>
            <w:shd w:val="clear" w:color="auto" w:fill="auto"/>
          </w:tcPr>
          <w:p w14:paraId="51CB62B5" w14:textId="534A9EC4" w:rsidR="00B1282C" w:rsidRPr="0000353C" w:rsidRDefault="00B1282C" w:rsidP="00F61D68">
            <w:pPr>
              <w:spacing w:after="0" w:line="240" w:lineRule="auto"/>
              <w:textAlignment w:val="baseline"/>
              <w:rPr>
                <w:rFonts w:eastAsia="Times New Roman" w:cstheme="minorHAnsi"/>
                <w:color w:val="auto"/>
                <w:sz w:val="20"/>
                <w:szCs w:val="20"/>
              </w:rPr>
            </w:pPr>
          </w:p>
        </w:tc>
        <w:tc>
          <w:tcPr>
            <w:tcW w:w="1108" w:type="dxa"/>
            <w:tcBorders>
              <w:top w:val="nil"/>
              <w:left w:val="nil"/>
              <w:bottom w:val="single" w:sz="6" w:space="0" w:color="auto"/>
              <w:right w:val="single" w:sz="6" w:space="0" w:color="auto"/>
            </w:tcBorders>
            <w:shd w:val="clear" w:color="auto" w:fill="auto"/>
          </w:tcPr>
          <w:p w14:paraId="7401936C" w14:textId="519E9AFE" w:rsidR="00B1282C" w:rsidRPr="0000353C" w:rsidRDefault="00B1282C" w:rsidP="00F61D68">
            <w:pPr>
              <w:spacing w:after="0" w:line="240" w:lineRule="auto"/>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tcPr>
          <w:p w14:paraId="7B818F51" w14:textId="76DE84EE" w:rsidR="00B1282C" w:rsidRPr="0000353C" w:rsidRDefault="00B1282C" w:rsidP="00F61D68">
            <w:pPr>
              <w:spacing w:after="0" w:line="240" w:lineRule="auto"/>
              <w:textAlignment w:val="baseline"/>
              <w:rPr>
                <w:rFonts w:eastAsia="Times New Roman" w:cstheme="minorHAnsi"/>
                <w:color w:val="auto"/>
                <w:sz w:val="20"/>
                <w:szCs w:val="20"/>
              </w:rPr>
            </w:pPr>
          </w:p>
        </w:tc>
      </w:tr>
      <w:tr w:rsidR="00B1282C" w:rsidRPr="0000353C" w14:paraId="71B9B31D" w14:textId="77777777" w:rsidTr="00B1282C">
        <w:trPr>
          <w:trHeight w:val="525"/>
        </w:trPr>
        <w:tc>
          <w:tcPr>
            <w:tcW w:w="1251" w:type="dxa"/>
            <w:tcBorders>
              <w:top w:val="nil"/>
              <w:left w:val="single" w:sz="6" w:space="0" w:color="auto"/>
              <w:bottom w:val="single" w:sz="6" w:space="0" w:color="auto"/>
              <w:right w:val="single" w:sz="6" w:space="0" w:color="auto"/>
            </w:tcBorders>
            <w:shd w:val="clear" w:color="auto" w:fill="auto"/>
            <w:hideMark/>
          </w:tcPr>
          <w:p w14:paraId="7C130F45" w14:textId="77777777"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SummaryTime</w:t>
            </w:r>
            <w:proofErr w:type="spellEnd"/>
            <w:r w:rsidRPr="0000353C">
              <w:rPr>
                <w:rFonts w:eastAsia="Times New Roman" w:cstheme="minorHAnsi"/>
                <w:color w:val="auto"/>
                <w:sz w:val="20"/>
                <w:szCs w:val="20"/>
              </w:rPr>
              <w:t> </w:t>
            </w:r>
          </w:p>
          <w:p w14:paraId="023DC8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Period </w:t>
            </w:r>
          </w:p>
        </w:tc>
        <w:tc>
          <w:tcPr>
            <w:tcW w:w="1171" w:type="dxa"/>
            <w:tcBorders>
              <w:top w:val="nil"/>
              <w:left w:val="nil"/>
              <w:bottom w:val="single" w:sz="6" w:space="0" w:color="auto"/>
              <w:right w:val="single" w:sz="6" w:space="0" w:color="auto"/>
            </w:tcBorders>
            <w:shd w:val="clear" w:color="auto" w:fill="auto"/>
            <w:hideMark/>
          </w:tcPr>
          <w:p w14:paraId="173DAE2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Num Samples </w:t>
            </w:r>
          </w:p>
        </w:tc>
        <w:tc>
          <w:tcPr>
            <w:tcW w:w="810" w:type="dxa"/>
            <w:tcBorders>
              <w:top w:val="nil"/>
              <w:left w:val="nil"/>
              <w:bottom w:val="single" w:sz="6" w:space="0" w:color="auto"/>
              <w:right w:val="single" w:sz="6" w:space="0" w:color="auto"/>
            </w:tcBorders>
            <w:shd w:val="clear" w:color="auto" w:fill="auto"/>
            <w:hideMark/>
          </w:tcPr>
          <w:p w14:paraId="24602CAA" w14:textId="5CD491BC"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NumNon</w:t>
            </w:r>
            <w:proofErr w:type="spellEnd"/>
            <w:r w:rsidRPr="0000353C">
              <w:rPr>
                <w:rFonts w:eastAsia="Times New Roman" w:cstheme="minorHAnsi"/>
                <w:color w:val="auto"/>
                <w:sz w:val="20"/>
                <w:szCs w:val="20"/>
              </w:rPr>
              <w:t> </w:t>
            </w:r>
          </w:p>
          <w:p w14:paraId="189E448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Detects </w:t>
            </w:r>
          </w:p>
        </w:tc>
        <w:tc>
          <w:tcPr>
            <w:tcW w:w="954" w:type="dxa"/>
            <w:tcBorders>
              <w:top w:val="nil"/>
              <w:left w:val="nil"/>
              <w:bottom w:val="single" w:sz="6" w:space="0" w:color="auto"/>
              <w:right w:val="single" w:sz="6" w:space="0" w:color="auto"/>
            </w:tcBorders>
            <w:shd w:val="clear" w:color="auto" w:fill="auto"/>
            <w:hideMark/>
          </w:tcPr>
          <w:p w14:paraId="0AB705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650" w:type="dxa"/>
            <w:tcBorders>
              <w:top w:val="nil"/>
              <w:left w:val="nil"/>
              <w:bottom w:val="single" w:sz="6" w:space="0" w:color="auto"/>
              <w:right w:val="single" w:sz="6" w:space="0" w:color="auto"/>
            </w:tcBorders>
            <w:shd w:val="clear" w:color="auto" w:fill="auto"/>
            <w:hideMark/>
          </w:tcPr>
          <w:p w14:paraId="5E70F39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38" w:type="dxa"/>
            <w:tcBorders>
              <w:top w:val="nil"/>
              <w:left w:val="nil"/>
              <w:bottom w:val="single" w:sz="6" w:space="0" w:color="auto"/>
              <w:right w:val="single" w:sz="6" w:space="0" w:color="auto"/>
            </w:tcBorders>
            <w:shd w:val="clear" w:color="auto" w:fill="auto"/>
            <w:hideMark/>
          </w:tcPr>
          <w:p w14:paraId="2E3D56FF"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663" w:type="dxa"/>
            <w:tcBorders>
              <w:top w:val="nil"/>
              <w:left w:val="nil"/>
              <w:bottom w:val="single" w:sz="6" w:space="0" w:color="auto"/>
              <w:right w:val="single" w:sz="6" w:space="0" w:color="auto"/>
            </w:tcBorders>
            <w:shd w:val="clear" w:color="auto" w:fill="auto"/>
            <w:hideMark/>
          </w:tcPr>
          <w:p w14:paraId="023F538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08" w:type="dxa"/>
            <w:tcBorders>
              <w:top w:val="nil"/>
              <w:left w:val="nil"/>
              <w:bottom w:val="single" w:sz="6" w:space="0" w:color="auto"/>
              <w:right w:val="single" w:sz="6" w:space="0" w:color="auto"/>
            </w:tcBorders>
            <w:shd w:val="clear" w:color="auto" w:fill="auto"/>
            <w:hideMark/>
          </w:tcPr>
          <w:p w14:paraId="1A40289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13" w:type="dxa"/>
            <w:tcBorders>
              <w:top w:val="nil"/>
              <w:left w:val="nil"/>
              <w:bottom w:val="single" w:sz="6" w:space="0" w:color="auto"/>
              <w:right w:val="single" w:sz="6" w:space="0" w:color="auto"/>
            </w:tcBorders>
            <w:shd w:val="clear" w:color="auto" w:fill="auto"/>
            <w:hideMark/>
          </w:tcPr>
          <w:p w14:paraId="2A614C52"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r>
    </w:tbl>
    <w:p w14:paraId="7D1E2E8D" w14:textId="4A683C1E" w:rsidR="0000353C" w:rsidRPr="00A6095E" w:rsidRDefault="0000353C" w:rsidP="00A6095E">
      <w:pPr>
        <w:spacing w:before="100" w:beforeAutospacing="1" w:after="100" w:afterAutospacing="1" w:line="240" w:lineRule="auto"/>
        <w:textAlignment w:val="baseline"/>
        <w:rPr>
          <w:rFonts w:ascii="Times New Roman" w:eastAsia="Times New Roman" w:hAnsi="Times New Roman" w:cs="Times New Roman"/>
          <w:color w:val="auto"/>
          <w:sz w:val="24"/>
          <w:szCs w:val="24"/>
        </w:rPr>
        <w:sectPr w:rsidR="0000353C" w:rsidRPr="00A6095E" w:rsidSect="00053E85">
          <w:headerReference w:type="default" r:id="rId21"/>
          <w:pgSz w:w="15840" w:h="12240" w:orient="landscape"/>
          <w:pgMar w:top="1080" w:right="1800" w:bottom="1080" w:left="720" w:header="720" w:footer="720" w:gutter="0"/>
          <w:cols w:space="720"/>
          <w:docGrid w:linePitch="360"/>
        </w:sectPr>
      </w:pPr>
    </w:p>
    <w:p w14:paraId="44C4D156" w14:textId="1A652E72" w:rsidR="00A6095E" w:rsidRDefault="00A6095E" w:rsidP="00F110F1">
      <w:pPr>
        <w:pStyle w:val="Heading1"/>
        <w:spacing w:before="0" w:after="0" w:line="276" w:lineRule="auto"/>
        <w:ind w:right="0"/>
        <w:rPr>
          <w:rFonts w:ascii="Cambria" w:eastAsia="Times New Roman" w:hAnsi="Cambria" w:cs="Times New Roman"/>
          <w:b/>
          <w:bCs/>
          <w:i/>
          <w:iCs/>
          <w:color w:val="auto"/>
          <w:sz w:val="24"/>
          <w:szCs w:val="24"/>
        </w:rPr>
      </w:pPr>
      <w:r>
        <w:lastRenderedPageBreak/>
        <w:t>Appendix</w:t>
      </w:r>
      <w:r w:rsidRPr="614E78C3">
        <w:t xml:space="preserve"> </w:t>
      </w:r>
      <w:r>
        <w:t xml:space="preserve">B – </w:t>
      </w:r>
      <w:r w:rsidR="00C51DB9">
        <w:t>guidance for estimating community water system (CWS) service area representative Point locations</w:t>
      </w:r>
      <w:r w:rsidRPr="00711329">
        <w:rPr>
          <w:rFonts w:ascii="Cambria" w:eastAsia="Times New Roman" w:hAnsi="Cambria" w:cs="Times New Roman"/>
          <w:b/>
          <w:bCs/>
          <w:i/>
          <w:iCs/>
          <w:color w:val="auto"/>
          <w:sz w:val="24"/>
          <w:szCs w:val="24"/>
        </w:rPr>
        <w:t>  </w:t>
      </w:r>
    </w:p>
    <w:p w14:paraId="56C9A456"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This appendix provides a recommended methodology for EPHT State grantees to estimate a central and representative point location for each CWS that is reported to CDC by grantees in annual data calls.  The CDC public portal will display these point locations to orient users while navigating dynamic maps and to facilitate identification of a CWS relative to the approximate retail population in which it serves.  It is expected that these point locations will be displayed in relatively </w:t>
      </w:r>
      <w:r w:rsidRPr="00B03C48">
        <w:rPr>
          <w:rFonts w:ascii="Calibri" w:eastAsia="Times New Roman" w:hAnsi="Calibri" w:cs="Calibri"/>
          <w:color w:val="auto"/>
          <w:highlight w:val="yellow"/>
        </w:rPr>
        <w:t>low resolution at scales small enough to depict regional differences</w:t>
      </w:r>
      <w:r w:rsidRPr="00C51DB9">
        <w:rPr>
          <w:rFonts w:ascii="Calibri" w:eastAsia="Times New Roman" w:hAnsi="Calibri" w:cs="Calibri"/>
          <w:color w:val="auto"/>
        </w:rPr>
        <w:t xml:space="preserve">, </w:t>
      </w:r>
      <w:r w:rsidRPr="00B03C48">
        <w:rPr>
          <w:rFonts w:ascii="Calibri" w:eastAsia="Times New Roman" w:hAnsi="Calibri" w:cs="Calibri"/>
          <w:color w:val="auto"/>
          <w:highlight w:val="yellow"/>
        </w:rPr>
        <w:t>like county-, state-, or national-scale maps</w:t>
      </w:r>
      <w:r w:rsidRPr="00C51DB9">
        <w:rPr>
          <w:rFonts w:ascii="Calibri" w:eastAsia="Times New Roman" w:hAnsi="Calibri" w:cs="Calibri"/>
          <w:color w:val="auto"/>
        </w:rPr>
        <w:t xml:space="preserve">.  </w:t>
      </w:r>
      <w:commentRangeStart w:id="3"/>
      <w:r w:rsidRPr="00C51DB9">
        <w:rPr>
          <w:rFonts w:ascii="Calibri" w:eastAsia="Times New Roman" w:hAnsi="Calibri" w:cs="Calibri"/>
          <w:color w:val="auto"/>
        </w:rPr>
        <w:t>These locations are not expected to be precise enough or intended to be used in linking health outcome information to water quality measures; they are only intended for diagrammatic purposes.</w:t>
      </w:r>
      <w:commentRangeEnd w:id="3"/>
      <w:r w:rsidR="00B03C48">
        <w:rPr>
          <w:rStyle w:val="CommentReference"/>
        </w:rPr>
        <w:commentReference w:id="3"/>
      </w:r>
      <w:r w:rsidRPr="00C51DB9">
        <w:rPr>
          <w:rFonts w:ascii="Calibri" w:eastAsia="Times New Roman" w:hAnsi="Calibri" w:cs="Calibri"/>
          <w:color w:val="auto"/>
        </w:rPr>
        <w:t>   </w:t>
      </w:r>
    </w:p>
    <w:p w14:paraId="10B252E2"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Grantees are required to </w:t>
      </w:r>
      <w:r w:rsidRPr="00B03C48">
        <w:rPr>
          <w:rFonts w:ascii="Calibri" w:eastAsia="Times New Roman" w:hAnsi="Calibri" w:cs="Calibri"/>
          <w:color w:val="auto"/>
          <w:highlight w:val="yellow"/>
        </w:rPr>
        <w:t>report to CDC representative service area locations for each CWS</w:t>
      </w:r>
      <w:r w:rsidRPr="00C51DB9">
        <w:rPr>
          <w:rFonts w:ascii="Calibri" w:eastAsia="Times New Roman" w:hAnsi="Calibri" w:cs="Calibri"/>
          <w:color w:val="auto"/>
        </w:rPr>
        <w:t xml:space="preserve">.  Grantees, however, are not required to follow this methodology or to use the recommended data sources.  This document is provided to enumerate the possible derivation methods, given grantees’ collective experience and expertise and when </w:t>
      </w:r>
      <w:proofErr w:type="gramStart"/>
      <w:r w:rsidRPr="00C51DB9">
        <w:rPr>
          <w:rFonts w:ascii="Calibri" w:eastAsia="Times New Roman" w:hAnsi="Calibri" w:cs="Calibri"/>
          <w:color w:val="auto"/>
        </w:rPr>
        <w:t>assuming that</w:t>
      </w:r>
      <w:proofErr w:type="gramEnd"/>
      <w:r w:rsidRPr="00C51DB9">
        <w:rPr>
          <w:rFonts w:ascii="Calibri" w:eastAsia="Times New Roman" w:hAnsi="Calibri" w:cs="Calibri"/>
          <w:color w:val="auto"/>
        </w:rPr>
        <w:t xml:space="preserve"> the described data sources exist at grantee sites.  It is not an exhaustive list of methods or data sources.  Depending on capacity and data sources available at each individual state, </w:t>
      </w:r>
      <w:r w:rsidRPr="00B03C48">
        <w:rPr>
          <w:rFonts w:ascii="Calibri" w:eastAsia="Times New Roman" w:hAnsi="Calibri" w:cs="Calibri"/>
          <w:color w:val="auto"/>
          <w:highlight w:val="yellow"/>
        </w:rPr>
        <w:t>a grantee may choose a different methodology or data sources to accomplish the required objective</w:t>
      </w:r>
      <w:r w:rsidRPr="00C51DB9">
        <w:rPr>
          <w:rFonts w:ascii="Calibri" w:eastAsia="Times New Roman" w:hAnsi="Calibri" w:cs="Calibri"/>
          <w:color w:val="auto"/>
        </w:rPr>
        <w:t>.   </w:t>
      </w:r>
    </w:p>
    <w:p w14:paraId="2422613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As per the Drinking Water XML schema, all point locations </w:t>
      </w:r>
      <w:r w:rsidRPr="00B03C48">
        <w:rPr>
          <w:rFonts w:ascii="Calibri" w:eastAsia="Times New Roman" w:hAnsi="Calibri" w:cs="Calibri"/>
          <w:color w:val="auto"/>
          <w:highlight w:val="yellow"/>
          <w:u w:val="single"/>
        </w:rPr>
        <w:t>shall be reported in North American Datum 1983</w:t>
      </w:r>
      <w:r w:rsidRPr="00C51DB9">
        <w:rPr>
          <w:rFonts w:ascii="Calibri" w:eastAsia="Times New Roman" w:hAnsi="Calibri" w:cs="Calibri"/>
          <w:color w:val="auto"/>
        </w:rPr>
        <w:t xml:space="preserve"> decimal degrees coordinates.   </w:t>
      </w:r>
    </w:p>
    <w:p w14:paraId="55F7A4BD"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General Methodology:  Coordinates for all water system locations are compiled for each available data source.  Data sources are prioritized in order of increasing precision.  The Inventory dataset is updated according to this prioritization, using coordinates that are likely to be less precise, if coordinates of water systems from higher priority data sources are not available. </w:t>
      </w:r>
    </w:p>
    <w:p w14:paraId="1877BDE1" w14:textId="6FACD90C"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Complexities not addressed by this document:  </w:t>
      </w:r>
      <w:r w:rsidRPr="00DC4520">
        <w:rPr>
          <w:rFonts w:ascii="Calibri" w:eastAsia="Times New Roman" w:hAnsi="Calibri" w:cs="Calibri"/>
          <w:color w:val="auto"/>
          <w:u w:val="single"/>
        </w:rPr>
        <w:t>The Inventory dataset includes an annual record for each CWS</w:t>
      </w:r>
      <w:r w:rsidRPr="00C51DB9">
        <w:rPr>
          <w:rFonts w:ascii="Calibri" w:eastAsia="Times New Roman" w:hAnsi="Calibri" w:cs="Calibri"/>
          <w:color w:val="auto"/>
        </w:rPr>
        <w:t xml:space="preserve">, if the CWS was active for at least a portion of the reported year.  This document, however, does not address annual changes in the water system location.  </w:t>
      </w:r>
      <w:r w:rsidRPr="00DC4520">
        <w:rPr>
          <w:rFonts w:ascii="Calibri" w:eastAsia="Times New Roman" w:hAnsi="Calibri" w:cs="Calibri"/>
          <w:color w:val="auto"/>
          <w:highlight w:val="yellow"/>
        </w:rPr>
        <w:t xml:space="preserve">If grantee water quality and location-related data sources can track annual changes in water system service area locations, then grantees are </w:t>
      </w:r>
      <w:r w:rsidR="00A42245" w:rsidRPr="00DC4520">
        <w:rPr>
          <w:rFonts w:ascii="Calibri" w:eastAsia="Times New Roman" w:hAnsi="Calibri" w:cs="Calibri"/>
          <w:color w:val="auto"/>
          <w:highlight w:val="yellow"/>
        </w:rPr>
        <w:t>expected,</w:t>
      </w:r>
      <w:r w:rsidRPr="00DC4520">
        <w:rPr>
          <w:rFonts w:ascii="Calibri" w:eastAsia="Times New Roman" w:hAnsi="Calibri" w:cs="Calibri"/>
          <w:color w:val="auto"/>
          <w:highlight w:val="yellow"/>
        </w:rPr>
        <w:t xml:space="preserve"> and it is their responsibility to accurately depict these changes in the Inventory dataset.</w:t>
      </w:r>
      <w:r w:rsidRPr="00C51DB9">
        <w:rPr>
          <w:rFonts w:ascii="Calibri" w:eastAsia="Times New Roman" w:hAnsi="Calibri" w:cs="Calibri"/>
          <w:color w:val="auto"/>
        </w:rPr>
        <w:t> </w:t>
      </w:r>
    </w:p>
    <w:p w14:paraId="44BC24B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Ordered below are source datasets containing geographic locations for individual water systems, prioritized from highest to lowest spatial precision.  </w:t>
      </w:r>
      <w:r w:rsidRPr="00DC4520">
        <w:rPr>
          <w:rFonts w:ascii="Calibri" w:eastAsia="Times New Roman" w:hAnsi="Calibri" w:cs="Calibri"/>
          <w:color w:val="auto"/>
          <w:highlight w:val="yellow"/>
        </w:rPr>
        <w:t xml:space="preserve">Each source dataset has a corresponding </w:t>
      </w:r>
      <w:proofErr w:type="spellStart"/>
      <w:r w:rsidRPr="00DC4520">
        <w:rPr>
          <w:rFonts w:ascii="Calibri" w:eastAsia="Times New Roman" w:hAnsi="Calibri" w:cs="Calibri"/>
          <w:color w:val="auto"/>
          <w:highlight w:val="yellow"/>
        </w:rPr>
        <w:t>LocationDerivationCode</w:t>
      </w:r>
      <w:proofErr w:type="spellEnd"/>
      <w:r w:rsidRPr="00C51DB9">
        <w:rPr>
          <w:rFonts w:ascii="Calibri" w:eastAsia="Times New Roman" w:hAnsi="Calibri" w:cs="Calibri"/>
          <w:color w:val="auto"/>
        </w:rPr>
        <w:t xml:space="preserve"> value, which should be used in the corresponding field of the Inventory dataset. </w:t>
      </w:r>
    </w:p>
    <w:p w14:paraId="7A08D67E" w14:textId="6F95DABD" w:rsidR="001D7DB7"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Service area polygon centroids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=SA) – Increasingly, States are working to assemble polygonal boundaries that approximate the retail service area of public water systems.  As a GIS layer, the geometric center (or centroid) can be quickly calculated using common GIS tools.  For example, the </w:t>
      </w:r>
      <w:r w:rsidRPr="006C3CED">
        <w:rPr>
          <w:rFonts w:eastAsia="Times New Roman" w:cstheme="minorHAnsi"/>
          <w:color w:val="auto"/>
        </w:rPr>
        <w:t>following article from the ESRI Support website describes how to create and update two fields that describe the centroid of a polygonal</w:t>
      </w:r>
      <w:r w:rsidR="001D7DB7" w:rsidRPr="006C3CED">
        <w:rPr>
          <w:rFonts w:eastAsia="Times New Roman" w:cstheme="minorHAnsi"/>
          <w:color w:val="auto"/>
        </w:rPr>
        <w:t xml:space="preserve"> </w:t>
      </w:r>
      <w:r w:rsidRPr="006C3CED">
        <w:rPr>
          <w:rFonts w:eastAsia="Times New Roman" w:cstheme="minorHAnsi"/>
          <w:color w:val="auto"/>
        </w:rPr>
        <w:t>layer: </w:t>
      </w:r>
      <w:r w:rsidR="001D7DB7" w:rsidRPr="006C3CED">
        <w:rPr>
          <w:rFonts w:eastAsia="Times New Roman" w:cstheme="minorHAnsi"/>
          <w:color w:val="auto"/>
        </w:rPr>
        <w:t xml:space="preserve">    </w:t>
      </w:r>
      <w:r w:rsidRPr="006C3CED">
        <w:rPr>
          <w:rFonts w:eastAsia="Times New Roman" w:cstheme="minorHAnsi"/>
          <w:color w:val="auto"/>
        </w:rPr>
        <w:t xml:space="preserve"> </w:t>
      </w:r>
      <w:hyperlink r:id="rId22" w:tgtFrame="_blank" w:history="1">
        <w:r w:rsidRPr="006C3CED">
          <w:rPr>
            <w:rFonts w:eastAsia="Times New Roman" w:cstheme="minorHAnsi"/>
            <w:color w:val="0000FF"/>
            <w:u w:val="single"/>
          </w:rPr>
          <w:t>http://support.esri.com/en/knowledgebase/techarticles/detail/32482</w:t>
        </w:r>
      </w:hyperlink>
      <w:r w:rsidRPr="006C3CED">
        <w:rPr>
          <w:rFonts w:eastAsia="Times New Roman" w:cstheme="minorHAnsi"/>
          <w:color w:val="auto"/>
        </w:rPr>
        <w:t xml:space="preserve">.   For large water systems that have uneven population distribution, </w:t>
      </w:r>
      <w:r w:rsidRPr="00DC4520">
        <w:rPr>
          <w:rFonts w:eastAsia="Times New Roman" w:cstheme="minorHAnsi"/>
          <w:color w:val="auto"/>
          <w:highlight w:val="yellow"/>
        </w:rPr>
        <w:t>grantees may wish to use a population-weighted centroid</w:t>
      </w:r>
      <w:r w:rsidRPr="00C51DB9">
        <w:rPr>
          <w:rFonts w:ascii="Calibri" w:eastAsia="Times New Roman" w:hAnsi="Calibri" w:cs="Calibri"/>
          <w:color w:val="auto"/>
        </w:rPr>
        <w:t xml:space="preserve">, by intersecting water system polygons with Census Block centroids and proportionally weighting each centroid by its contribution to the total population within the service area polygon.  Further population-weighted refinements can be accomplished by assuming that people only live within an arbitrary distance (e.g., 500ft) </w:t>
      </w:r>
      <w:r w:rsidRPr="00C51DB9">
        <w:rPr>
          <w:rFonts w:ascii="Calibri" w:eastAsia="Times New Roman" w:hAnsi="Calibri" w:cs="Calibri"/>
          <w:color w:val="auto"/>
        </w:rPr>
        <w:lastRenderedPageBreak/>
        <w:t>of a street centerline network, and similarly intersecting the resulting buffered segments with service area polygons. </w:t>
      </w:r>
    </w:p>
    <w:p w14:paraId="14F90702" w14:textId="77777777" w:rsidR="00C51DB9" w:rsidRPr="00C51DB9" w:rsidRDefault="00C51DB9" w:rsidP="00990F46">
      <w:pPr>
        <w:numPr>
          <w:ilvl w:val="0"/>
          <w:numId w:val="23"/>
        </w:numPr>
        <w:spacing w:before="100" w:beforeAutospacing="1" w:after="100" w:after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Mean of water system facility locations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=MFL) – State drinking water primacy agencies typically track geographic locations of important facilities at public water systems.  Some of these facility types are often situated proximate to the retail population.  </w:t>
      </w:r>
      <w:r w:rsidRPr="00DC4520">
        <w:rPr>
          <w:rFonts w:ascii="Calibri" w:eastAsia="Times New Roman" w:hAnsi="Calibri" w:cs="Calibri"/>
          <w:color w:val="auto"/>
          <w:highlight w:val="yellow"/>
        </w:rPr>
        <w:t>These include</w:t>
      </w:r>
      <w:r w:rsidRPr="00C51DB9">
        <w:rPr>
          <w:rFonts w:ascii="Calibri" w:eastAsia="Times New Roman" w:hAnsi="Calibri" w:cs="Calibri"/>
          <w:color w:val="auto"/>
        </w:rPr>
        <w:t xml:space="preserve"> </w:t>
      </w:r>
      <w:r w:rsidRPr="00DC4520">
        <w:rPr>
          <w:rFonts w:ascii="Calibri" w:eastAsia="Times New Roman" w:hAnsi="Calibri" w:cs="Calibri"/>
          <w:color w:val="auto"/>
          <w:u w:val="single"/>
        </w:rPr>
        <w:t>groundwater wellheads, treatment plants, and distribution system sampling stations</w:t>
      </w:r>
      <w:r w:rsidRPr="00C51DB9">
        <w:rPr>
          <w:rFonts w:ascii="Calibri" w:eastAsia="Times New Roman" w:hAnsi="Calibri" w:cs="Calibri"/>
          <w:color w:val="auto"/>
        </w:rPr>
        <w:t xml:space="preserve">.  </w:t>
      </w:r>
      <w:r w:rsidRPr="00DC4520">
        <w:rPr>
          <w:rFonts w:ascii="Calibri" w:eastAsia="Times New Roman" w:hAnsi="Calibri" w:cs="Calibri"/>
          <w:color w:val="auto"/>
          <w:highlight w:val="yellow"/>
        </w:rPr>
        <w:t>If it is assumed that these types of facilities are close to the retail population</w:t>
      </w:r>
      <w:r w:rsidRPr="00C51DB9">
        <w:rPr>
          <w:rFonts w:ascii="Calibri" w:eastAsia="Times New Roman" w:hAnsi="Calibri" w:cs="Calibri"/>
          <w:color w:val="auto"/>
        </w:rPr>
        <w:t xml:space="preserve">, then we can use their mean center as a proxy for the representative system location.  However, because of the sensitivity of some of these facilities, a non-disclosure agreement may be required to release the facility locations to the grantee.  Grantee liaisons to the State primacy agency should communicate and reiterate to the data steward that the use of sensitive coordinates is undertaken in a secure domain.  Any derived locational information that is ultimately made public also completely masks the true geography of the original </w:t>
      </w:r>
      <w:r w:rsidRPr="00DC4520">
        <w:rPr>
          <w:rFonts w:ascii="Calibri" w:eastAsia="Times New Roman" w:hAnsi="Calibri" w:cs="Calibri"/>
          <w:color w:val="auto"/>
          <w:highlight w:val="yellow"/>
        </w:rPr>
        <w:t>sensitive facility</w:t>
      </w:r>
      <w:r w:rsidRPr="00C51DB9">
        <w:rPr>
          <w:rFonts w:ascii="Calibri" w:eastAsia="Times New Roman" w:hAnsi="Calibri" w:cs="Calibri"/>
          <w:color w:val="auto"/>
        </w:rPr>
        <w:t xml:space="preserve"> locations.  </w:t>
      </w:r>
    </w:p>
    <w:p w14:paraId="308E8549" w14:textId="77777777" w:rsidR="00C51DB9" w:rsidRPr="001D7DB7" w:rsidRDefault="00C51DB9" w:rsidP="001D7DB7">
      <w:pPr>
        <w:spacing w:before="100" w:beforeAutospacing="1" w:after="100" w:afterAutospacing="1" w:line="240" w:lineRule="auto"/>
        <w:ind w:left="360"/>
        <w:textAlignment w:val="baseline"/>
        <w:rPr>
          <w:rFonts w:ascii="Times New Roman" w:eastAsia="Times New Roman" w:hAnsi="Times New Roman" w:cs="Times New Roman"/>
          <w:color w:val="auto"/>
          <w:sz w:val="24"/>
          <w:szCs w:val="24"/>
        </w:rPr>
      </w:pPr>
      <w:r w:rsidRPr="001D7DB7">
        <w:rPr>
          <w:rFonts w:ascii="Calibri" w:eastAsia="Times New Roman" w:hAnsi="Calibri" w:cs="Calibri"/>
          <w:color w:val="auto"/>
        </w:rPr>
        <w:t xml:space="preserve">Per water system, a centroid or mean location can be calculated from a group of facility locations.  If only one facility location is available and data stewards have strict confidentiality requirements for this location, grantees can reduce precision on the points (e.g., to the nearest hundredth of a decimal degree) or use the </w:t>
      </w:r>
      <w:proofErr w:type="spellStart"/>
      <w:r w:rsidRPr="001D7DB7">
        <w:rPr>
          <w:rFonts w:ascii="Calibri" w:eastAsia="Times New Roman" w:hAnsi="Calibri" w:cs="Calibri"/>
          <w:color w:val="auto"/>
        </w:rPr>
        <w:t>GeoMasking</w:t>
      </w:r>
      <w:proofErr w:type="spellEnd"/>
      <w:r w:rsidRPr="001D7DB7">
        <w:rPr>
          <w:rFonts w:ascii="Calibri" w:eastAsia="Times New Roman" w:hAnsi="Calibri" w:cs="Calibri"/>
          <w:color w:val="auto"/>
        </w:rPr>
        <w:t xml:space="preserve"> tool (See </w:t>
      </w:r>
      <w:r w:rsidRPr="001D7DB7">
        <w:rPr>
          <w:rFonts w:ascii="Calibri" w:eastAsia="Times New Roman" w:hAnsi="Calibri" w:cs="Calibri"/>
          <w:color w:val="0000FF"/>
          <w:u w:val="single"/>
        </w:rPr>
        <w:t>Appendix C</w:t>
      </w:r>
      <w:r w:rsidRPr="001D7DB7">
        <w:rPr>
          <w:rFonts w:ascii="Calibri" w:eastAsia="Times New Roman" w:hAnsi="Calibri" w:cs="Calibri"/>
          <w:color w:val="auto"/>
        </w:rPr>
        <w:t>) provided by the Geospatial Workgroup and downloadable on the EPHTN SharePoint site to randomly skew the point within an arbitrary distance threshold (e.g., between 200 and 500 meters).  This tool requires the use of a polygonal layer within which the resulting point is constrained; county administrative boundaries trimmed of water features would serve this purpose satisfactorily. </w:t>
      </w:r>
    </w:p>
    <w:p w14:paraId="669C1147"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city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=PCS) – The Geographic Names Information System (GNIS - </w:t>
      </w:r>
      <w:hyperlink r:id="rId23" w:tgtFrame="_blank" w:history="1">
        <w:r w:rsidRPr="00C51DB9">
          <w:rPr>
            <w:rFonts w:ascii="Calibri" w:eastAsia="Times New Roman" w:hAnsi="Calibri" w:cs="Calibri"/>
            <w:color w:val="0000FF"/>
            <w:sz w:val="24"/>
            <w:szCs w:val="24"/>
            <w:u w:val="single"/>
          </w:rPr>
          <w:t>http://geonames.usgs.gov</w:t>
        </w:r>
      </w:hyperlink>
      <w:r w:rsidRPr="00C51DB9">
        <w:rPr>
          <w:rFonts w:ascii="Calibri" w:eastAsia="Times New Roman" w:hAnsi="Calibri" w:cs="Calibri"/>
          <w:color w:val="auto"/>
        </w:rPr>
        <w:t>) place code for each water system’s principal city served is already an element in the Inventory dataset.  Each GNIS entity has a corresponding latitude/longitude in NAD83 decimal degrees that can be used to approximate a water system’s service area.  Alternatively, grantees can use their own State’s place name database or a geocoding service to derive coordinates from the principal city served </w:t>
      </w:r>
    </w:p>
    <w:p w14:paraId="0C4FCB7E"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Geocoded water system address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=GSH) – Water quality databases often include contact addresses for each CWS.  </w:t>
      </w:r>
      <w:r w:rsidRPr="006C3CED">
        <w:rPr>
          <w:rFonts w:eastAsia="Times New Roman" w:cstheme="minorHAnsi"/>
          <w:color w:val="auto"/>
        </w:rPr>
        <w:t>Grantees can use in-house geocoding expertise or an external service like BatchGeo.com or Google Fusion Tables (</w:t>
      </w:r>
      <w:hyperlink r:id="rId24" w:tgtFrame="_blank" w:history="1">
        <w:r w:rsidRPr="006C3CED">
          <w:rPr>
            <w:rFonts w:eastAsia="Times New Roman" w:cstheme="minorHAnsi"/>
            <w:color w:val="0000FF"/>
            <w:u w:val="single"/>
          </w:rPr>
          <w:t>http://earth.google.com/outreach/tutorial_fusion_yourowndata.html</w:t>
        </w:r>
      </w:hyperlink>
      <w:r w:rsidRPr="006C3CED">
        <w:rPr>
          <w:rFonts w:eastAsia="Times New Roman" w:cstheme="minorHAnsi"/>
          <w:color w:val="auto"/>
        </w:rPr>
        <w:t xml:space="preserve">) </w:t>
      </w:r>
      <w:r w:rsidRPr="00F818C0">
        <w:rPr>
          <w:rFonts w:eastAsia="Times New Roman" w:cstheme="minorHAnsi"/>
          <w:color w:val="auto"/>
          <w:highlight w:val="yellow"/>
        </w:rPr>
        <w:t>to infer coordinate locations from the water system address</w:t>
      </w:r>
      <w:r w:rsidRPr="006C3CED">
        <w:rPr>
          <w:rFonts w:eastAsia="Times New Roman" w:cstheme="minorHAnsi"/>
          <w:color w:val="auto"/>
        </w:rPr>
        <w:t>.  To filter contact addresses that are not proximate</w:t>
      </w:r>
      <w:r w:rsidRPr="00C51DB9">
        <w:rPr>
          <w:rFonts w:ascii="Calibri" w:eastAsia="Times New Roman" w:hAnsi="Calibri" w:cs="Calibri"/>
          <w:color w:val="auto"/>
        </w:rPr>
        <w:t xml:space="preserve"> to the water system service area, </w:t>
      </w:r>
      <w:r w:rsidRPr="00F818C0">
        <w:rPr>
          <w:rFonts w:ascii="Calibri" w:eastAsia="Times New Roman" w:hAnsi="Calibri" w:cs="Calibri"/>
          <w:color w:val="auto"/>
          <w:highlight w:val="yellow"/>
        </w:rPr>
        <w:t>compare the geocoded county of the contact address to the principal county served (which is typically a substring within the PWSID</w:t>
      </w:r>
      <w:r w:rsidRPr="00C51DB9">
        <w:rPr>
          <w:rFonts w:ascii="Calibri" w:eastAsia="Times New Roman" w:hAnsi="Calibri" w:cs="Calibri"/>
          <w:color w:val="auto"/>
        </w:rPr>
        <w:t>).  Contact addresses for CWS are usually proximate to their service area, but sometimes, and especially for private water systems that serve multiple jurisdictions, a water system contact address is the system’s billing address and can be situated far from the retail service area. </w:t>
      </w:r>
    </w:p>
    <w:p w14:paraId="6C3E51C6"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County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=PNS) – Using GNIS or commercial data sources, grantees can make use of the centroid of county regions.  In the absence of locations from the previous 4 data sources, this location might be useful for some states that have smaller counties, in which very few water systems serve the population of a single county. </w:t>
      </w:r>
      <w:r w:rsidRPr="00F818C0">
        <w:rPr>
          <w:rFonts w:ascii="Calibri" w:eastAsia="Times New Roman" w:hAnsi="Calibri" w:cs="Calibri"/>
          <w:color w:val="auto"/>
          <w:highlight w:val="yellow"/>
        </w:rPr>
        <w:t>In western states this data source will not likely be useful, since these regions can be very large and can be expected to capture too many water systems</w:t>
      </w:r>
      <w:r w:rsidRPr="00C51DB9">
        <w:rPr>
          <w:rFonts w:ascii="Calibri" w:eastAsia="Times New Roman" w:hAnsi="Calibri" w:cs="Calibri"/>
          <w:color w:val="auto"/>
        </w:rPr>
        <w:t>. </w:t>
      </w:r>
    </w:p>
    <w:p w14:paraId="22D35003" w14:textId="46E31A6C" w:rsidR="007F0C3A" w:rsidRDefault="00C51DB9" w:rsidP="007F0C3A">
      <w:pPr>
        <w:numPr>
          <w:ilvl w:val="0"/>
          <w:numId w:val="23"/>
        </w:numPr>
        <w:spacing w:before="100" w:beforeAutospacing="1" w:after="100" w:afterAutospacing="1" w:line="240" w:lineRule="auto"/>
        <w:textAlignment w:val="baseline"/>
        <w:rPr>
          <w:rFonts w:ascii="Calibri" w:eastAsia="Times New Roman" w:hAnsi="Calibri" w:cs="Calibri"/>
          <w:color w:val="auto"/>
        </w:rPr>
        <w:sectPr w:rsidR="007F0C3A" w:rsidSect="00406889">
          <w:headerReference w:type="default" r:id="rId25"/>
          <w:pgSz w:w="12240" w:h="15840"/>
          <w:pgMar w:top="1440" w:right="1080" w:bottom="720" w:left="1080" w:header="720" w:footer="720" w:gutter="0"/>
          <w:cols w:space="720"/>
          <w:docGrid w:linePitch="360"/>
        </w:sectPr>
      </w:pPr>
      <w:r w:rsidRPr="00C51DB9">
        <w:rPr>
          <w:rFonts w:ascii="Calibri" w:eastAsia="Times New Roman" w:hAnsi="Calibri" w:cs="Calibri"/>
          <w:i/>
          <w:iCs/>
          <w:color w:val="auto"/>
        </w:rPr>
        <w:t xml:space="preserve">Other </w:t>
      </w:r>
      <w:r w:rsidRPr="00C51DB9">
        <w:rPr>
          <w:rFonts w:ascii="Calibri" w:eastAsia="Times New Roman" w:hAnsi="Calibri" w:cs="Calibri"/>
          <w:color w:val="auto"/>
        </w:rPr>
        <w:t>(</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=O) – Location derived by some method not outlined above, e.g., zip code, etc. Please specify what O is in your metadata file. </w:t>
      </w:r>
    </w:p>
    <w:p w14:paraId="72887389" w14:textId="0FAC89B3" w:rsidR="001D7DB7" w:rsidRDefault="001D7DB7" w:rsidP="001D7DB7">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C – geomasking tool</w:t>
      </w:r>
      <w:r w:rsidRPr="00711329">
        <w:rPr>
          <w:rFonts w:ascii="Cambria" w:eastAsia="Times New Roman" w:hAnsi="Cambria" w:cs="Times New Roman"/>
          <w:b/>
          <w:bCs/>
          <w:i/>
          <w:iCs/>
          <w:color w:val="auto"/>
          <w:sz w:val="24"/>
          <w:szCs w:val="24"/>
        </w:rPr>
        <w:t>  </w:t>
      </w:r>
    </w:p>
    <w:p w14:paraId="4EA77DA9" w14:textId="77777777" w:rsidR="00C51DB9" w:rsidRPr="0040688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rPr>
      </w:pPr>
      <w:r w:rsidRPr="00406889">
        <w:rPr>
          <w:rFonts w:ascii="Calibri" w:eastAsia="Times New Roman" w:hAnsi="Calibri" w:cs="Calibri"/>
          <w:color w:val="auto"/>
        </w:rPr>
        <w:t xml:space="preserve">A PowerPoint demonstration of New York State Department of Health’s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is on SharePoint at: </w:t>
      </w:r>
      <w:hyperlink r:id="rId26" w:tgtFrame="_blank" w:history="1">
        <w:r w:rsidRPr="00406889">
          <w:rPr>
            <w:rFonts w:ascii="Calibri" w:eastAsia="Times New Roman" w:hAnsi="Calibri" w:cs="Calibri"/>
            <w:color w:val="0000FF"/>
            <w:u w:val="single"/>
          </w:rPr>
          <w:t>https://partner.cdc.gov/Sites/NCEH/EHHE/tracking/ArchiveWG/Geospatial/GeoMask_Tool_7_11.pdf</w:t>
        </w:r>
      </w:hyperlink>
      <w:r w:rsidRPr="00406889">
        <w:rPr>
          <w:rFonts w:ascii="Calibri" w:eastAsia="Times New Roman" w:hAnsi="Calibri" w:cs="Calibri"/>
          <w:color w:val="auto"/>
        </w:rPr>
        <w:t> </w:t>
      </w:r>
    </w:p>
    <w:p w14:paraId="406DC600" w14:textId="4ABE076D" w:rsidR="00ED3F54" w:rsidRPr="00406889" w:rsidRDefault="00C51DB9" w:rsidP="00ED3F54">
      <w:pPr>
        <w:spacing w:before="100" w:beforeAutospacing="1" w:after="100" w:afterAutospacing="1" w:line="240" w:lineRule="auto"/>
        <w:textAlignment w:val="baseline"/>
        <w:rPr>
          <w:rFonts w:ascii="Calibri" w:eastAsia="Times New Roman" w:hAnsi="Calibri" w:cs="Calibri"/>
          <w:color w:val="auto"/>
        </w:rPr>
        <w:sectPr w:rsidR="00ED3F54" w:rsidRPr="00406889" w:rsidSect="00053E85">
          <w:pgSz w:w="12240" w:h="15840"/>
          <w:pgMar w:top="1800" w:right="1080" w:bottom="720" w:left="1080" w:header="720" w:footer="720" w:gutter="0"/>
          <w:cols w:space="720"/>
          <w:docGrid w:linePitch="360"/>
        </w:sectPr>
      </w:pPr>
      <w:r w:rsidRPr="00406889">
        <w:rPr>
          <w:rFonts w:ascii="Calibri" w:eastAsia="Times New Roman" w:hAnsi="Calibri" w:cs="Calibri"/>
          <w:color w:val="auto"/>
        </w:rPr>
        <w:t xml:space="preserve">The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described in the presentation above is available on SharePoint at:</w:t>
      </w:r>
    </w:p>
    <w:p w14:paraId="7D31B723" w14:textId="53C1AF64"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D – Determining appropriate values for non-detects when no detection limit is provided</w:t>
      </w:r>
      <w:r w:rsidRPr="00711329">
        <w:rPr>
          <w:rFonts w:ascii="Cambria" w:eastAsia="Times New Roman" w:hAnsi="Cambria" w:cs="Times New Roman"/>
          <w:b/>
          <w:bCs/>
          <w:i/>
          <w:iCs/>
          <w:color w:val="auto"/>
          <w:sz w:val="24"/>
          <w:szCs w:val="24"/>
        </w:rPr>
        <w:t>  </w:t>
      </w:r>
    </w:p>
    <w:p w14:paraId="450DC93C"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This guidance is provided to assist grantees in substituting detection limit (DL) values in the Sampling Results Staging Table for observations in which DL values were not provided by their SDWIS data steward. </w:t>
      </w:r>
    </w:p>
    <w:p w14:paraId="3CEDE5A1" w14:textId="77777777" w:rsidR="00C51DB9" w:rsidRPr="00C51DB9" w:rsidRDefault="00C51DB9" w:rsidP="00406889">
      <w:pPr>
        <w:numPr>
          <w:ilvl w:val="0"/>
          <w:numId w:val="20"/>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for each unique lab and substitute this value for non-detect observations lacking a DL for the same year and same lab. </w:t>
      </w:r>
    </w:p>
    <w:p w14:paraId="0D8F1B5F" w14:textId="77777777" w:rsidR="00C51DB9" w:rsidRPr="00C51DB9" w:rsidRDefault="00C51DB9" w:rsidP="00406889">
      <w:pPr>
        <w:numPr>
          <w:ilvl w:val="0"/>
          <w:numId w:val="21"/>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and substitute this value for non-detect observations not updated in (1) and lacking a DL for the same year. </w:t>
      </w:r>
    </w:p>
    <w:p w14:paraId="48469F78" w14:textId="454C2382" w:rsidR="00ED3F54" w:rsidRDefault="00C51DB9" w:rsidP="00406889">
      <w:pPr>
        <w:numPr>
          <w:ilvl w:val="0"/>
          <w:numId w:val="22"/>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sectPr w:rsidR="00ED3F54" w:rsidSect="00053E85">
          <w:pgSz w:w="12240" w:h="15840"/>
          <w:pgMar w:top="1800" w:right="1080" w:bottom="720" w:left="1080" w:header="720" w:footer="720" w:gutter="0"/>
          <w:cols w:space="720"/>
          <w:docGrid w:linePitch="360"/>
        </w:sectPr>
      </w:pPr>
      <w:r w:rsidRPr="00C51DB9">
        <w:rPr>
          <w:rFonts w:ascii="Calibri" w:eastAsia="Times New Roman" w:hAnsi="Calibri" w:cs="Calibri"/>
          <w:color w:val="auto"/>
        </w:rPr>
        <w:t>For the remaining non-detect observations lacking a DL and not updated in (1) or (2), please refer to the Excel file on Share Point, Analyte Detection Methods (</w:t>
      </w:r>
      <w:hyperlink r:id="rId27" w:tgtFrame="_blank" w:history="1">
        <w:r w:rsidRPr="00C51DB9">
          <w:rPr>
            <w:rFonts w:ascii="Calibri" w:eastAsia="Times New Roman" w:hAnsi="Calibri" w:cs="Calibri"/>
            <w:color w:val="0000FF"/>
            <w:u w:val="single"/>
          </w:rPr>
          <w:t>https://partner.cdc.gov/Sites/NCEH/EHHE/tracking/Resources/NCDM/Analyte_detection_methods_01062012.xlsx</w:t>
        </w:r>
      </w:hyperlink>
      <w:r w:rsidRPr="00C51DB9">
        <w:rPr>
          <w:rFonts w:ascii="Calibri" w:eastAsia="Times New Roman" w:hAnsi="Calibri" w:cs="Calibri"/>
          <w:color w:val="1F497D"/>
        </w:rPr>
        <w:t xml:space="preserve">) </w:t>
      </w:r>
      <w:r w:rsidRPr="00C51DB9">
        <w:rPr>
          <w:rFonts w:ascii="Calibri" w:eastAsia="Times New Roman" w:hAnsi="Calibri" w:cs="Calibri"/>
          <w:color w:val="auto"/>
        </w:rPr>
        <w:t>for an appropriate DL</w:t>
      </w:r>
      <w:r w:rsidR="007F0C3A">
        <w:rPr>
          <w:rFonts w:ascii="Calibri" w:eastAsia="Times New Roman" w:hAnsi="Calibri" w:cs="Calibri"/>
          <w:color w:val="auto"/>
        </w:rPr>
        <w:t>.</w:t>
      </w:r>
    </w:p>
    <w:p w14:paraId="1D06A9AA" w14:textId="0CE33D40"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E – sample xml validated for submission to cdc</w:t>
      </w:r>
      <w:r w:rsidRPr="00711329">
        <w:rPr>
          <w:rFonts w:ascii="Cambria" w:eastAsia="Times New Roman" w:hAnsi="Cambria" w:cs="Times New Roman"/>
          <w:b/>
          <w:bCs/>
          <w:i/>
          <w:iCs/>
          <w:color w:val="auto"/>
          <w:sz w:val="24"/>
          <w:szCs w:val="24"/>
        </w:rPr>
        <w:t>  </w:t>
      </w:r>
    </w:p>
    <w:p w14:paraId="3D5248AE"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 xml:space="preserve">Pasted below are validated examples of the Inventory and Water Quality Levels datasets.  Only one observation is included in the Inventory dataset and only two observations are included in the Water Quality Levels dataset (one for sample- and one summary-level data).  Please see the Data Dictionary for additional description of allowable values and variable formats.  </w:t>
      </w:r>
      <w:r w:rsidRPr="00BD420C">
        <w:rPr>
          <w:rFonts w:eastAsia="Times New Roman" w:cstheme="minorHAnsi"/>
          <w:color w:val="auto"/>
          <w:highlight w:val="yellow"/>
        </w:rPr>
        <w:t>Please refer to the actual schema files provided on the EPHTN SharePoint site as an authoritative resource for XML syntax, including element naming and sequence</w:t>
      </w:r>
      <w:r w:rsidRPr="00972918">
        <w:rPr>
          <w:rFonts w:eastAsia="Times New Roman" w:cstheme="minorHAnsi"/>
          <w:color w:val="auto"/>
        </w:rPr>
        <w:t>. </w:t>
      </w:r>
    </w:p>
    <w:p w14:paraId="18BB16B3" w14:textId="08DED9B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  Inventory dataset: </w:t>
      </w:r>
    </w:p>
    <w:p w14:paraId="68526923" w14:textId="77777777" w:rsidR="00103D01" w:rsidRPr="00972918" w:rsidRDefault="00103D01" w:rsidP="00D04CED">
      <w:pPr>
        <w:spacing w:after="0" w:line="240" w:lineRule="auto"/>
        <w:textAlignment w:val="baseline"/>
        <w:rPr>
          <w:rFonts w:eastAsia="Times New Roman" w:cstheme="minorHAnsi"/>
          <w:color w:val="auto"/>
        </w:rPr>
      </w:pPr>
    </w:p>
    <w:p w14:paraId="5C62A28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4F02C6A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="http://www.ephtn.org/NCDM/ENV/PWSInventory"&gt; </w:t>
      </w:r>
    </w:p>
    <w:p w14:paraId="388CB15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87B3B6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&lt;MCN&gt;4b956457-b578-41c4-b274-f067ba0430da&lt;/MCN&gt; </w:t>
      </w:r>
    </w:p>
    <w:p w14:paraId="7AA3BD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76BC29E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&gt;PWSINVENTORY&lt;/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2BA0C6D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51F9991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6F7330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310EA46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19C5A9D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4F12175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04173EB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ACD32C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7D22607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2ADAF94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2D9A59B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571509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&gt;2011&lt;/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 </w:t>
      </w:r>
    </w:p>
    <w:p w14:paraId="372CD19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YearPulled</w:t>
      </w:r>
      <w:proofErr w:type="spellEnd"/>
      <w:r w:rsidRPr="00972918">
        <w:rPr>
          <w:rFonts w:eastAsia="Times New Roman" w:cstheme="minorHAnsi"/>
          <w:color w:val="auto"/>
        </w:rPr>
        <w:t>&gt;2011&lt;/</w:t>
      </w:r>
      <w:proofErr w:type="spellStart"/>
      <w:r w:rsidRPr="00972918">
        <w:rPr>
          <w:rFonts w:eastAsia="Times New Roman" w:cstheme="minorHAnsi"/>
          <w:color w:val="auto"/>
        </w:rPr>
        <w:t>YearPulled</w:t>
      </w:r>
      <w:proofErr w:type="spellEnd"/>
      <w:r w:rsidRPr="00972918">
        <w:rPr>
          <w:rFonts w:eastAsia="Times New Roman" w:cstheme="minorHAnsi"/>
          <w:color w:val="auto"/>
        </w:rPr>
        <w:t>&gt; </w:t>
      </w:r>
    </w:p>
    <w:p w14:paraId="4D729F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PWSName</w:t>
      </w:r>
      <w:proofErr w:type="spellEnd"/>
      <w:r w:rsidRPr="00972918">
        <w:rPr>
          <w:rFonts w:eastAsia="Times New Roman" w:cstheme="minorHAnsi"/>
          <w:color w:val="auto"/>
        </w:rPr>
        <w:t>&gt;NORRIS CANYON PROPERTY OWNERS ASSN.&lt;/</w:t>
      </w:r>
      <w:proofErr w:type="spellStart"/>
      <w:r w:rsidRPr="00972918">
        <w:rPr>
          <w:rFonts w:eastAsia="Times New Roman" w:cstheme="minorHAnsi"/>
          <w:color w:val="auto"/>
        </w:rPr>
        <w:t>PWSName</w:t>
      </w:r>
      <w:proofErr w:type="spellEnd"/>
      <w:r w:rsidRPr="00972918">
        <w:rPr>
          <w:rFonts w:eastAsia="Times New Roman" w:cstheme="minorHAnsi"/>
          <w:color w:val="auto"/>
        </w:rPr>
        <w:t>&gt; </w:t>
      </w:r>
    </w:p>
    <w:p w14:paraId="41682EB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&gt;06001&lt;/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 </w:t>
      </w:r>
    </w:p>
    <w:p w14:paraId="54D42C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&gt;1658237&lt;/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 </w:t>
      </w:r>
    </w:p>
    <w:p w14:paraId="6AB22E9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&gt;19&lt;/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 </w:t>
      </w:r>
    </w:p>
    <w:p w14:paraId="50B288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&gt;100&lt;/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 </w:t>
      </w:r>
    </w:p>
    <w:p w14:paraId="6C3A361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&gt;GW&lt;/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 </w:t>
      </w:r>
    </w:p>
    <w:p w14:paraId="103B0BF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4445FD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LatitudeRange</w:t>
      </w:r>
      <w:proofErr w:type="spellEnd"/>
      <w:r w:rsidRPr="00972918">
        <w:rPr>
          <w:rFonts w:eastAsia="Times New Roman" w:cstheme="minorHAnsi"/>
          <w:color w:val="auto"/>
        </w:rPr>
        <w:t>&gt;37.734364&lt;/</w:t>
      </w:r>
      <w:proofErr w:type="spellStart"/>
      <w:r w:rsidRPr="00972918">
        <w:rPr>
          <w:rFonts w:eastAsia="Times New Roman" w:cstheme="minorHAnsi"/>
          <w:color w:val="auto"/>
        </w:rPr>
        <w:t>LatitudeRange</w:t>
      </w:r>
      <w:proofErr w:type="spellEnd"/>
      <w:r w:rsidRPr="00972918">
        <w:rPr>
          <w:rFonts w:eastAsia="Times New Roman" w:cstheme="minorHAnsi"/>
          <w:color w:val="auto"/>
        </w:rPr>
        <w:t>&gt; </w:t>
      </w:r>
    </w:p>
    <w:p w14:paraId="4C299F1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LatitudeNS</w:t>
      </w:r>
      <w:proofErr w:type="spellEnd"/>
      <w:r w:rsidRPr="00972918">
        <w:rPr>
          <w:rFonts w:eastAsia="Times New Roman" w:cstheme="minorHAnsi"/>
          <w:color w:val="auto"/>
        </w:rPr>
        <w:t xml:space="preserve"> element --&gt; </w:t>
      </w:r>
    </w:p>
    <w:p w14:paraId="73C832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62447FD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78E8D33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&gt;-122.027303&lt;/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 </w:t>
      </w:r>
    </w:p>
    <w:p w14:paraId="16FCA23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LongitudeNS</w:t>
      </w:r>
      <w:proofErr w:type="spellEnd"/>
      <w:r w:rsidRPr="00972918">
        <w:rPr>
          <w:rFonts w:eastAsia="Times New Roman" w:cstheme="minorHAnsi"/>
          <w:color w:val="auto"/>
        </w:rPr>
        <w:t xml:space="preserve"> element --&gt; </w:t>
      </w:r>
    </w:p>
    <w:p w14:paraId="74E8679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12DB8BA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&gt;SA&lt;/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 </w:t>
      </w:r>
    </w:p>
    <w:p w14:paraId="0B89B10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3C59433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0CA53291" w14:textId="0B1C385D"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lastRenderedPageBreak/>
        <w:t>&lt;/</w:t>
      </w:r>
      <w:proofErr w:type="spellStart"/>
      <w:r w:rsidRPr="00972918">
        <w:rPr>
          <w:rFonts w:eastAsia="Times New Roman" w:cstheme="minorHAnsi"/>
          <w:color w:val="auto"/>
        </w:rPr>
        <w:t>PWSInventory</w:t>
      </w:r>
      <w:proofErr w:type="spellEnd"/>
      <w:r w:rsidRPr="00972918">
        <w:rPr>
          <w:rFonts w:eastAsia="Times New Roman" w:cstheme="minorHAnsi"/>
          <w:color w:val="auto"/>
        </w:rPr>
        <w:t>&gt; II. Water Quality Levels dataset (first row is an optional sample-level observation and second row is a summary-level observation) </w:t>
      </w:r>
    </w:p>
    <w:p w14:paraId="3891A3F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464D0D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1508293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="http://www.ephtn.org/NCDM/ENV/WaterQualityLevels"&gt; </w:t>
      </w:r>
    </w:p>
    <w:p w14:paraId="75222C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3B0E23D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&lt;MCN&gt;f4ba15e2-3933-456f-a7d9-7edbac6fd19e&lt;/MCN&gt; </w:t>
      </w:r>
    </w:p>
    <w:p w14:paraId="2881C0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14BF0C5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&gt;WQL&lt;/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0048D55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052D813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3DC2D23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7606F81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046813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27C0CF4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2ADC65A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6433A9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2D0CC98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E9BA3C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13E7909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35A2D5A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2EA8D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3B4180A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05B90A2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26C85AC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6F4F7CD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7759B0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5C826B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&gt;43571&lt;/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7A8315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1D8C3B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3DA3A3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25F778C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21E0C08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&gt;MX&lt;/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 </w:t>
      </w:r>
    </w:p>
    <w:p w14:paraId="4648011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&gt;1&lt;/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 </w:t>
      </w:r>
    </w:p>
    <w:p w14:paraId="535FCD9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&gt;2000&lt;/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 </w:t>
      </w:r>
    </w:p>
    <w:p w14:paraId="1D5DFC3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NumSamples</w:t>
      </w:r>
      <w:proofErr w:type="spellEnd"/>
      <w:r w:rsidRPr="00972918">
        <w:rPr>
          <w:rFonts w:eastAsia="Times New Roman" w:cstheme="minorHAnsi"/>
          <w:color w:val="auto"/>
        </w:rPr>
        <w:t>&gt;1&lt;/</w:t>
      </w:r>
      <w:proofErr w:type="spellStart"/>
      <w:r w:rsidRPr="00972918">
        <w:rPr>
          <w:rFonts w:eastAsia="Times New Roman" w:cstheme="minorHAnsi"/>
          <w:color w:val="auto"/>
        </w:rPr>
        <w:t>NumSamples</w:t>
      </w:r>
      <w:proofErr w:type="spellEnd"/>
      <w:r w:rsidRPr="00972918">
        <w:rPr>
          <w:rFonts w:eastAsia="Times New Roman" w:cstheme="minorHAnsi"/>
          <w:color w:val="auto"/>
        </w:rPr>
        <w:t>&gt; </w:t>
      </w:r>
    </w:p>
    <w:p w14:paraId="39A150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NumNonDetects</w:t>
      </w:r>
      <w:proofErr w:type="spellEnd"/>
      <w:r w:rsidRPr="00972918">
        <w:rPr>
          <w:rFonts w:eastAsia="Times New Roman" w:cstheme="minorHAnsi"/>
          <w:color w:val="auto"/>
        </w:rPr>
        <w:t>&gt;0&lt;/</w:t>
      </w:r>
      <w:proofErr w:type="spellStart"/>
      <w:r w:rsidRPr="00972918">
        <w:rPr>
          <w:rFonts w:eastAsia="Times New Roman" w:cstheme="minorHAnsi"/>
          <w:color w:val="auto"/>
        </w:rPr>
        <w:t>NumNonDetects</w:t>
      </w:r>
      <w:proofErr w:type="spellEnd"/>
      <w:r w:rsidRPr="00972918">
        <w:rPr>
          <w:rFonts w:eastAsia="Times New Roman" w:cstheme="minorHAnsi"/>
          <w:color w:val="auto"/>
        </w:rPr>
        <w:t>&gt; </w:t>
      </w:r>
    </w:p>
    <w:p w14:paraId="7C9A10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3D82405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48EB1D4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7ECFE8B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31B083EA" w14:textId="77777777" w:rsidR="007F0C3A" w:rsidRPr="00972918" w:rsidRDefault="00C51DB9" w:rsidP="007F0C3A">
      <w:pPr>
        <w:spacing w:after="0" w:line="240" w:lineRule="auto"/>
        <w:textAlignment w:val="baseline"/>
        <w:rPr>
          <w:rFonts w:eastAsia="Times New Roman" w:cstheme="minorHAnsi"/>
          <w:color w:val="auto"/>
        </w:rPr>
        <w:sectPr w:rsidR="007F0C3A" w:rsidRPr="00972918" w:rsidSect="00053E85">
          <w:pgSz w:w="12240" w:h="15840"/>
          <w:pgMar w:top="1800" w:right="1080" w:bottom="720" w:left="1080" w:header="720" w:footer="720" w:gutter="0"/>
          <w:cols w:space="720"/>
          <w:docGrid w:linePitch="360"/>
        </w:sect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&gt; </w:t>
      </w:r>
    </w:p>
    <w:p w14:paraId="0F7E1A49" w14:textId="73E04C00" w:rsidR="00103D01" w:rsidRDefault="00103D01" w:rsidP="00103D01">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F – data quality checks at the gateway, 20</w:t>
      </w:r>
      <w:r w:rsidR="00163A31">
        <w:t>22</w:t>
      </w:r>
      <w:r w:rsidRPr="00711329">
        <w:rPr>
          <w:rFonts w:ascii="Cambria" w:eastAsia="Times New Roman" w:hAnsi="Cambria" w:cs="Times New Roman"/>
          <w:b/>
          <w:bCs/>
          <w:i/>
          <w:iCs/>
          <w:color w:val="auto"/>
          <w:sz w:val="24"/>
          <w:szCs w:val="24"/>
        </w:rPr>
        <w:t>  </w:t>
      </w:r>
    </w:p>
    <w:p w14:paraId="729B9373" w14:textId="77DCFE6E"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Starting with the 2015 data call for community drinking water data, the following validation checks will occur at the Gateway to shorten and facilitate data validation.  </w:t>
      </w:r>
    </w:p>
    <w:p w14:paraId="5574923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1. Duplicate records.</w:t>
      </w:r>
      <w:r w:rsidRPr="00972918">
        <w:rPr>
          <w:rFonts w:eastAsia="Times New Roman" w:cstheme="minorHAnsi"/>
          <w:color w:val="auto"/>
        </w:rPr>
        <w:t>  You can check your dataset for duplicate records by looking for more than one record with the following information: </w:t>
      </w:r>
    </w:p>
    <w:p w14:paraId="741965E6"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WQL files</w:t>
      </w:r>
      <w:r w:rsidRPr="00972918">
        <w:rPr>
          <w:rFonts w:eastAsia="Times New Roman" w:cstheme="minorHAnsi"/>
          <w:color w:val="auto"/>
        </w:rPr>
        <w:t>: Year x Aggregation Code (MX, M) x Summary Time Period (A, Q) x Analyte Code </w:t>
      </w:r>
    </w:p>
    <w:p w14:paraId="0D670B50"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PWS Inventory</w:t>
      </w:r>
      <w:r w:rsidRPr="00972918">
        <w:rPr>
          <w:rFonts w:eastAsia="Times New Roman" w:cstheme="minorHAnsi"/>
          <w:color w:val="auto"/>
        </w:rPr>
        <w:t>:  Year Associated To x PWS ID </w:t>
      </w:r>
    </w:p>
    <w:p w14:paraId="4529BF20" w14:textId="7DEA6D00"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2. Concentration Units.</w:t>
      </w:r>
      <w:r w:rsidRPr="00972918">
        <w:rPr>
          <w:rFonts w:eastAsia="Times New Roman" w:cstheme="minorHAnsi"/>
          <w:color w:val="auto"/>
        </w:rPr>
        <w:t xml:space="preserve"> Eight of the ten analytes are measured in ug/L; nitrates use mg/L and radium uses </w:t>
      </w:r>
      <w:proofErr w:type="spellStart"/>
      <w:r w:rsidRPr="00972918">
        <w:rPr>
          <w:rFonts w:eastAsia="Times New Roman" w:cstheme="minorHAnsi"/>
          <w:color w:val="auto"/>
        </w:rPr>
        <w:t>pCi</w:t>
      </w:r>
      <w:proofErr w:type="spellEnd"/>
      <w:r w:rsidRPr="00972918">
        <w:rPr>
          <w:rFonts w:eastAsia="Times New Roman" w:cstheme="minorHAnsi"/>
          <w:color w:val="auto"/>
        </w:rPr>
        <w:t xml:space="preserve">/L.  Units will be specific to the analyte code; any </w:t>
      </w:r>
      <w:r w:rsidR="007850EE" w:rsidRPr="00972918">
        <w:rPr>
          <w:rFonts w:eastAsia="Times New Roman" w:cstheme="minorHAnsi"/>
          <w:color w:val="auto"/>
        </w:rPr>
        <w:t>mismatch</w:t>
      </w:r>
      <w:r w:rsidRPr="00972918">
        <w:rPr>
          <w:rFonts w:eastAsia="Times New Roman" w:cstheme="minorHAnsi"/>
          <w:color w:val="auto"/>
        </w:rPr>
        <w:t xml:space="preserve"> will be rejected at the Gateway.   </w:t>
      </w:r>
    </w:p>
    <w:p w14:paraId="6D95F7E7"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3. Quarterly means greater than annual maximums.</w:t>
      </w:r>
      <w:r w:rsidRPr="00972918">
        <w:rPr>
          <w:rFonts w:eastAsia="Times New Roman" w:cstheme="minorHAnsi"/>
          <w:color w:val="auto"/>
        </w:rPr>
        <w:t xml:space="preserve"> This error often occurs in submission of purchased water data. Please check your files to make sure the concentrations for purchased water are used in the calculation of the mean and maximum value for that CWS.  </w:t>
      </w:r>
    </w:p>
    <w:p w14:paraId="2D544B7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4. Number of non-detects greater than the number of samples.</w:t>
      </w:r>
      <w:r w:rsidRPr="00972918">
        <w:rPr>
          <w:rFonts w:eastAsia="Times New Roman" w:cstheme="minorHAnsi"/>
          <w:color w:val="auto"/>
        </w:rPr>
        <w:t xml:space="preserve"> The number of non-detects can only be less than or equal to the number of samples.  </w:t>
      </w:r>
    </w:p>
    <w:p w14:paraId="15E0A38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5.  We will only accept quarterly data for atrazine (2050), nitrate (1040), HAA5 (2456) and TTHM (2950).</w:t>
      </w:r>
      <w:r w:rsidRPr="00972918">
        <w:rPr>
          <w:rFonts w:eastAsia="Times New Roman" w:cstheme="minorHAnsi"/>
          <w:color w:val="auto"/>
        </w:rPr>
        <w:t xml:space="preserve"> Submission of quarterly data for analytes other than the 4 listed above will cause your data file to be rejected at the Gateway.  </w:t>
      </w:r>
    </w:p>
    <w:p w14:paraId="0A2FFD99" w14:textId="77777777" w:rsidR="005014B5" w:rsidRDefault="00C51DB9" w:rsidP="005014B5">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6. We request that you only submit mean (“X”) quarterly data</w:t>
      </w:r>
      <w:r w:rsidRPr="00972918">
        <w:rPr>
          <w:rFonts w:eastAsia="Times New Roman" w:cstheme="minorHAnsi"/>
          <w:color w:val="auto"/>
        </w:rPr>
        <w:t xml:space="preserve"> for atrazine (2050), nitrate (1040), HAA5 (2456) and TTHM (2950); please do not submit quarterly maximum data.   </w:t>
      </w:r>
    </w:p>
    <w:p w14:paraId="197FB923" w14:textId="344A1B97" w:rsidR="00BB1712" w:rsidRPr="00872F51" w:rsidRDefault="005014B5" w:rsidP="005014B5">
      <w:pPr>
        <w:spacing w:before="100" w:beforeAutospacing="1" w:after="100" w:afterAutospacing="1" w:line="240" w:lineRule="auto"/>
        <w:textAlignment w:val="baseline"/>
        <w:rPr>
          <w:rFonts w:cstheme="minorHAnsi"/>
          <w:b/>
          <w:bCs/>
          <w:i/>
          <w:iCs/>
        </w:rPr>
      </w:pPr>
      <w:r w:rsidRPr="00872F51">
        <w:rPr>
          <w:rFonts w:cstheme="minorHAnsi"/>
          <w:b/>
          <w:bCs/>
        </w:rPr>
        <w:t>7. Too high to be a non-detection.</w:t>
      </w:r>
      <w:r w:rsidR="00BB1712" w:rsidRPr="00872F51">
        <w:rPr>
          <w:rFonts w:cstheme="minorHAnsi"/>
          <w:b/>
          <w:bCs/>
        </w:rPr>
        <w:t xml:space="preserve"> </w:t>
      </w:r>
      <w:r w:rsidR="00872F51" w:rsidRPr="00872F51">
        <w:rPr>
          <w:rFonts w:cstheme="minorHAnsi"/>
          <w:b/>
          <w:bCs/>
          <w:i/>
          <w:iCs/>
        </w:rPr>
        <w:t>New in 2022</w:t>
      </w:r>
    </w:p>
    <w:p w14:paraId="2E5B541C" w14:textId="733F0AAE" w:rsidR="005014B5" w:rsidRPr="005014B5" w:rsidRDefault="005014B5" w:rsidP="005014B5">
      <w:pPr>
        <w:spacing w:after="0" w:line="240" w:lineRule="auto"/>
        <w:rPr>
          <w:rFonts w:cstheme="minorHAnsi"/>
          <w:b/>
          <w:bCs/>
          <w:highlight w:val="yellow"/>
        </w:rPr>
      </w:pPr>
      <w:r w:rsidRPr="00872F51">
        <w:rPr>
          <w:rFonts w:cstheme="minorHAnsi"/>
          <w:b/>
          <w:bCs/>
        </w:rPr>
        <w:t xml:space="preserve">8. </w:t>
      </w:r>
      <w:r w:rsidR="0095706A" w:rsidRPr="00872F51">
        <w:rPr>
          <w:b/>
          <w:bCs/>
        </w:rPr>
        <w:t>Annual mean and annual maximum data must be included in the WQL file(s).</w:t>
      </w:r>
      <w:r w:rsidR="0095706A" w:rsidRPr="00BC2A93">
        <w:rPr>
          <w:b/>
          <w:bCs/>
        </w:rPr>
        <w:t xml:space="preserve"> </w:t>
      </w:r>
      <w:r w:rsidR="0095706A">
        <w:rPr>
          <w:b/>
          <w:bCs/>
        </w:rPr>
        <w:t xml:space="preserve">  </w:t>
      </w:r>
      <w:r w:rsidR="0095706A">
        <w:rPr>
          <w:rFonts w:eastAsia="Times New Roman" w:cstheme="minorHAnsi"/>
          <w:color w:val="auto"/>
        </w:rPr>
        <w:t>Every analyte should have both annual mean and annual maximum data submitted in the WQL file.</w:t>
      </w:r>
    </w:p>
    <w:p w14:paraId="396ECF05" w14:textId="1879513F" w:rsidR="007F0C3A" w:rsidRPr="00872F51" w:rsidRDefault="00872F51" w:rsidP="00BC2A93">
      <w:pPr>
        <w:pStyle w:val="NoSpacing"/>
        <w:rPr>
          <w:b/>
          <w:bCs/>
          <w:i/>
          <w:iCs/>
        </w:rPr>
        <w:sectPr w:rsidR="007F0C3A" w:rsidRPr="00872F51" w:rsidSect="00053E85">
          <w:pgSz w:w="12240" w:h="15840"/>
          <w:pgMar w:top="1800" w:right="1080" w:bottom="720" w:left="1080" w:header="720" w:footer="720" w:gutter="0"/>
          <w:cols w:space="720"/>
          <w:docGrid w:linePitch="360"/>
        </w:sectPr>
      </w:pPr>
      <w:r w:rsidRPr="00872F51">
        <w:rPr>
          <w:b/>
          <w:bCs/>
          <w:i/>
          <w:iCs/>
        </w:rPr>
        <w:t xml:space="preserve">New in 2022. </w:t>
      </w:r>
    </w:p>
    <w:p w14:paraId="7F4BF165" w14:textId="18D3D7E8" w:rsidR="00103D01" w:rsidRPr="00972918" w:rsidRDefault="00103D01" w:rsidP="00103D01">
      <w:pPr>
        <w:pStyle w:val="Heading1"/>
        <w:spacing w:before="0" w:after="0" w:line="276" w:lineRule="auto"/>
        <w:rPr>
          <w:rFonts w:eastAsia="Times New Roman"/>
          <w:b/>
          <w:bCs/>
          <w:i/>
          <w:iCs/>
          <w:color w:val="auto"/>
          <w:sz w:val="22"/>
          <w:szCs w:val="22"/>
        </w:rPr>
      </w:pPr>
      <w:r w:rsidRPr="00972918">
        <w:rPr>
          <w:sz w:val="22"/>
          <w:szCs w:val="22"/>
        </w:rPr>
        <w:lastRenderedPageBreak/>
        <w:t>Appendix G – lowest detection limits for analytes</w:t>
      </w:r>
    </w:p>
    <w:p w14:paraId="45E4811A" w14:textId="73146684" w:rsidR="00C51DB9" w:rsidRPr="00972918" w:rsidRDefault="00C51DB9" w:rsidP="00A81753">
      <w:pPr>
        <w:spacing w:before="100" w:beforeAutospacing="1" w:after="0" w:line="240" w:lineRule="auto"/>
        <w:textAlignment w:val="baseline"/>
        <w:rPr>
          <w:rFonts w:eastAsia="Times New Roman" w:cstheme="minorHAnsi"/>
          <w:color w:val="aut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5"/>
        <w:gridCol w:w="2887"/>
        <w:gridCol w:w="2790"/>
        <w:gridCol w:w="990"/>
      </w:tblGrid>
      <w:tr w:rsidR="00C51DB9" w:rsidRPr="00972918" w14:paraId="6437A247" w14:textId="77777777" w:rsidTr="00406889">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6A399324"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Code</w:t>
            </w:r>
            <w:r w:rsidRPr="00972918">
              <w:rPr>
                <w:rFonts w:eastAsia="Times New Roman" w:cstheme="minorHAnsi"/>
                <w:color w:val="auto"/>
              </w:rPr>
              <w:t> </w:t>
            </w:r>
          </w:p>
        </w:tc>
        <w:tc>
          <w:tcPr>
            <w:tcW w:w="2887"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DCEBDF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Description</w:t>
            </w:r>
            <w:r w:rsidRPr="00972918">
              <w:rPr>
                <w:rFonts w:eastAsia="Times New Roman" w:cstheme="minorHAnsi"/>
                <w:color w:val="auto"/>
              </w:rPr>
              <w:t> </w:t>
            </w:r>
          </w:p>
        </w:tc>
        <w:tc>
          <w:tcPr>
            <w:tcW w:w="27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F5AB08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Lowest Detection Level (LDL)</w:t>
            </w:r>
            <w:r w:rsidRPr="00972918">
              <w:rPr>
                <w:rFonts w:eastAsia="Times New Roman" w:cstheme="minorHAnsi"/>
                <w:color w:val="auto"/>
              </w:rPr>
              <w:t> </w:t>
            </w:r>
          </w:p>
        </w:tc>
        <w:tc>
          <w:tcPr>
            <w:tcW w:w="9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1533184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Half LDL </w:t>
            </w:r>
            <w:r w:rsidRPr="00972918">
              <w:rPr>
                <w:rFonts w:eastAsia="Times New Roman" w:cstheme="minorHAnsi"/>
                <w:color w:val="auto"/>
              </w:rPr>
              <w:t> </w:t>
            </w:r>
          </w:p>
        </w:tc>
      </w:tr>
      <w:tr w:rsidR="00C51DB9" w:rsidRPr="00972918" w14:paraId="592E8A5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5595E00"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1005</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1078088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Arsenic</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7EC1DC6"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83F22F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r>
      <w:tr w:rsidR="00C51DB9" w:rsidRPr="00972918" w14:paraId="0E373331" w14:textId="77777777" w:rsidTr="00406889">
        <w:trPr>
          <w:trHeight w:val="246"/>
        </w:trPr>
        <w:tc>
          <w:tcPr>
            <w:tcW w:w="1515" w:type="dxa"/>
            <w:tcBorders>
              <w:top w:val="nil"/>
              <w:left w:val="single" w:sz="6" w:space="0" w:color="auto"/>
              <w:bottom w:val="single" w:sz="6" w:space="0" w:color="auto"/>
              <w:right w:val="single" w:sz="6" w:space="0" w:color="auto"/>
            </w:tcBorders>
            <w:shd w:val="clear" w:color="auto" w:fill="auto"/>
            <w:hideMark/>
          </w:tcPr>
          <w:p w14:paraId="697D4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05CE0433"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Atrazine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4B83C62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955DE20"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r>
      <w:tr w:rsidR="00C51DB9" w:rsidRPr="00972918" w14:paraId="70B3F2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76B38FCD"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2456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1A0A3B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HAA5</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AB62B4D"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0.5</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9A8182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0.25</w:t>
            </w:r>
            <w:r w:rsidRPr="00972918">
              <w:rPr>
                <w:rFonts w:eastAsia="Times New Roman" w:cstheme="minorHAnsi"/>
                <w:color w:val="auto"/>
              </w:rPr>
              <w:t> </w:t>
            </w:r>
          </w:p>
        </w:tc>
      </w:tr>
      <w:tr w:rsidR="00C51DB9" w:rsidRPr="00972918" w14:paraId="4246DAFC"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2663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60D139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TTHM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EB5CE6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3FBC9FA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24D31E61"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334BCA4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2039</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D9C636D"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DEHP</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739F580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0.46</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30152D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0.23</w:t>
            </w:r>
            <w:r w:rsidRPr="00972918">
              <w:rPr>
                <w:rFonts w:eastAsia="Times New Roman" w:cstheme="minorHAnsi"/>
                <w:color w:val="auto"/>
              </w:rPr>
              <w:t> </w:t>
            </w:r>
          </w:p>
        </w:tc>
      </w:tr>
      <w:tr w:rsidR="00C51DB9" w:rsidRPr="00972918" w14:paraId="78DF12BF"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52412BC8"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1040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9396881"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Nitrate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A6AF65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478C9B6"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40D5E5C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20DF1C1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2987</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A45EEE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PCE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7EA1AFC"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B1A08F1"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37556BA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8DC2601"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2984</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0AAEF1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8A359C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DB86DB4"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1AD464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30EE623"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4010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4D9FC71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Combined Radium 226 &amp; 228</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05A4EF22"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2376ACE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r>
      <w:tr w:rsidR="00C51DB9" w:rsidRPr="00972918" w14:paraId="5AD8C7DB"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11B88C5"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4006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85ADBD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Uranium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0B16F2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201D1C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0.0005</w:t>
            </w:r>
            <w:r w:rsidRPr="00972918">
              <w:rPr>
                <w:rFonts w:eastAsia="Times New Roman" w:cstheme="minorHAnsi"/>
                <w:color w:val="auto"/>
              </w:rPr>
              <w:t> </w:t>
            </w:r>
          </w:p>
        </w:tc>
      </w:tr>
    </w:tbl>
    <w:p w14:paraId="1CE099F3" w14:textId="4087E340" w:rsidR="00C51DB9" w:rsidRPr="00972918" w:rsidRDefault="00A81753"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T</w:t>
      </w:r>
      <w:r w:rsidR="00C51DB9" w:rsidRPr="00972918">
        <w:rPr>
          <w:rFonts w:eastAsia="Times New Roman" w:cstheme="minorHAnsi"/>
          <w:color w:val="auto"/>
        </w:rPr>
        <w:t xml:space="preserve">he lowest detection level and half the lowest detection level will be used during data validation to identify analyte concentrations that may be invalid. Please use these values to check your data submission for concentrations that may be artificially low due to a </w:t>
      </w:r>
      <w:proofErr w:type="gramStart"/>
      <w:r w:rsidR="00C51DB9" w:rsidRPr="00972918">
        <w:rPr>
          <w:rFonts w:eastAsia="Times New Roman" w:cstheme="minorHAnsi"/>
          <w:color w:val="auto"/>
        </w:rPr>
        <w:t>units</w:t>
      </w:r>
      <w:proofErr w:type="gramEnd"/>
      <w:r w:rsidR="00C51DB9" w:rsidRPr="00972918">
        <w:rPr>
          <w:rFonts w:eastAsia="Times New Roman" w:cstheme="minorHAnsi"/>
          <w:color w:val="auto"/>
        </w:rPr>
        <w:t xml:space="preserve"> conversion issu</w:t>
      </w:r>
      <w:r w:rsidR="00E45090" w:rsidRPr="00972918">
        <w:rPr>
          <w:rFonts w:eastAsia="Times New Roman" w:cstheme="minorHAnsi"/>
          <w:color w:val="auto"/>
        </w:rPr>
        <w:t>e.</w:t>
      </w:r>
    </w:p>
    <w:p w14:paraId="7A6BBB58" w14:textId="49CB894A" w:rsidR="00BC7CA4" w:rsidRDefault="00BC7CA4" w:rsidP="00A6095E">
      <w:pPr>
        <w:spacing w:line="259" w:lineRule="auto"/>
        <w:rPr>
          <w:rFonts w:eastAsiaTheme="majorEastAsia" w:cstheme="minorHAnsi"/>
          <w:caps/>
          <w:color w:val="003B9F"/>
          <w:sz w:val="32"/>
          <w:szCs w:val="32"/>
        </w:rPr>
      </w:pPr>
    </w:p>
    <w:p w14:paraId="205EC4DC" w14:textId="6EB2F1C1" w:rsidR="008F7266" w:rsidRDefault="008F7266" w:rsidP="00A6095E">
      <w:pPr>
        <w:spacing w:line="259" w:lineRule="auto"/>
        <w:rPr>
          <w:rFonts w:eastAsiaTheme="majorEastAsia" w:cstheme="minorHAnsi"/>
          <w:caps/>
          <w:color w:val="003B9F"/>
          <w:sz w:val="32"/>
          <w:szCs w:val="32"/>
        </w:rPr>
      </w:pPr>
    </w:p>
    <w:p w14:paraId="61F15E0A" w14:textId="03B19940" w:rsidR="008F7266" w:rsidRDefault="008F7266" w:rsidP="00A6095E">
      <w:pPr>
        <w:spacing w:line="259" w:lineRule="auto"/>
        <w:rPr>
          <w:rFonts w:eastAsiaTheme="majorEastAsia" w:cstheme="minorHAnsi"/>
          <w:caps/>
          <w:color w:val="003B9F"/>
          <w:sz w:val="32"/>
          <w:szCs w:val="32"/>
        </w:rPr>
      </w:pPr>
    </w:p>
    <w:p w14:paraId="4F50EA24" w14:textId="6E334243" w:rsidR="008F7266" w:rsidRDefault="008F7266" w:rsidP="00A6095E">
      <w:pPr>
        <w:spacing w:line="259" w:lineRule="auto"/>
        <w:rPr>
          <w:rFonts w:eastAsiaTheme="majorEastAsia" w:cstheme="minorHAnsi"/>
          <w:caps/>
          <w:color w:val="003B9F"/>
          <w:sz w:val="32"/>
          <w:szCs w:val="32"/>
        </w:rPr>
      </w:pPr>
    </w:p>
    <w:p w14:paraId="3F8206B7" w14:textId="7A48766A" w:rsidR="008F7266" w:rsidRDefault="008F7266" w:rsidP="00A6095E">
      <w:pPr>
        <w:spacing w:line="259" w:lineRule="auto"/>
        <w:rPr>
          <w:rFonts w:eastAsiaTheme="majorEastAsia" w:cstheme="minorHAnsi"/>
          <w:caps/>
          <w:color w:val="003B9F"/>
          <w:sz w:val="32"/>
          <w:szCs w:val="32"/>
        </w:rPr>
      </w:pPr>
    </w:p>
    <w:p w14:paraId="48F3BBD7" w14:textId="497A0058" w:rsidR="008F7266" w:rsidRDefault="008F7266" w:rsidP="00A6095E">
      <w:pPr>
        <w:spacing w:line="259" w:lineRule="auto"/>
        <w:rPr>
          <w:rFonts w:eastAsiaTheme="majorEastAsia" w:cstheme="minorHAnsi"/>
          <w:caps/>
          <w:color w:val="003B9F"/>
          <w:sz w:val="32"/>
          <w:szCs w:val="32"/>
        </w:rPr>
      </w:pPr>
    </w:p>
    <w:p w14:paraId="686C169E" w14:textId="15ACA5C2" w:rsidR="008F7266" w:rsidRDefault="008F7266" w:rsidP="00A6095E">
      <w:pPr>
        <w:spacing w:line="259" w:lineRule="auto"/>
        <w:rPr>
          <w:rFonts w:eastAsiaTheme="majorEastAsia" w:cstheme="minorHAnsi"/>
          <w:caps/>
          <w:color w:val="003B9F"/>
          <w:sz w:val="32"/>
          <w:szCs w:val="32"/>
        </w:rPr>
      </w:pPr>
    </w:p>
    <w:p w14:paraId="1B5FCEB5" w14:textId="4589B751" w:rsidR="008F7266" w:rsidRDefault="008F7266" w:rsidP="00A6095E">
      <w:pPr>
        <w:spacing w:line="259" w:lineRule="auto"/>
        <w:rPr>
          <w:rFonts w:eastAsiaTheme="majorEastAsia" w:cstheme="minorHAnsi"/>
          <w:caps/>
          <w:color w:val="003B9F"/>
          <w:sz w:val="32"/>
          <w:szCs w:val="32"/>
        </w:rPr>
      </w:pPr>
    </w:p>
    <w:p w14:paraId="4F4A75CB" w14:textId="7695BEA4" w:rsidR="008F7266" w:rsidRDefault="008F7266" w:rsidP="00A6095E">
      <w:pPr>
        <w:spacing w:line="259" w:lineRule="auto"/>
        <w:rPr>
          <w:rFonts w:eastAsiaTheme="majorEastAsia" w:cstheme="minorHAnsi"/>
          <w:caps/>
          <w:color w:val="003B9F"/>
          <w:sz w:val="32"/>
          <w:szCs w:val="32"/>
        </w:rPr>
      </w:pPr>
    </w:p>
    <w:p w14:paraId="69BF87DF" w14:textId="055C3E74" w:rsidR="00406889" w:rsidRDefault="00406889">
      <w:pPr>
        <w:spacing w:line="259" w:lineRule="auto"/>
        <w:rPr>
          <w:rFonts w:eastAsiaTheme="majorEastAsia" w:cstheme="minorHAnsi"/>
          <w:caps/>
          <w:color w:val="003B9F"/>
          <w:sz w:val="32"/>
          <w:szCs w:val="32"/>
        </w:rPr>
      </w:pPr>
      <w:r>
        <w:rPr>
          <w:rFonts w:eastAsiaTheme="majorEastAsia" w:cstheme="minorHAnsi"/>
          <w:caps/>
          <w:color w:val="003B9F"/>
          <w:sz w:val="32"/>
          <w:szCs w:val="32"/>
        </w:rPr>
        <w:br w:type="page"/>
      </w:r>
    </w:p>
    <w:p w14:paraId="3ED49E17" w14:textId="77777777" w:rsidR="008F7266" w:rsidRDefault="008F7266" w:rsidP="00A6095E">
      <w:pPr>
        <w:spacing w:line="259" w:lineRule="auto"/>
        <w:rPr>
          <w:rFonts w:eastAsiaTheme="majorEastAsia" w:cstheme="minorHAnsi"/>
          <w:caps/>
          <w:color w:val="003B9F"/>
          <w:sz w:val="32"/>
          <w:szCs w:val="32"/>
        </w:rPr>
      </w:pPr>
    </w:p>
    <w:p w14:paraId="0248170A" w14:textId="22A89C32" w:rsidR="008F7266" w:rsidRDefault="008F7266" w:rsidP="00A6095E">
      <w:pPr>
        <w:spacing w:line="259" w:lineRule="auto"/>
        <w:rPr>
          <w:rFonts w:eastAsiaTheme="majorEastAsia" w:cstheme="minorHAnsi"/>
          <w:caps/>
          <w:color w:val="003B9F"/>
          <w:sz w:val="32"/>
          <w:szCs w:val="32"/>
        </w:rPr>
      </w:pPr>
    </w:p>
    <w:p w14:paraId="130F4091" w14:textId="77777777" w:rsidR="008F7266" w:rsidRDefault="008F7266" w:rsidP="008F7266">
      <w:pPr>
        <w:spacing w:line="259" w:lineRule="auto"/>
        <w:rPr>
          <w:rFonts w:eastAsiaTheme="majorEastAsia" w:cstheme="minorHAnsi"/>
          <w:caps/>
          <w:color w:val="003B9F"/>
          <w:sz w:val="32"/>
          <w:szCs w:val="32"/>
        </w:rPr>
      </w:pPr>
      <w:r>
        <w:rPr>
          <w:noProof/>
          <w:color w:val="003B9F"/>
          <w:sz w:val="16"/>
          <w:szCs w:val="16"/>
        </w:rPr>
        <w:drawing>
          <wp:inline distT="0" distB="0" distL="0" distR="0" wp14:anchorId="7439C0FC" wp14:editId="66AD834C">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4B2CBD5D" w14:textId="77777777" w:rsidR="008F7266" w:rsidRDefault="008F7266" w:rsidP="008F7266">
      <w:r>
        <w:t xml:space="preserve">Contact us: </w:t>
      </w:r>
      <w:hyperlink r:id="rId29" w:history="1">
        <w:r w:rsidRPr="00BE5E91">
          <w:rPr>
            <w:rStyle w:val="Hyperlink"/>
          </w:rPr>
          <w:t>trackingsupport@cdc.gov</w:t>
        </w:r>
      </w:hyperlink>
      <w:r>
        <w:t xml:space="preserve"> </w:t>
      </w:r>
    </w:p>
    <w:p w14:paraId="0E696597" w14:textId="77777777" w:rsidR="008F7266" w:rsidRDefault="008F7266" w:rsidP="008F7266">
      <w:r>
        <w:t xml:space="preserve">Visit the Tracking Network today: </w:t>
      </w:r>
      <w:hyperlink r:id="rId30" w:history="1">
        <w:r w:rsidRPr="00BE5E91">
          <w:rPr>
            <w:rStyle w:val="Hyperlink"/>
          </w:rPr>
          <w:t>www.cdc.gov/ephtracking</w:t>
        </w:r>
      </w:hyperlink>
      <w:r>
        <w:t xml:space="preserve"> </w:t>
      </w:r>
    </w:p>
    <w:p w14:paraId="7C6B0C4C" w14:textId="77777777" w:rsidR="008F7266" w:rsidRDefault="008F7266" w:rsidP="008F7266">
      <w:r>
        <w:t>Follow us on social media:</w:t>
      </w:r>
    </w:p>
    <w:p w14:paraId="31C3B386" w14:textId="77777777" w:rsidR="008F7266" w:rsidRDefault="008F7266" w:rsidP="008F7266">
      <w:pPr>
        <w:pStyle w:val="ListParagraph"/>
        <w:numPr>
          <w:ilvl w:val="0"/>
          <w:numId w:val="24"/>
        </w:numPr>
      </w:pPr>
      <w:r>
        <w:t>Twitter (</w:t>
      </w:r>
      <w:r w:rsidRPr="00CB6A02">
        <w:t>@CDC_EPHTracking</w:t>
      </w:r>
      <w:r>
        <w:t xml:space="preserve">) </w:t>
      </w:r>
    </w:p>
    <w:p w14:paraId="3BCAF585" w14:textId="77777777" w:rsidR="008F7266" w:rsidRPr="00CB6A02" w:rsidRDefault="008F7266" w:rsidP="008F7266">
      <w:pPr>
        <w:pStyle w:val="ListParagraph"/>
        <w:numPr>
          <w:ilvl w:val="0"/>
          <w:numId w:val="24"/>
        </w:numPr>
      </w:pPr>
      <w:r>
        <w:t>Facebook (</w:t>
      </w:r>
      <w:r w:rsidRPr="00CB6A02">
        <w:t>facebook.com/</w:t>
      </w:r>
      <w:proofErr w:type="spellStart"/>
      <w:r w:rsidRPr="00CB6A02">
        <w:t>CDCEPHTracking</w:t>
      </w:r>
      <w:proofErr w:type="spellEnd"/>
      <w:r>
        <w:t>)</w:t>
      </w:r>
    </w:p>
    <w:p w14:paraId="397D0189" w14:textId="77777777" w:rsidR="008F7266" w:rsidRDefault="008F7266" w:rsidP="00A6095E">
      <w:pPr>
        <w:spacing w:line="259" w:lineRule="auto"/>
        <w:rPr>
          <w:rFonts w:eastAsiaTheme="majorEastAsia" w:cstheme="minorHAnsi"/>
          <w:caps/>
          <w:color w:val="003B9F"/>
          <w:sz w:val="32"/>
          <w:szCs w:val="32"/>
        </w:rPr>
      </w:pPr>
    </w:p>
    <w:sectPr w:rsidR="008F7266" w:rsidSect="00053E85">
      <w:pgSz w:w="12240" w:h="15840"/>
      <w:pgMar w:top="180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Fard, Babak" w:date="2023-03-13T17:12:00Z" w:initials="JB">
    <w:p w14:paraId="6349776F" w14:textId="77777777" w:rsidR="00485DBA" w:rsidRDefault="00485DBA" w:rsidP="00485DBA">
      <w:pPr>
        <w:pStyle w:val="CommentText"/>
      </w:pPr>
      <w:r>
        <w:rPr>
          <w:rStyle w:val="CommentReference"/>
        </w:rPr>
        <w:annotationRef/>
      </w:r>
      <w:r>
        <w:t>How?</w:t>
      </w:r>
    </w:p>
    <w:p w14:paraId="5CA148B0" w14:textId="57F21543" w:rsidR="00485DBA" w:rsidRDefault="00485DBA" w:rsidP="00485DBA">
      <w:pPr>
        <w:pStyle w:val="CommentText"/>
      </w:pPr>
      <w:r>
        <w:t>Answer: Appendix D</w:t>
      </w:r>
    </w:p>
  </w:comment>
  <w:comment w:id="1" w:author="JFard, Babak" w:date="2023-03-13T17:32:00Z" w:initials="JB">
    <w:p w14:paraId="08EA208E" w14:textId="1B719453" w:rsidR="0045306A" w:rsidRDefault="0045306A">
      <w:pPr>
        <w:pStyle w:val="CommentText"/>
      </w:pPr>
      <w:r>
        <w:rPr>
          <w:rStyle w:val="CommentReference"/>
        </w:rPr>
        <w:annotationRef/>
      </w:r>
      <w:r>
        <w:t>??</w:t>
      </w:r>
    </w:p>
  </w:comment>
  <w:comment w:id="2" w:author="JFard, Babak" w:date="2023-03-13T17:43:00Z" w:initials="JB">
    <w:p w14:paraId="45A66708" w14:textId="6AC180A8" w:rsidR="00B03C48" w:rsidRDefault="00B03C48">
      <w:pPr>
        <w:pStyle w:val="CommentText"/>
      </w:pPr>
      <w:r>
        <w:rPr>
          <w:rStyle w:val="CommentReference"/>
        </w:rPr>
        <w:annotationRef/>
      </w:r>
      <w:r>
        <w:t>A matter of further consideration?</w:t>
      </w:r>
    </w:p>
  </w:comment>
  <w:comment w:id="3" w:author="JFard, Babak" w:date="2023-03-13T17:48:00Z" w:initials="JB">
    <w:p w14:paraId="1C719D0D" w14:textId="4F4EDB2C" w:rsidR="00B03C48" w:rsidRDefault="00B03C48">
      <w:pPr>
        <w:pStyle w:val="CommentText"/>
      </w:pPr>
      <w:r>
        <w:rPr>
          <w:rStyle w:val="CommentReference"/>
        </w:rPr>
        <w:annotationRef/>
      </w:r>
      <w:r>
        <w:t>*** Very important to consider when getting such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148B0" w15:done="0"/>
  <w15:commentEx w15:paraId="08EA208E" w15:done="0"/>
  <w15:commentEx w15:paraId="45A66708" w15:done="0"/>
  <w15:commentEx w15:paraId="1C719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B9D80E" w16cex:dateUtc="2023-03-13T21:12:00Z"/>
  <w16cex:commentExtensible w16cex:durableId="27B9DC93" w16cex:dateUtc="2023-03-13T21:32:00Z"/>
  <w16cex:commentExtensible w16cex:durableId="27B9DF2B" w16cex:dateUtc="2023-03-13T21:43:00Z"/>
  <w16cex:commentExtensible w16cex:durableId="27B9E086" w16cex:dateUtc="2023-03-13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148B0" w16cid:durableId="27B9D80E"/>
  <w16cid:commentId w16cid:paraId="08EA208E" w16cid:durableId="27B9DC93"/>
  <w16cid:commentId w16cid:paraId="45A66708" w16cid:durableId="27B9DF2B"/>
  <w16cid:commentId w16cid:paraId="1C719D0D" w16cid:durableId="27B9E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48D56" w14:textId="77777777" w:rsidR="00B170EE" w:rsidRDefault="00B170EE" w:rsidP="003E7B54">
      <w:pPr>
        <w:spacing w:after="0" w:line="240" w:lineRule="auto"/>
      </w:pPr>
      <w:r>
        <w:separator/>
      </w:r>
    </w:p>
  </w:endnote>
  <w:endnote w:type="continuationSeparator" w:id="0">
    <w:p w14:paraId="0248EFB0" w14:textId="77777777" w:rsidR="00B170EE" w:rsidRDefault="00B170EE" w:rsidP="003E7B54">
      <w:pPr>
        <w:spacing w:after="0" w:line="240" w:lineRule="auto"/>
      </w:pPr>
      <w:r>
        <w:continuationSeparator/>
      </w:r>
    </w:p>
  </w:endnote>
  <w:endnote w:type="continuationNotice" w:id="1">
    <w:p w14:paraId="39479425" w14:textId="77777777" w:rsidR="00B170EE" w:rsidRDefault="00B17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9D52" w14:textId="77777777" w:rsidR="00A264AF" w:rsidRDefault="00A2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204E1" w14:textId="792EC896" w:rsidR="00632674" w:rsidRDefault="00632674" w:rsidP="00632674">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183C" w14:textId="77777777" w:rsidR="00A264AF" w:rsidRDefault="00A2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42B5A" w14:textId="77777777" w:rsidR="00B170EE" w:rsidRDefault="00B170EE" w:rsidP="003E7B54">
      <w:pPr>
        <w:spacing w:after="0" w:line="240" w:lineRule="auto"/>
      </w:pPr>
      <w:r>
        <w:separator/>
      </w:r>
    </w:p>
  </w:footnote>
  <w:footnote w:type="continuationSeparator" w:id="0">
    <w:p w14:paraId="43DCF0AF" w14:textId="77777777" w:rsidR="00B170EE" w:rsidRDefault="00B170EE" w:rsidP="003E7B54">
      <w:pPr>
        <w:spacing w:after="0" w:line="240" w:lineRule="auto"/>
      </w:pPr>
      <w:r>
        <w:continuationSeparator/>
      </w:r>
    </w:p>
  </w:footnote>
  <w:footnote w:type="continuationNotice" w:id="1">
    <w:p w14:paraId="3D7AEC24" w14:textId="77777777" w:rsidR="00B170EE" w:rsidRDefault="00B170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CD88" w14:textId="77777777" w:rsidR="00A264AF" w:rsidRDefault="00A2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F8416" w14:textId="16A9402E" w:rsidR="00F73428" w:rsidRPr="00B25A2A" w:rsidRDefault="00A72292">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7A939FBA" wp14:editId="0C63A8C5">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w:t>
    </w:r>
    <w:r w:rsidR="00F61D68">
      <w:rPr>
        <w:color w:val="003B9F"/>
        <w:sz w:val="16"/>
        <w:szCs w:val="16"/>
      </w:rPr>
      <w:t>-</w:t>
    </w:r>
    <w:r>
      <w:rPr>
        <w:color w:val="003B9F"/>
        <w:sz w:val="16"/>
        <w:szCs w:val="16"/>
      </w:rPr>
      <w:t xml:space="preserve">To </w:t>
    </w:r>
    <w:r w:rsidRPr="004827EF">
      <w:rPr>
        <w:color w:val="003B9F"/>
        <w:sz w:val="16"/>
        <w:szCs w:val="16"/>
      </w:rPr>
      <w:t>Guide</w:t>
    </w:r>
    <w:r w:rsidR="004827EF" w:rsidRPr="004827EF">
      <w:rPr>
        <w:color w:val="003B9F"/>
        <w:sz w:val="16"/>
        <w:szCs w:val="16"/>
      </w:rPr>
      <w:t xml:space="preserve"> </w:t>
    </w:r>
    <w:r w:rsidR="004827EF" w:rsidRPr="004827EF">
      <w:t>–</w:t>
    </w:r>
    <w:r w:rsidR="002D0867" w:rsidRPr="004827EF">
      <w:rPr>
        <w:color w:val="003B9F"/>
        <w:sz w:val="16"/>
        <w:szCs w:val="16"/>
      </w:rPr>
      <w:t xml:space="preserve"> Drinking</w:t>
    </w:r>
    <w:r w:rsidR="002D0867">
      <w:rPr>
        <w:color w:val="003B9F"/>
        <w:sz w:val="16"/>
        <w:szCs w:val="16"/>
      </w:rPr>
      <w:t xml:space="preserve"> Water</w:t>
    </w:r>
    <w:r w:rsidR="00F73428" w:rsidRPr="003C2C8D">
      <w:rPr>
        <w:color w:val="003B9F"/>
        <w:sz w:val="16"/>
      </w:rPr>
      <w:tab/>
    </w:r>
    <w:r w:rsidR="00F73428" w:rsidRPr="004F44E1">
      <w:rPr>
        <w:b/>
        <w:bCs/>
        <w:noProof/>
        <w:color w:val="003B9F"/>
        <w:sz w:val="16"/>
        <w:szCs w:val="16"/>
      </w:rPr>
      <w:fldChar w:fldCharType="begin"/>
    </w:r>
    <w:r w:rsidR="00F73428" w:rsidRPr="004F44E1">
      <w:rPr>
        <w:b/>
        <w:color w:val="003B9F"/>
        <w:sz w:val="16"/>
        <w:szCs w:val="16"/>
      </w:rPr>
      <w:instrText xml:space="preserve"> PAGE   \* MERGEFORMAT </w:instrText>
    </w:r>
    <w:r w:rsidR="00F73428" w:rsidRPr="004F44E1">
      <w:rPr>
        <w:b/>
        <w:color w:val="003B9F"/>
        <w:sz w:val="16"/>
        <w:szCs w:val="16"/>
      </w:rPr>
      <w:fldChar w:fldCharType="separate"/>
    </w:r>
    <w:r w:rsidR="00025811" w:rsidRPr="004F44E1">
      <w:rPr>
        <w:b/>
        <w:bCs/>
        <w:noProof/>
        <w:color w:val="003B9F"/>
        <w:sz w:val="16"/>
        <w:szCs w:val="16"/>
      </w:rPr>
      <w:t>8</w:t>
    </w:r>
    <w:r w:rsidR="00F73428" w:rsidRPr="004F44E1">
      <w:rPr>
        <w:b/>
        <w:bCs/>
        <w:noProof/>
        <w:color w:val="003B9F"/>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DA074" w14:textId="77777777" w:rsidR="00A264AF" w:rsidRDefault="00A264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0EEA7" w14:textId="5464F370" w:rsidR="00F110F1" w:rsidRPr="00B25A2A" w:rsidRDefault="00F110F1" w:rsidP="00F110F1">
    <w:pPr>
      <w:pStyle w:val="Header"/>
      <w:pBdr>
        <w:bottom w:val="single" w:sz="12" w:space="5" w:color="FFA40B"/>
      </w:pBdr>
      <w:tabs>
        <w:tab w:val="clear" w:pos="4680"/>
        <w:tab w:val="clear" w:pos="9360"/>
        <w:tab w:val="left" w:pos="10080"/>
        <w:tab w:val="left" w:pos="10890"/>
      </w:tabs>
      <w:ind w:right="-810"/>
      <w:rPr>
        <w:b/>
        <w:bCs/>
        <w:color w:val="003B9F"/>
        <w:sz w:val="16"/>
        <w:szCs w:val="16"/>
      </w:rPr>
    </w:pPr>
    <w:r>
      <w:rPr>
        <w:noProof/>
        <w:color w:val="003B9F"/>
        <w:sz w:val="16"/>
        <w:szCs w:val="16"/>
      </w:rPr>
      <w:drawing>
        <wp:inline distT="0" distB="0" distL="0" distR="0" wp14:anchorId="5960560F" wp14:editId="5FD262AD">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Pr>
        <w:color w:val="003B9F"/>
        <w:sz w:val="16"/>
        <w:szCs w:val="16"/>
      </w:rPr>
      <w:tab/>
    </w:r>
    <w:r>
      <w:rPr>
        <w:color w:val="003B9F"/>
        <w:sz w:val="16"/>
        <w:szCs w:val="16"/>
      </w:rPr>
      <w:tab/>
    </w:r>
    <w:r>
      <w:rPr>
        <w:color w:val="003B9F"/>
        <w:sz w:val="16"/>
        <w:szCs w:val="16"/>
      </w:rPr>
      <w:tab/>
    </w:r>
    <w:r>
      <w:rPr>
        <w:color w:val="003B9F"/>
        <w:sz w:val="16"/>
        <w:szCs w:val="16"/>
      </w:rPr>
      <w:tab/>
    </w:r>
    <w:r w:rsidRPr="003C2C8D">
      <w:rPr>
        <w:color w:val="003B9F"/>
        <w:sz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D24D" w14:textId="4BA13325" w:rsidR="00F110F1" w:rsidRPr="00B25A2A" w:rsidRDefault="00F110F1" w:rsidP="00F110F1">
    <w:pPr>
      <w:pStyle w:val="Header"/>
      <w:pBdr>
        <w:bottom w:val="single" w:sz="12" w:space="5" w:color="FFA40B"/>
      </w:pBdr>
      <w:tabs>
        <w:tab w:val="clear" w:pos="4680"/>
        <w:tab w:val="clear" w:pos="9360"/>
        <w:tab w:val="left" w:pos="9540"/>
      </w:tabs>
      <w:rPr>
        <w:b/>
        <w:bCs/>
        <w:color w:val="003B9F"/>
        <w:sz w:val="16"/>
        <w:szCs w:val="16"/>
      </w:rPr>
    </w:pPr>
    <w:r>
      <w:rPr>
        <w:noProof/>
        <w:color w:val="003B9F"/>
        <w:sz w:val="16"/>
        <w:szCs w:val="16"/>
      </w:rPr>
      <w:drawing>
        <wp:inline distT="0" distB="0" distL="0" distR="0" wp14:anchorId="1116BE73" wp14:editId="3094F99A">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20"/>
  </w:num>
  <w:num w:numId="4">
    <w:abstractNumId w:val="11"/>
  </w:num>
  <w:num w:numId="5">
    <w:abstractNumId w:val="8"/>
  </w:num>
  <w:num w:numId="6">
    <w:abstractNumId w:val="14"/>
  </w:num>
  <w:num w:numId="7">
    <w:abstractNumId w:val="2"/>
  </w:num>
  <w:num w:numId="8">
    <w:abstractNumId w:val="0"/>
  </w:num>
  <w:num w:numId="9">
    <w:abstractNumId w:val="3"/>
  </w:num>
  <w:num w:numId="10">
    <w:abstractNumId w:val="18"/>
  </w:num>
  <w:num w:numId="11">
    <w:abstractNumId w:val="19"/>
  </w:num>
  <w:num w:numId="12">
    <w:abstractNumId w:val="4"/>
  </w:num>
  <w:num w:numId="13">
    <w:abstractNumId w:val="7"/>
  </w:num>
  <w:num w:numId="14">
    <w:abstractNumId w:val="12"/>
  </w:num>
  <w:num w:numId="15">
    <w:abstractNumId w:val="13"/>
  </w:num>
  <w:num w:numId="16">
    <w:abstractNumId w:val="10"/>
  </w:num>
  <w:num w:numId="17">
    <w:abstractNumId w:val="15"/>
  </w:num>
  <w:num w:numId="18">
    <w:abstractNumId w:val="17"/>
  </w:num>
  <w:num w:numId="19">
    <w:abstractNumId w:val="9"/>
  </w:num>
  <w:num w:numId="20">
    <w:abstractNumId w:val="5"/>
  </w:num>
  <w:num w:numId="21">
    <w:abstractNumId w:val="21"/>
  </w:num>
  <w:num w:numId="22">
    <w:abstractNumId w:val="22"/>
  </w:num>
  <w:num w:numId="23">
    <w:abstractNumId w:val="23"/>
  </w:num>
  <w:num w:numId="24">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Fard, Babak">
    <w15:presenceInfo w15:providerId="AD" w15:userId="S::babak.jfard@unmc.edu::60037b82-3303-4659-b397-2db0de06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178B8"/>
    <w:rsid w:val="00022CDF"/>
    <w:rsid w:val="00025811"/>
    <w:rsid w:val="00026724"/>
    <w:rsid w:val="00026B47"/>
    <w:rsid w:val="00033702"/>
    <w:rsid w:val="00045A6A"/>
    <w:rsid w:val="00047B8B"/>
    <w:rsid w:val="00051169"/>
    <w:rsid w:val="00053E85"/>
    <w:rsid w:val="000570DF"/>
    <w:rsid w:val="00067457"/>
    <w:rsid w:val="0007490B"/>
    <w:rsid w:val="0007714E"/>
    <w:rsid w:val="00086DE5"/>
    <w:rsid w:val="0008779E"/>
    <w:rsid w:val="0009501A"/>
    <w:rsid w:val="00097B07"/>
    <w:rsid w:val="000A07B4"/>
    <w:rsid w:val="000A132B"/>
    <w:rsid w:val="000B1E97"/>
    <w:rsid w:val="000B3D3F"/>
    <w:rsid w:val="000B4C99"/>
    <w:rsid w:val="000B598F"/>
    <w:rsid w:val="000C3D8E"/>
    <w:rsid w:val="000C76BF"/>
    <w:rsid w:val="000D491B"/>
    <w:rsid w:val="000D68A9"/>
    <w:rsid w:val="000E196A"/>
    <w:rsid w:val="000E473D"/>
    <w:rsid w:val="000F3667"/>
    <w:rsid w:val="000F4E52"/>
    <w:rsid w:val="000F6F76"/>
    <w:rsid w:val="000F7F6D"/>
    <w:rsid w:val="00103490"/>
    <w:rsid w:val="00103D01"/>
    <w:rsid w:val="0010410B"/>
    <w:rsid w:val="0011204A"/>
    <w:rsid w:val="001137D2"/>
    <w:rsid w:val="0011401F"/>
    <w:rsid w:val="00116F72"/>
    <w:rsid w:val="00122133"/>
    <w:rsid w:val="00123ABD"/>
    <w:rsid w:val="00124911"/>
    <w:rsid w:val="00136D67"/>
    <w:rsid w:val="001400DC"/>
    <w:rsid w:val="00146FD7"/>
    <w:rsid w:val="00151C1C"/>
    <w:rsid w:val="00152DA8"/>
    <w:rsid w:val="001602D2"/>
    <w:rsid w:val="00163A31"/>
    <w:rsid w:val="001654BA"/>
    <w:rsid w:val="00165B2D"/>
    <w:rsid w:val="00166986"/>
    <w:rsid w:val="00167011"/>
    <w:rsid w:val="00171748"/>
    <w:rsid w:val="00174092"/>
    <w:rsid w:val="001742D7"/>
    <w:rsid w:val="00185D1C"/>
    <w:rsid w:val="001936E0"/>
    <w:rsid w:val="001A13B1"/>
    <w:rsid w:val="001A68B5"/>
    <w:rsid w:val="001B05CB"/>
    <w:rsid w:val="001B4207"/>
    <w:rsid w:val="001B5F7B"/>
    <w:rsid w:val="001C5EED"/>
    <w:rsid w:val="001C6892"/>
    <w:rsid w:val="001D0ADC"/>
    <w:rsid w:val="001D7DB7"/>
    <w:rsid w:val="001E018D"/>
    <w:rsid w:val="001F1F88"/>
    <w:rsid w:val="001F5ED9"/>
    <w:rsid w:val="001F7FD5"/>
    <w:rsid w:val="002009CB"/>
    <w:rsid w:val="00207EC5"/>
    <w:rsid w:val="00210B25"/>
    <w:rsid w:val="002117E7"/>
    <w:rsid w:val="002151CB"/>
    <w:rsid w:val="00220340"/>
    <w:rsid w:val="002223CC"/>
    <w:rsid w:val="0022626D"/>
    <w:rsid w:val="002273E7"/>
    <w:rsid w:val="0022773D"/>
    <w:rsid w:val="0023049B"/>
    <w:rsid w:val="00231866"/>
    <w:rsid w:val="0023770F"/>
    <w:rsid w:val="00241E2F"/>
    <w:rsid w:val="00246395"/>
    <w:rsid w:val="00255382"/>
    <w:rsid w:val="002656FC"/>
    <w:rsid w:val="002667D7"/>
    <w:rsid w:val="00273F46"/>
    <w:rsid w:val="0028249D"/>
    <w:rsid w:val="00284D97"/>
    <w:rsid w:val="00285B2A"/>
    <w:rsid w:val="00285BCD"/>
    <w:rsid w:val="00285BCF"/>
    <w:rsid w:val="00290EC0"/>
    <w:rsid w:val="00291089"/>
    <w:rsid w:val="00295BCB"/>
    <w:rsid w:val="002963AB"/>
    <w:rsid w:val="002966D8"/>
    <w:rsid w:val="002A09C2"/>
    <w:rsid w:val="002B0B01"/>
    <w:rsid w:val="002B143A"/>
    <w:rsid w:val="002B189B"/>
    <w:rsid w:val="002B1EAF"/>
    <w:rsid w:val="002B2962"/>
    <w:rsid w:val="002C2A4A"/>
    <w:rsid w:val="002C4E8E"/>
    <w:rsid w:val="002C78B4"/>
    <w:rsid w:val="002D0867"/>
    <w:rsid w:val="002D5433"/>
    <w:rsid w:val="002D61BA"/>
    <w:rsid w:val="002E2050"/>
    <w:rsid w:val="002E397C"/>
    <w:rsid w:val="002E59A9"/>
    <w:rsid w:val="00303E23"/>
    <w:rsid w:val="00311335"/>
    <w:rsid w:val="00311A11"/>
    <w:rsid w:val="00313637"/>
    <w:rsid w:val="00323414"/>
    <w:rsid w:val="003300F1"/>
    <w:rsid w:val="00331DE4"/>
    <w:rsid w:val="0033443B"/>
    <w:rsid w:val="00336BDA"/>
    <w:rsid w:val="00350349"/>
    <w:rsid w:val="00361FB7"/>
    <w:rsid w:val="003679E3"/>
    <w:rsid w:val="003718A4"/>
    <w:rsid w:val="00373316"/>
    <w:rsid w:val="0037562A"/>
    <w:rsid w:val="00376FFA"/>
    <w:rsid w:val="003773B3"/>
    <w:rsid w:val="003818BA"/>
    <w:rsid w:val="003842AF"/>
    <w:rsid w:val="003877C0"/>
    <w:rsid w:val="00392076"/>
    <w:rsid w:val="00393157"/>
    <w:rsid w:val="003931E1"/>
    <w:rsid w:val="003C09BE"/>
    <w:rsid w:val="003C0C6A"/>
    <w:rsid w:val="003C20C1"/>
    <w:rsid w:val="003C2C8D"/>
    <w:rsid w:val="003D10FD"/>
    <w:rsid w:val="003D2C2A"/>
    <w:rsid w:val="003D5301"/>
    <w:rsid w:val="003D5913"/>
    <w:rsid w:val="003E03B6"/>
    <w:rsid w:val="003E0D73"/>
    <w:rsid w:val="003E4FBC"/>
    <w:rsid w:val="003E6100"/>
    <w:rsid w:val="003E7B54"/>
    <w:rsid w:val="003F7D05"/>
    <w:rsid w:val="00406889"/>
    <w:rsid w:val="00412C81"/>
    <w:rsid w:val="00420977"/>
    <w:rsid w:val="004221CC"/>
    <w:rsid w:val="00427639"/>
    <w:rsid w:val="0043409B"/>
    <w:rsid w:val="004364F9"/>
    <w:rsid w:val="0043722A"/>
    <w:rsid w:val="00447073"/>
    <w:rsid w:val="00450DF2"/>
    <w:rsid w:val="0045306A"/>
    <w:rsid w:val="004552F8"/>
    <w:rsid w:val="00462D6D"/>
    <w:rsid w:val="00464206"/>
    <w:rsid w:val="00466D99"/>
    <w:rsid w:val="00466F4E"/>
    <w:rsid w:val="0046792D"/>
    <w:rsid w:val="00477CC8"/>
    <w:rsid w:val="004827EF"/>
    <w:rsid w:val="00484BC3"/>
    <w:rsid w:val="00485DBA"/>
    <w:rsid w:val="00485E6B"/>
    <w:rsid w:val="00487572"/>
    <w:rsid w:val="00487AB7"/>
    <w:rsid w:val="00491DE6"/>
    <w:rsid w:val="00497F2E"/>
    <w:rsid w:val="004B175E"/>
    <w:rsid w:val="004B211F"/>
    <w:rsid w:val="004C57FC"/>
    <w:rsid w:val="004C6FAD"/>
    <w:rsid w:val="004D231C"/>
    <w:rsid w:val="004D23BA"/>
    <w:rsid w:val="004D6C8F"/>
    <w:rsid w:val="004E4241"/>
    <w:rsid w:val="004E4384"/>
    <w:rsid w:val="004F44E1"/>
    <w:rsid w:val="004F640A"/>
    <w:rsid w:val="00500B7E"/>
    <w:rsid w:val="005011AC"/>
    <w:rsid w:val="005014B5"/>
    <w:rsid w:val="00503077"/>
    <w:rsid w:val="00511417"/>
    <w:rsid w:val="00513A50"/>
    <w:rsid w:val="005142D5"/>
    <w:rsid w:val="00516F84"/>
    <w:rsid w:val="0052273A"/>
    <w:rsid w:val="00523FF1"/>
    <w:rsid w:val="005278F5"/>
    <w:rsid w:val="005422D5"/>
    <w:rsid w:val="00547D8E"/>
    <w:rsid w:val="0055157A"/>
    <w:rsid w:val="0055231C"/>
    <w:rsid w:val="00562FD1"/>
    <w:rsid w:val="0057417E"/>
    <w:rsid w:val="00581A9E"/>
    <w:rsid w:val="00583ACA"/>
    <w:rsid w:val="00583F6D"/>
    <w:rsid w:val="00592695"/>
    <w:rsid w:val="005953E5"/>
    <w:rsid w:val="005A14F3"/>
    <w:rsid w:val="005A1D4D"/>
    <w:rsid w:val="005B556C"/>
    <w:rsid w:val="005B6F29"/>
    <w:rsid w:val="005C7585"/>
    <w:rsid w:val="005E014D"/>
    <w:rsid w:val="005E212E"/>
    <w:rsid w:val="005E64A6"/>
    <w:rsid w:val="005F41A5"/>
    <w:rsid w:val="0061175C"/>
    <w:rsid w:val="00615FAE"/>
    <w:rsid w:val="00621F0B"/>
    <w:rsid w:val="00627B82"/>
    <w:rsid w:val="00632674"/>
    <w:rsid w:val="00635879"/>
    <w:rsid w:val="0066531A"/>
    <w:rsid w:val="0067278D"/>
    <w:rsid w:val="00674334"/>
    <w:rsid w:val="00677A97"/>
    <w:rsid w:val="00690520"/>
    <w:rsid w:val="006960DD"/>
    <w:rsid w:val="00696D31"/>
    <w:rsid w:val="006A246A"/>
    <w:rsid w:val="006A65C2"/>
    <w:rsid w:val="006A797C"/>
    <w:rsid w:val="006B0425"/>
    <w:rsid w:val="006B0B04"/>
    <w:rsid w:val="006B0FA6"/>
    <w:rsid w:val="006B1913"/>
    <w:rsid w:val="006B6EAC"/>
    <w:rsid w:val="006B7614"/>
    <w:rsid w:val="006C1630"/>
    <w:rsid w:val="006C1911"/>
    <w:rsid w:val="006C2898"/>
    <w:rsid w:val="006C3CED"/>
    <w:rsid w:val="006C4205"/>
    <w:rsid w:val="006C5410"/>
    <w:rsid w:val="006D3EB0"/>
    <w:rsid w:val="006D5CC0"/>
    <w:rsid w:val="006E20D0"/>
    <w:rsid w:val="006E3FE2"/>
    <w:rsid w:val="006E7926"/>
    <w:rsid w:val="006E7F27"/>
    <w:rsid w:val="006F1D17"/>
    <w:rsid w:val="006F7A3E"/>
    <w:rsid w:val="00711329"/>
    <w:rsid w:val="00711587"/>
    <w:rsid w:val="00714BE0"/>
    <w:rsid w:val="00716E59"/>
    <w:rsid w:val="00722F45"/>
    <w:rsid w:val="00725110"/>
    <w:rsid w:val="00735F91"/>
    <w:rsid w:val="00737474"/>
    <w:rsid w:val="007422B7"/>
    <w:rsid w:val="00742F3F"/>
    <w:rsid w:val="00751738"/>
    <w:rsid w:val="00761480"/>
    <w:rsid w:val="00763C1D"/>
    <w:rsid w:val="00770810"/>
    <w:rsid w:val="0077092F"/>
    <w:rsid w:val="00774020"/>
    <w:rsid w:val="00776466"/>
    <w:rsid w:val="007815D3"/>
    <w:rsid w:val="007850EE"/>
    <w:rsid w:val="00792831"/>
    <w:rsid w:val="00797829"/>
    <w:rsid w:val="007A167C"/>
    <w:rsid w:val="007A31BA"/>
    <w:rsid w:val="007A66CE"/>
    <w:rsid w:val="007C7BF2"/>
    <w:rsid w:val="007D195D"/>
    <w:rsid w:val="007D3165"/>
    <w:rsid w:val="007D59BE"/>
    <w:rsid w:val="007D649C"/>
    <w:rsid w:val="007E1C73"/>
    <w:rsid w:val="007E68F0"/>
    <w:rsid w:val="007F0C3A"/>
    <w:rsid w:val="007F2207"/>
    <w:rsid w:val="008075CE"/>
    <w:rsid w:val="00807D4B"/>
    <w:rsid w:val="00810B39"/>
    <w:rsid w:val="008123CB"/>
    <w:rsid w:val="00813739"/>
    <w:rsid w:val="0081407C"/>
    <w:rsid w:val="008168CF"/>
    <w:rsid w:val="00821F7F"/>
    <w:rsid w:val="00822745"/>
    <w:rsid w:val="008231E6"/>
    <w:rsid w:val="00823D1C"/>
    <w:rsid w:val="00824FDD"/>
    <w:rsid w:val="008310A4"/>
    <w:rsid w:val="008319F8"/>
    <w:rsid w:val="0083300E"/>
    <w:rsid w:val="00840F90"/>
    <w:rsid w:val="00841097"/>
    <w:rsid w:val="0084268C"/>
    <w:rsid w:val="008446BE"/>
    <w:rsid w:val="008517DE"/>
    <w:rsid w:val="008530DD"/>
    <w:rsid w:val="0085563B"/>
    <w:rsid w:val="00856A41"/>
    <w:rsid w:val="008600A0"/>
    <w:rsid w:val="0086022C"/>
    <w:rsid w:val="00870C66"/>
    <w:rsid w:val="00872F51"/>
    <w:rsid w:val="00882DC0"/>
    <w:rsid w:val="00882EE5"/>
    <w:rsid w:val="008869A7"/>
    <w:rsid w:val="00890D23"/>
    <w:rsid w:val="008A54F5"/>
    <w:rsid w:val="008A7075"/>
    <w:rsid w:val="008B583D"/>
    <w:rsid w:val="008B68F2"/>
    <w:rsid w:val="008B7A6B"/>
    <w:rsid w:val="008C1638"/>
    <w:rsid w:val="008D3897"/>
    <w:rsid w:val="008D4560"/>
    <w:rsid w:val="008E120E"/>
    <w:rsid w:val="008E42F3"/>
    <w:rsid w:val="008F5DD7"/>
    <w:rsid w:val="008F6DB7"/>
    <w:rsid w:val="008F7266"/>
    <w:rsid w:val="00900307"/>
    <w:rsid w:val="00903105"/>
    <w:rsid w:val="009104B9"/>
    <w:rsid w:val="00913788"/>
    <w:rsid w:val="00913923"/>
    <w:rsid w:val="0091667A"/>
    <w:rsid w:val="009232ED"/>
    <w:rsid w:val="00925F28"/>
    <w:rsid w:val="009263E4"/>
    <w:rsid w:val="00926A07"/>
    <w:rsid w:val="00933223"/>
    <w:rsid w:val="00933C84"/>
    <w:rsid w:val="00940E26"/>
    <w:rsid w:val="00941BA4"/>
    <w:rsid w:val="009441D4"/>
    <w:rsid w:val="00945CA4"/>
    <w:rsid w:val="0095706A"/>
    <w:rsid w:val="009626E4"/>
    <w:rsid w:val="00964C39"/>
    <w:rsid w:val="00965A0D"/>
    <w:rsid w:val="009671B7"/>
    <w:rsid w:val="00970666"/>
    <w:rsid w:val="00972918"/>
    <w:rsid w:val="00974418"/>
    <w:rsid w:val="009744A3"/>
    <w:rsid w:val="0097604E"/>
    <w:rsid w:val="00986F43"/>
    <w:rsid w:val="00990F46"/>
    <w:rsid w:val="009940C3"/>
    <w:rsid w:val="009A0E28"/>
    <w:rsid w:val="009A1175"/>
    <w:rsid w:val="009A3513"/>
    <w:rsid w:val="009A5DD6"/>
    <w:rsid w:val="009C6040"/>
    <w:rsid w:val="009C79CA"/>
    <w:rsid w:val="009D5BF8"/>
    <w:rsid w:val="009E09F8"/>
    <w:rsid w:val="009E0B04"/>
    <w:rsid w:val="009E19FE"/>
    <w:rsid w:val="009E4694"/>
    <w:rsid w:val="009F2188"/>
    <w:rsid w:val="009F49E2"/>
    <w:rsid w:val="00A00AA0"/>
    <w:rsid w:val="00A02AA6"/>
    <w:rsid w:val="00A02F20"/>
    <w:rsid w:val="00A1228C"/>
    <w:rsid w:val="00A15A64"/>
    <w:rsid w:val="00A264AF"/>
    <w:rsid w:val="00A30DEC"/>
    <w:rsid w:val="00A35598"/>
    <w:rsid w:val="00A36029"/>
    <w:rsid w:val="00A42245"/>
    <w:rsid w:val="00A43F4D"/>
    <w:rsid w:val="00A4552F"/>
    <w:rsid w:val="00A53834"/>
    <w:rsid w:val="00A55F7B"/>
    <w:rsid w:val="00A6095E"/>
    <w:rsid w:val="00A676B3"/>
    <w:rsid w:val="00A72292"/>
    <w:rsid w:val="00A72BDD"/>
    <w:rsid w:val="00A74497"/>
    <w:rsid w:val="00A745A5"/>
    <w:rsid w:val="00A75B3D"/>
    <w:rsid w:val="00A75BFD"/>
    <w:rsid w:val="00A81753"/>
    <w:rsid w:val="00A83EB3"/>
    <w:rsid w:val="00A86985"/>
    <w:rsid w:val="00A9454D"/>
    <w:rsid w:val="00AA4AD4"/>
    <w:rsid w:val="00AB06C8"/>
    <w:rsid w:val="00AB4865"/>
    <w:rsid w:val="00AB5661"/>
    <w:rsid w:val="00AC271B"/>
    <w:rsid w:val="00AD299E"/>
    <w:rsid w:val="00AD2C5A"/>
    <w:rsid w:val="00AD2DDF"/>
    <w:rsid w:val="00AE2D2D"/>
    <w:rsid w:val="00AE2F1D"/>
    <w:rsid w:val="00AE6C99"/>
    <w:rsid w:val="00AE6E7B"/>
    <w:rsid w:val="00B03C48"/>
    <w:rsid w:val="00B04844"/>
    <w:rsid w:val="00B1211E"/>
    <w:rsid w:val="00B1282C"/>
    <w:rsid w:val="00B14464"/>
    <w:rsid w:val="00B14E2B"/>
    <w:rsid w:val="00B14F5B"/>
    <w:rsid w:val="00B1543E"/>
    <w:rsid w:val="00B170EE"/>
    <w:rsid w:val="00B20D31"/>
    <w:rsid w:val="00B2222F"/>
    <w:rsid w:val="00B251A0"/>
    <w:rsid w:val="00B25A2A"/>
    <w:rsid w:val="00B32F96"/>
    <w:rsid w:val="00B37294"/>
    <w:rsid w:val="00B37F79"/>
    <w:rsid w:val="00B40261"/>
    <w:rsid w:val="00B41500"/>
    <w:rsid w:val="00B4575A"/>
    <w:rsid w:val="00B45885"/>
    <w:rsid w:val="00B53E49"/>
    <w:rsid w:val="00B62A94"/>
    <w:rsid w:val="00B670E3"/>
    <w:rsid w:val="00B72199"/>
    <w:rsid w:val="00B72E41"/>
    <w:rsid w:val="00B75546"/>
    <w:rsid w:val="00B7729C"/>
    <w:rsid w:val="00B86EA9"/>
    <w:rsid w:val="00B9449C"/>
    <w:rsid w:val="00BA4025"/>
    <w:rsid w:val="00BB15F0"/>
    <w:rsid w:val="00BB1712"/>
    <w:rsid w:val="00BB3178"/>
    <w:rsid w:val="00BB5A99"/>
    <w:rsid w:val="00BB66AD"/>
    <w:rsid w:val="00BC075A"/>
    <w:rsid w:val="00BC1166"/>
    <w:rsid w:val="00BC2A93"/>
    <w:rsid w:val="00BC487A"/>
    <w:rsid w:val="00BC68BD"/>
    <w:rsid w:val="00BC7CA4"/>
    <w:rsid w:val="00BD183A"/>
    <w:rsid w:val="00BD420C"/>
    <w:rsid w:val="00BD768B"/>
    <w:rsid w:val="00BD7C6E"/>
    <w:rsid w:val="00BE12F9"/>
    <w:rsid w:val="00BE2317"/>
    <w:rsid w:val="00BE405E"/>
    <w:rsid w:val="00BF01BF"/>
    <w:rsid w:val="00C01294"/>
    <w:rsid w:val="00C01E6C"/>
    <w:rsid w:val="00C04E75"/>
    <w:rsid w:val="00C05CD3"/>
    <w:rsid w:val="00C07899"/>
    <w:rsid w:val="00C07FE6"/>
    <w:rsid w:val="00C1422D"/>
    <w:rsid w:val="00C2088E"/>
    <w:rsid w:val="00C2486E"/>
    <w:rsid w:val="00C35ABD"/>
    <w:rsid w:val="00C365D5"/>
    <w:rsid w:val="00C5189E"/>
    <w:rsid w:val="00C51DB9"/>
    <w:rsid w:val="00C54759"/>
    <w:rsid w:val="00C56073"/>
    <w:rsid w:val="00C57207"/>
    <w:rsid w:val="00C625EF"/>
    <w:rsid w:val="00C70CC1"/>
    <w:rsid w:val="00C7293E"/>
    <w:rsid w:val="00C73ECC"/>
    <w:rsid w:val="00C7489E"/>
    <w:rsid w:val="00C87FBE"/>
    <w:rsid w:val="00C91D20"/>
    <w:rsid w:val="00C95942"/>
    <w:rsid w:val="00CA38E1"/>
    <w:rsid w:val="00CA4082"/>
    <w:rsid w:val="00CA5722"/>
    <w:rsid w:val="00CA6048"/>
    <w:rsid w:val="00CB3292"/>
    <w:rsid w:val="00CB54F1"/>
    <w:rsid w:val="00CC680C"/>
    <w:rsid w:val="00CD3324"/>
    <w:rsid w:val="00CD4AE9"/>
    <w:rsid w:val="00CE005D"/>
    <w:rsid w:val="00CE02A2"/>
    <w:rsid w:val="00CE60BC"/>
    <w:rsid w:val="00CE6987"/>
    <w:rsid w:val="00CF01F1"/>
    <w:rsid w:val="00CF1578"/>
    <w:rsid w:val="00D04CED"/>
    <w:rsid w:val="00D127AF"/>
    <w:rsid w:val="00D168BA"/>
    <w:rsid w:val="00D20FC9"/>
    <w:rsid w:val="00D2383F"/>
    <w:rsid w:val="00D24D23"/>
    <w:rsid w:val="00D25D54"/>
    <w:rsid w:val="00D26A18"/>
    <w:rsid w:val="00D315AE"/>
    <w:rsid w:val="00D33955"/>
    <w:rsid w:val="00D34742"/>
    <w:rsid w:val="00D40A40"/>
    <w:rsid w:val="00D417DB"/>
    <w:rsid w:val="00D47C6A"/>
    <w:rsid w:val="00D47DAD"/>
    <w:rsid w:val="00D55490"/>
    <w:rsid w:val="00D56C95"/>
    <w:rsid w:val="00D60512"/>
    <w:rsid w:val="00D64666"/>
    <w:rsid w:val="00D84C2F"/>
    <w:rsid w:val="00D872EA"/>
    <w:rsid w:val="00D8744F"/>
    <w:rsid w:val="00D87B47"/>
    <w:rsid w:val="00D908C2"/>
    <w:rsid w:val="00D91D7E"/>
    <w:rsid w:val="00D92829"/>
    <w:rsid w:val="00D96E79"/>
    <w:rsid w:val="00DA1B3C"/>
    <w:rsid w:val="00DA7AD1"/>
    <w:rsid w:val="00DB3734"/>
    <w:rsid w:val="00DB6BEC"/>
    <w:rsid w:val="00DC185F"/>
    <w:rsid w:val="00DC2A7C"/>
    <w:rsid w:val="00DC4520"/>
    <w:rsid w:val="00DC6099"/>
    <w:rsid w:val="00DD22F6"/>
    <w:rsid w:val="00DD2FC2"/>
    <w:rsid w:val="00DD303C"/>
    <w:rsid w:val="00DE29AF"/>
    <w:rsid w:val="00DE67D0"/>
    <w:rsid w:val="00DE7588"/>
    <w:rsid w:val="00DF399B"/>
    <w:rsid w:val="00DF7703"/>
    <w:rsid w:val="00E00E37"/>
    <w:rsid w:val="00E014B9"/>
    <w:rsid w:val="00E02CD3"/>
    <w:rsid w:val="00E04CD4"/>
    <w:rsid w:val="00E1074D"/>
    <w:rsid w:val="00E1170E"/>
    <w:rsid w:val="00E325CB"/>
    <w:rsid w:val="00E34250"/>
    <w:rsid w:val="00E34799"/>
    <w:rsid w:val="00E410E2"/>
    <w:rsid w:val="00E41FF5"/>
    <w:rsid w:val="00E4222F"/>
    <w:rsid w:val="00E446E4"/>
    <w:rsid w:val="00E45090"/>
    <w:rsid w:val="00E50E86"/>
    <w:rsid w:val="00E53727"/>
    <w:rsid w:val="00E548E4"/>
    <w:rsid w:val="00E550B7"/>
    <w:rsid w:val="00E56594"/>
    <w:rsid w:val="00E56B9B"/>
    <w:rsid w:val="00E570AE"/>
    <w:rsid w:val="00E66409"/>
    <w:rsid w:val="00E7219E"/>
    <w:rsid w:val="00E74F92"/>
    <w:rsid w:val="00E77A2D"/>
    <w:rsid w:val="00E801F8"/>
    <w:rsid w:val="00E82EC0"/>
    <w:rsid w:val="00E83213"/>
    <w:rsid w:val="00EA3769"/>
    <w:rsid w:val="00EA5CB8"/>
    <w:rsid w:val="00EB6139"/>
    <w:rsid w:val="00EC2380"/>
    <w:rsid w:val="00EC57A3"/>
    <w:rsid w:val="00ED3F54"/>
    <w:rsid w:val="00ED41AF"/>
    <w:rsid w:val="00EE2936"/>
    <w:rsid w:val="00EF42F1"/>
    <w:rsid w:val="00EF55D0"/>
    <w:rsid w:val="00EF69DC"/>
    <w:rsid w:val="00F01B9D"/>
    <w:rsid w:val="00F0638C"/>
    <w:rsid w:val="00F0650A"/>
    <w:rsid w:val="00F110F1"/>
    <w:rsid w:val="00F138ED"/>
    <w:rsid w:val="00F25076"/>
    <w:rsid w:val="00F27465"/>
    <w:rsid w:val="00F324B1"/>
    <w:rsid w:val="00F33392"/>
    <w:rsid w:val="00F358F3"/>
    <w:rsid w:val="00F36450"/>
    <w:rsid w:val="00F41EBA"/>
    <w:rsid w:val="00F469AB"/>
    <w:rsid w:val="00F61D68"/>
    <w:rsid w:val="00F646D2"/>
    <w:rsid w:val="00F67ABE"/>
    <w:rsid w:val="00F72F58"/>
    <w:rsid w:val="00F73428"/>
    <w:rsid w:val="00F74160"/>
    <w:rsid w:val="00F74380"/>
    <w:rsid w:val="00F767B4"/>
    <w:rsid w:val="00F80C93"/>
    <w:rsid w:val="00F818C0"/>
    <w:rsid w:val="00F859CA"/>
    <w:rsid w:val="00F860E3"/>
    <w:rsid w:val="00F872F9"/>
    <w:rsid w:val="00F90889"/>
    <w:rsid w:val="00F924C4"/>
    <w:rsid w:val="00F939BB"/>
    <w:rsid w:val="00F9741D"/>
    <w:rsid w:val="00FA461F"/>
    <w:rsid w:val="00FA53F9"/>
    <w:rsid w:val="00FB34B1"/>
    <w:rsid w:val="00FC37A3"/>
    <w:rsid w:val="00FC7A08"/>
    <w:rsid w:val="00FD268C"/>
    <w:rsid w:val="00FD441D"/>
    <w:rsid w:val="00FE25DB"/>
    <w:rsid w:val="00FE762A"/>
    <w:rsid w:val="03B076B6"/>
    <w:rsid w:val="050D92DD"/>
    <w:rsid w:val="0D6C6752"/>
    <w:rsid w:val="100647C6"/>
    <w:rsid w:val="105D9FF7"/>
    <w:rsid w:val="151E7678"/>
    <w:rsid w:val="15F1CD11"/>
    <w:rsid w:val="1C1F4A78"/>
    <w:rsid w:val="1C613064"/>
    <w:rsid w:val="2006F9FB"/>
    <w:rsid w:val="22AD0C6F"/>
    <w:rsid w:val="2FE9B22E"/>
    <w:rsid w:val="3011CE1F"/>
    <w:rsid w:val="303C54B2"/>
    <w:rsid w:val="35A5A353"/>
    <w:rsid w:val="3656F807"/>
    <w:rsid w:val="3A6B8A27"/>
    <w:rsid w:val="3D4F8E8E"/>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3B00B03E-B1D5-904B-B374-922E4C85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paragraph" w:styleId="NoSpacing">
    <w:name w:val="No Spacing"/>
    <w:uiPriority w:val="1"/>
    <w:qFormat/>
    <w:rsid w:val="00BC2A93"/>
    <w:pPr>
      <w:spacing w:after="0" w:line="240" w:lineRule="auto"/>
    </w:pPr>
    <w:rPr>
      <w:color w:val="262626" w:themeColor="text1" w:themeTint="D9"/>
    </w:rPr>
  </w:style>
  <w:style w:type="character" w:styleId="UnresolvedMention">
    <w:name w:val="Unresolved Mention"/>
    <w:basedOn w:val="DefaultParagraphFont"/>
    <w:uiPriority w:val="99"/>
    <w:semiHidden/>
    <w:unhideWhenUsed/>
    <w:rsid w:val="00821F7F"/>
    <w:rPr>
      <w:color w:val="605E5C"/>
      <w:shd w:val="clear" w:color="auto" w:fill="E1DFDD"/>
    </w:rPr>
  </w:style>
  <w:style w:type="paragraph" w:styleId="Revision">
    <w:name w:val="Revision"/>
    <w:hidden/>
    <w:uiPriority w:val="99"/>
    <w:semiHidden/>
    <w:rsid w:val="00406889"/>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293678935">
          <w:marLeft w:val="0"/>
          <w:marRight w:val="0"/>
          <w:marTop w:val="0"/>
          <w:marBottom w:val="0"/>
          <w:divBdr>
            <w:top w:val="none" w:sz="0" w:space="0" w:color="auto"/>
            <w:left w:val="none" w:sz="0" w:space="0" w:color="auto"/>
            <w:bottom w:val="none" w:sz="0" w:space="0" w:color="auto"/>
            <w:right w:val="none" w:sz="0" w:space="0" w:color="auto"/>
          </w:divBdr>
          <w:divsChild>
            <w:div w:id="592395272">
              <w:marLeft w:val="0"/>
              <w:marRight w:val="0"/>
              <w:marTop w:val="0"/>
              <w:marBottom w:val="0"/>
              <w:divBdr>
                <w:top w:val="none" w:sz="0" w:space="0" w:color="auto"/>
                <w:left w:val="none" w:sz="0" w:space="0" w:color="auto"/>
                <w:bottom w:val="none" w:sz="0" w:space="0" w:color="auto"/>
                <w:right w:val="none" w:sz="0" w:space="0" w:color="auto"/>
              </w:divBdr>
            </w:div>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98450177">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1890528972">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2033454140">
              <w:marLeft w:val="0"/>
              <w:marRight w:val="0"/>
              <w:marTop w:val="0"/>
              <w:marBottom w:val="0"/>
              <w:divBdr>
                <w:top w:val="none" w:sz="0" w:space="0" w:color="auto"/>
                <w:left w:val="none" w:sz="0" w:space="0" w:color="auto"/>
                <w:bottom w:val="none" w:sz="0" w:space="0" w:color="auto"/>
                <w:right w:val="none" w:sz="0" w:space="0" w:color="auto"/>
              </w:divBdr>
            </w:div>
          </w:divsChild>
        </w:div>
        <w:div w:id="897133216">
          <w:marLeft w:val="0"/>
          <w:marRight w:val="0"/>
          <w:marTop w:val="0"/>
          <w:marBottom w:val="0"/>
          <w:divBdr>
            <w:top w:val="none" w:sz="0" w:space="0" w:color="auto"/>
            <w:left w:val="none" w:sz="0" w:space="0" w:color="auto"/>
            <w:bottom w:val="none" w:sz="0" w:space="0" w:color="auto"/>
            <w:right w:val="none" w:sz="0" w:space="0" w:color="auto"/>
          </w:divBdr>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408161723">
              <w:marLeft w:val="0"/>
              <w:marRight w:val="0"/>
              <w:marTop w:val="0"/>
              <w:marBottom w:val="0"/>
              <w:divBdr>
                <w:top w:val="none" w:sz="0" w:space="0" w:color="auto"/>
                <w:left w:val="none" w:sz="0" w:space="0" w:color="auto"/>
                <w:bottom w:val="none" w:sz="0" w:space="0" w:color="auto"/>
                <w:right w:val="none" w:sz="0" w:space="0" w:color="auto"/>
              </w:divBdr>
            </w:div>
            <w:div w:id="691760659">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292908055">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1978946244">
              <w:marLeft w:val="0"/>
              <w:marRight w:val="0"/>
              <w:marTop w:val="0"/>
              <w:marBottom w:val="0"/>
              <w:divBdr>
                <w:top w:val="none" w:sz="0" w:space="0" w:color="auto"/>
                <w:left w:val="none" w:sz="0" w:space="0" w:color="auto"/>
                <w:bottom w:val="none" w:sz="0" w:space="0" w:color="auto"/>
                <w:right w:val="none" w:sz="0" w:space="0" w:color="auto"/>
              </w:divBdr>
            </w:div>
          </w:divsChild>
        </w:div>
        <w:div w:id="1367674935">
          <w:marLeft w:val="0"/>
          <w:marRight w:val="0"/>
          <w:marTop w:val="0"/>
          <w:marBottom w:val="0"/>
          <w:divBdr>
            <w:top w:val="none" w:sz="0" w:space="0" w:color="auto"/>
            <w:left w:val="none" w:sz="0" w:space="0" w:color="auto"/>
            <w:bottom w:val="none" w:sz="0" w:space="0" w:color="auto"/>
            <w:right w:val="none" w:sz="0" w:space="0" w:color="auto"/>
          </w:divBdr>
        </w:div>
        <w:div w:id="1372028734">
          <w:marLeft w:val="0"/>
          <w:marRight w:val="0"/>
          <w:marTop w:val="0"/>
          <w:marBottom w:val="0"/>
          <w:divBdr>
            <w:top w:val="none" w:sz="0" w:space="0" w:color="auto"/>
            <w:left w:val="none" w:sz="0" w:space="0" w:color="auto"/>
            <w:bottom w:val="none" w:sz="0" w:space="0" w:color="auto"/>
            <w:right w:val="none" w:sz="0" w:space="0" w:color="auto"/>
          </w:divBdr>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252207157">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1900553983">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 w:id="107323683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361130867">
              <w:marLeft w:val="0"/>
              <w:marRight w:val="0"/>
              <w:marTop w:val="0"/>
              <w:marBottom w:val="0"/>
              <w:divBdr>
                <w:top w:val="none" w:sz="0" w:space="0" w:color="auto"/>
                <w:left w:val="none" w:sz="0" w:space="0" w:color="auto"/>
                <w:bottom w:val="none" w:sz="0" w:space="0" w:color="auto"/>
                <w:right w:val="none" w:sz="0" w:space="0" w:color="auto"/>
              </w:divBdr>
            </w:div>
            <w:div w:id="58800434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16663706">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204951901">
          <w:marLeft w:val="0"/>
          <w:marRight w:val="0"/>
          <w:marTop w:val="0"/>
          <w:marBottom w:val="0"/>
          <w:divBdr>
            <w:top w:val="none" w:sz="0" w:space="0" w:color="auto"/>
            <w:left w:val="none" w:sz="0" w:space="0" w:color="auto"/>
            <w:bottom w:val="none" w:sz="0" w:space="0" w:color="auto"/>
            <w:right w:val="none" w:sz="0" w:space="0" w:color="auto"/>
          </w:divBdr>
        </w:div>
        <w:div w:id="214313397">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508643953">
          <w:marLeft w:val="0"/>
          <w:marRight w:val="0"/>
          <w:marTop w:val="0"/>
          <w:marBottom w:val="0"/>
          <w:divBdr>
            <w:top w:val="none" w:sz="0" w:space="0" w:color="auto"/>
            <w:left w:val="none" w:sz="0" w:space="0" w:color="auto"/>
            <w:bottom w:val="none" w:sz="0" w:space="0" w:color="auto"/>
            <w:right w:val="none" w:sz="0" w:space="0" w:color="auto"/>
          </w:divBdr>
          <w:divsChild>
            <w:div w:id="477721836">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 w:id="1189222192">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sChild>
        </w:div>
        <w:div w:id="514541278">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32582610">
              <w:marLeft w:val="0"/>
              <w:marRight w:val="0"/>
              <w:marTop w:val="0"/>
              <w:marBottom w:val="0"/>
              <w:divBdr>
                <w:top w:val="none" w:sz="0" w:space="0" w:color="auto"/>
                <w:left w:val="none" w:sz="0" w:space="0" w:color="auto"/>
                <w:bottom w:val="none" w:sz="0" w:space="0" w:color="auto"/>
                <w:right w:val="none" w:sz="0" w:space="0" w:color="auto"/>
              </w:divBdr>
            </w:div>
            <w:div w:id="1647130381">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sChild>
        </w:div>
        <w:div w:id="866480397">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899634735">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488932790">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377709310">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144395705">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sChild>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1581">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614675097">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1593342">
                      <w:marLeft w:val="0"/>
                      <w:marRight w:val="0"/>
                      <w:marTop w:val="0"/>
                      <w:marBottom w:val="0"/>
                      <w:divBdr>
                        <w:top w:val="none" w:sz="0" w:space="0" w:color="auto"/>
                        <w:left w:val="none" w:sz="0" w:space="0" w:color="auto"/>
                        <w:bottom w:val="none" w:sz="0" w:space="0" w:color="auto"/>
                        <w:right w:val="none" w:sz="0" w:space="0" w:color="auto"/>
                      </w:divBdr>
                    </w:div>
                    <w:div w:id="43796698">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95566233">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588344795">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905917740">
                      <w:marLeft w:val="0"/>
                      <w:marRight w:val="0"/>
                      <w:marTop w:val="0"/>
                      <w:marBottom w:val="0"/>
                      <w:divBdr>
                        <w:top w:val="none" w:sz="0" w:space="0" w:color="auto"/>
                        <w:left w:val="none" w:sz="0" w:space="0" w:color="auto"/>
                        <w:bottom w:val="none" w:sz="0" w:space="0" w:color="auto"/>
                        <w:right w:val="none" w:sz="0" w:space="0" w:color="auto"/>
                      </w:divBdr>
                    </w:div>
                    <w:div w:id="2077624228">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876814201">
                      <w:marLeft w:val="0"/>
                      <w:marRight w:val="0"/>
                      <w:marTop w:val="0"/>
                      <w:marBottom w:val="0"/>
                      <w:divBdr>
                        <w:top w:val="none" w:sz="0" w:space="0" w:color="auto"/>
                        <w:left w:val="none" w:sz="0" w:space="0" w:color="auto"/>
                        <w:bottom w:val="none" w:sz="0" w:space="0" w:color="auto"/>
                        <w:right w:val="none" w:sz="0" w:space="0" w:color="auto"/>
                      </w:divBdr>
                    </w:div>
                    <w:div w:id="1555002077">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560483900">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1488668605">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576">
          <w:marLeft w:val="0"/>
          <w:marRight w:val="0"/>
          <w:marTop w:val="0"/>
          <w:marBottom w:val="0"/>
          <w:divBdr>
            <w:top w:val="none" w:sz="0" w:space="0" w:color="auto"/>
            <w:left w:val="none" w:sz="0" w:space="0" w:color="auto"/>
            <w:bottom w:val="none" w:sz="0" w:space="0" w:color="auto"/>
            <w:right w:val="none" w:sz="0" w:space="0" w:color="auto"/>
          </w:divBdr>
        </w:div>
        <w:div w:id="941961827">
          <w:marLeft w:val="0"/>
          <w:marRight w:val="0"/>
          <w:marTop w:val="0"/>
          <w:marBottom w:val="0"/>
          <w:divBdr>
            <w:top w:val="none" w:sz="0" w:space="0" w:color="auto"/>
            <w:left w:val="none" w:sz="0" w:space="0" w:color="auto"/>
            <w:bottom w:val="none" w:sz="0" w:space="0" w:color="auto"/>
            <w:right w:val="none" w:sz="0" w:space="0" w:color="auto"/>
          </w:divBdr>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1218203829">
                      <w:marLeft w:val="0"/>
                      <w:marRight w:val="0"/>
                      <w:marTop w:val="0"/>
                      <w:marBottom w:val="0"/>
                      <w:divBdr>
                        <w:top w:val="none" w:sz="0" w:space="0" w:color="auto"/>
                        <w:left w:val="none" w:sz="0" w:space="0" w:color="auto"/>
                        <w:bottom w:val="none" w:sz="0" w:space="0" w:color="auto"/>
                        <w:right w:val="none" w:sz="0" w:space="0" w:color="auto"/>
                      </w:divBdr>
                    </w:div>
                    <w:div w:id="2065105188">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31392371">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488663684">
                      <w:marLeft w:val="0"/>
                      <w:marRight w:val="0"/>
                      <w:marTop w:val="0"/>
                      <w:marBottom w:val="0"/>
                      <w:divBdr>
                        <w:top w:val="none" w:sz="0" w:space="0" w:color="auto"/>
                        <w:left w:val="none" w:sz="0" w:space="0" w:color="auto"/>
                        <w:bottom w:val="none" w:sz="0" w:space="0" w:color="auto"/>
                        <w:right w:val="none" w:sz="0" w:space="0" w:color="auto"/>
                      </w:divBdr>
                    </w:div>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699163659">
                      <w:marLeft w:val="0"/>
                      <w:marRight w:val="0"/>
                      <w:marTop w:val="0"/>
                      <w:marBottom w:val="0"/>
                      <w:divBdr>
                        <w:top w:val="none" w:sz="0" w:space="0" w:color="auto"/>
                        <w:left w:val="none" w:sz="0" w:space="0" w:color="auto"/>
                        <w:bottom w:val="none" w:sz="0" w:space="0" w:color="auto"/>
                        <w:right w:val="none" w:sz="0" w:space="0" w:color="auto"/>
                      </w:divBdr>
                    </w:div>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808209056">
                      <w:marLeft w:val="0"/>
                      <w:marRight w:val="0"/>
                      <w:marTop w:val="0"/>
                      <w:marBottom w:val="0"/>
                      <w:divBdr>
                        <w:top w:val="none" w:sz="0" w:space="0" w:color="auto"/>
                        <w:left w:val="none" w:sz="0" w:space="0" w:color="auto"/>
                        <w:bottom w:val="none" w:sz="0" w:space="0" w:color="auto"/>
                        <w:right w:val="none" w:sz="0" w:space="0" w:color="auto"/>
                      </w:divBdr>
                    </w:div>
                    <w:div w:id="144658366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756051065">
                      <w:marLeft w:val="0"/>
                      <w:marRight w:val="0"/>
                      <w:marTop w:val="0"/>
                      <w:marBottom w:val="0"/>
                      <w:divBdr>
                        <w:top w:val="none" w:sz="0" w:space="0" w:color="auto"/>
                        <w:left w:val="none" w:sz="0" w:space="0" w:color="auto"/>
                        <w:bottom w:val="none" w:sz="0" w:space="0" w:color="auto"/>
                        <w:right w:val="none" w:sz="0" w:space="0" w:color="auto"/>
                      </w:divBdr>
                    </w:div>
                    <w:div w:id="1801919751">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422144704">
                      <w:marLeft w:val="0"/>
                      <w:marRight w:val="0"/>
                      <w:marTop w:val="0"/>
                      <w:marBottom w:val="0"/>
                      <w:divBdr>
                        <w:top w:val="none" w:sz="0" w:space="0" w:color="auto"/>
                        <w:left w:val="none" w:sz="0" w:space="0" w:color="auto"/>
                        <w:bottom w:val="none" w:sz="0" w:space="0" w:color="auto"/>
                        <w:right w:val="none" w:sz="0" w:space="0" w:color="auto"/>
                      </w:divBdr>
                    </w:div>
                    <w:div w:id="211381756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12416028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partner.cdc.gov/Sites/NCEH/EHHE/tracking/ArchiveWG/Geospatial/GeoMask_Tool_7_11.pdf"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rackingsupport@cdc.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earth.google.com/outreach/tutorial_fusion_yourowndata.html"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eonames.usgs.gov"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upport.esri.com/en/knowledgebase/techarticles/detail/32482" TargetMode="External"/><Relationship Id="rId27" Type="http://schemas.openxmlformats.org/officeDocument/2006/relationships/hyperlink" Target="https://partner.cdc.gov/Sites/NCEH/EHHE/tracking/Resources/NCDM/Analyte_detection_methods_01062012.xlsx" TargetMode="External"/><Relationship Id="rId30" Type="http://schemas.openxmlformats.org/officeDocument/2006/relationships/hyperlink" Target="http://www.cdc.gov/ephtracking" TargetMode="Externa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Subcateogry xmlns="ECC08746-24BB-4E37-BB4C-065978B1E5A1">How-To Guides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_dlc_DocId xmlns="6b710c5f-2dc9-4c37-bd29-2e6939e2cde5">NS7YCQ7CCPTZ-1293111463-309</_dlc_DocId>
    <_dlc_DocIdUrl xmlns="6b710c5f-2dc9-4c37-bd29-2e6939e2cde5">
      <Url>https://cdcpartners.sharepoint.com/sites/NCEH/EHHE/tracking/Resources/_layouts/15/DocIdRedir.aspx?ID=NS7YCQ7CCPTZ-1293111463-309</Url>
      <Description>NS7YCQ7CCPTZ-1293111463-309</Description>
    </_dlc_DocIdUrl>
  </documentManagement>
</p:properties>
</file>

<file path=customXml/itemProps1.xml><?xml version="1.0" encoding="utf-8"?>
<ds:datastoreItem xmlns:ds="http://schemas.openxmlformats.org/officeDocument/2006/customXml" ds:itemID="{C04E503C-A445-43F2-944F-18539A6C5126}">
  <ds:schemaRefs>
    <ds:schemaRef ds:uri="http://schemas.microsoft.com/sharepoint/events"/>
  </ds:schemaRefs>
</ds:datastoreItem>
</file>

<file path=customXml/itemProps2.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3.xml><?xml version="1.0" encoding="utf-8"?>
<ds:datastoreItem xmlns:ds="http://schemas.openxmlformats.org/officeDocument/2006/customXml" ds:itemID="{326AB6EA-71EC-4617-9894-CBBC3E144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08746-24BB-4E37-BB4C-065978B1E5A1"/>
    <ds:schemaRef ds:uri="DF3916DE-A1F6-488A-9456-327F3B23C4F8"/>
    <ds:schemaRef ds:uri="FEE2B03D-709B-41D9-8179-6B67816EF983"/>
    <ds:schemaRef ds:uri="6b710c5f-2dc9-4c37-bd29-2e6939e2cde5"/>
    <ds:schemaRef ds:uri="6B710C5F-2DC9-4C37-BD29-2E6939E2CDE5"/>
    <ds:schemaRef ds:uri="ecc08746-24bb-4e37-bb4c-065978b1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6B710C5F-2DC9-4C37-BD29-2E6939E2CDE5"/>
    <ds:schemaRef ds:uri="ECC08746-24BB-4E37-BB4C-065978B1E5A1"/>
    <ds:schemaRef ds:uri="DF3916DE-A1F6-488A-9456-327F3B23C4F8"/>
    <ds:schemaRef ds:uri="FEE2B03D-709B-41D9-8179-6B67816EF983"/>
    <ds:schemaRef ds:uri="6b710c5f-2dc9-4c37-bd29-2e6939e2cde5"/>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Drinking Water How-To Guide - 2023</vt:lpstr>
    </vt:vector>
  </TitlesOfParts>
  <Company>Arizona Department of Healt Services</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How-To Guide - 2023</dc:title>
  <dc:subject/>
  <dc:creator>Todd Roufs</dc:creator>
  <cp:keywords/>
  <dc:description/>
  <cp:lastModifiedBy>JFard, Babak</cp:lastModifiedBy>
  <cp:revision>2</cp:revision>
  <cp:lastPrinted>2022-07-27T21:40:00Z</cp:lastPrinted>
  <dcterms:created xsi:type="dcterms:W3CDTF">2023-02-02T16:37:00Z</dcterms:created>
  <dcterms:modified xsi:type="dcterms:W3CDTF">2023-03-28T21:24:00Z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b682cc5a-749c-41dd-ab11-3ff26ceac369</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2021-12-17T00:42:30Z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c9e4c3a2-7629-48f8-97af-744698770813</vt:lpwstr>
  </property>
  <property fmtid="{D5CDD505-2E9C-101B-9397-08002B2CF9AE}" pid="12" name="MSIP_Label_7b94a7b8-f06c-4dfe-bdcc-9b548fd58c31_ContentBits">
    <vt:lpwstr>0</vt:lpwstr>
  </property>
</Properties>
</file>