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80" w:line="264" w:lineRule="auto"/>
        <w:jc w:val="left"/>
      </w:pPr>
      <w:r>
        <w:rPr>
          <w:rFonts w:ascii="Calibri" w:hAnsi="Calibri"/>
          <w:b/>
          <w:i w:val="0"/>
          <w:color w:val="7C3AED"/>
          <w:sz w:val="20"/>
        </w:rPr>
        <w:t>PRODUCT REQUIREMENTS DOCUMENT</w:t>
      </w:r>
    </w:p>
    <w:p>
      <w:pPr>
        <w:pStyle w:val="Title"/>
        <w:spacing w:after="120"/>
      </w:pPr>
      <w:r>
        <w:rPr>
          <w:rFonts w:ascii="Calibri" w:hAnsi="Calibri"/>
          <w:b/>
          <w:color w:val="312E81"/>
          <w:sz w:val="54"/>
        </w:rPr>
        <w:t>Skuggle Public Onboarding, Personal Workspaces &amp; Tenant Experience</w:t>
      </w:r>
    </w:p>
    <w:p>
      <w:pPr>
        <w:keepNext w:val="0"/>
        <w:spacing w:before="0" w:after="280" w:line="264" w:lineRule="auto"/>
        <w:jc w:val="left"/>
      </w:pPr>
      <w:r>
        <w:rPr>
          <w:rFonts w:ascii="Calibri" w:hAnsi="Calibri"/>
          <w:b w:val="0"/>
          <w:i/>
          <w:color w:val="667085"/>
          <w:sz w:val="26"/>
        </w:rPr>
        <w:t>A companion PRD for the School Operating and Learning Intelligence Platform</w:t>
      </w:r>
    </w:p>
    <w:tbl>
      <w:tblPr>
        <w:tblStyle w:val="TableGrid"/>
        <w:tblW w:type="dxa" w:w="9360"/>
        <w:jc w:val="left"/>
        <w:tblLayout w:type="fixed"/>
        <w:tblLook w:firstColumn="1" w:firstRow="1" w:lastColumn="0" w:lastRow="0" w:noHBand="0" w:noVBand="1" w:val="04A0"/>
        <w:tblInd w:w="120" w:type="dxa"/>
      </w:tblPr>
      <w:tblGrid>
        <w:gridCol w:w="2350"/>
        <w:gridCol w:w="7010"/>
      </w:tblGrid>
      <w:tr>
        <w:trPr>
          <w:tblHeader w:val="true"/>
          <w:cantSplit/>
        </w:trPr>
        <w:tc>
          <w:tcPr>
            <w:tcW w:type="dxa" w:w="2350"/>
            <w:shd w:fill="7A284B"/>
            <w:tcMar>
              <w:top w:w="90" w:type="dxa"/>
              <w:start w:w="120" w:type="dxa"/>
              <w:bottom w:w="90" w:type="dxa"/>
              <w:end w:w="120" w:type="dxa"/>
            </w:tcMar>
            <w:vAlign w:val="center"/>
          </w:tcPr>
          <w:p>
            <w:pPr>
              <w:keepNext/>
              <w:spacing w:before="0" w:after="0" w:line="259" w:lineRule="auto"/>
              <w:jc w:val="left"/>
            </w:pPr>
            <w:r/>
            <w:r>
              <w:rPr>
                <w:rFonts w:ascii="Calibri" w:hAnsi="Calibri"/>
                <w:b/>
                <w:color w:val="FFFFFF"/>
                <w:sz w:val="18"/>
              </w:rPr>
              <w:t>Document field</w:t>
            </w:r>
          </w:p>
        </w:tc>
        <w:tc>
          <w:tcPr>
            <w:tcW w:type="dxa" w:w="7010"/>
            <w:shd w:fill="7A284B"/>
            <w:tcMar>
              <w:top w:w="90" w:type="dxa"/>
              <w:start w:w="120" w:type="dxa"/>
              <w:bottom w:w="90" w:type="dxa"/>
              <w:end w:w="120" w:type="dxa"/>
            </w:tcMar>
            <w:vAlign w:val="center"/>
          </w:tcPr>
          <w:p>
            <w:pPr>
              <w:keepNext/>
              <w:spacing w:before="0" w:after="0" w:line="259" w:lineRule="auto"/>
              <w:jc w:val="center"/>
            </w:pPr>
            <w:r/>
            <w:r>
              <w:rPr>
                <w:rFonts w:ascii="Calibri" w:hAnsi="Calibri"/>
                <w:b/>
                <w:color w:val="FFFFFF"/>
                <w:sz w:val="18"/>
              </w:rPr>
              <w:t>Value</w:t>
            </w:r>
          </w:p>
        </w:tc>
      </w:tr>
      <w:tr>
        <w:trPr>
          <w:cantSplit/>
        </w:trPr>
        <w:tc>
          <w:tcPr>
            <w:tcW w:type="dxa" w:w="2350"/>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9"/>
              </w:rPr>
              <w:t>Product</w:t>
            </w:r>
          </w:p>
        </w:tc>
        <w:tc>
          <w:tcPr>
            <w:tcW w:type="dxa" w:w="701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9"/>
              </w:rPr>
              <w:t>Skuggle - Run Your School Smarter</w:t>
            </w:r>
          </w:p>
        </w:tc>
      </w:tr>
      <w:tr>
        <w:trPr>
          <w:cantSplit/>
        </w:trPr>
        <w:tc>
          <w:tcPr>
            <w:tcW w:type="dxa" w:w="235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9"/>
              </w:rPr>
              <w:t>Document version</w:t>
            </w:r>
          </w:p>
        </w:tc>
        <w:tc>
          <w:tcPr>
            <w:tcW w:type="dxa" w:w="701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9"/>
              </w:rPr>
              <w:t>1.0</w:t>
            </w:r>
          </w:p>
        </w:tc>
      </w:tr>
      <w:tr>
        <w:trPr>
          <w:cantSplit/>
        </w:trPr>
        <w:tc>
          <w:tcPr>
            <w:tcW w:type="dxa" w:w="2350"/>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9"/>
              </w:rPr>
              <w:t>Date</w:t>
            </w:r>
          </w:p>
        </w:tc>
        <w:tc>
          <w:tcPr>
            <w:tcW w:type="dxa" w:w="701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9"/>
              </w:rPr>
              <w:t>26 August 2026</w:t>
            </w:r>
          </w:p>
        </w:tc>
      </w:tr>
      <w:tr>
        <w:trPr>
          <w:cantSplit/>
        </w:trPr>
        <w:tc>
          <w:tcPr>
            <w:tcW w:type="dxa" w:w="2350"/>
            <w:shd w:fill="F8F7FC"/>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9"/>
              </w:rPr>
              <w:t>Status</w:t>
            </w:r>
          </w:p>
        </w:tc>
        <w:tc>
          <w:tcPr>
            <w:tcW w:type="dxa" w:w="701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9"/>
              </w:rPr>
              <w:t>Implementation baseline</w:t>
            </w:r>
          </w:p>
        </w:tc>
      </w:tr>
      <w:tr>
        <w:trPr>
          <w:cantSplit/>
        </w:trPr>
        <w:tc>
          <w:tcPr>
            <w:tcW w:type="dxa" w:w="235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9"/>
              </w:rPr>
              <w:t>Primary market</w:t>
            </w:r>
          </w:p>
        </w:tc>
        <w:tc>
          <w:tcPr>
            <w:tcW w:type="dxa" w:w="701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9"/>
              </w:rPr>
              <w:t>Nigerian private nursery, primary and secondary schools</w:t>
            </w:r>
          </w:p>
        </w:tc>
      </w:tr>
      <w:tr>
        <w:trPr>
          <w:cantSplit/>
        </w:trPr>
        <w:tc>
          <w:tcPr>
            <w:tcW w:type="dxa" w:w="2350"/>
            <w:shd w:fill="F8F7FC"/>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9"/>
              </w:rPr>
              <w:t>Platforms</w:t>
            </w:r>
          </w:p>
        </w:tc>
        <w:tc>
          <w:tcPr>
            <w:tcW w:type="dxa" w:w="701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9"/>
              </w:rPr>
              <w:t>Responsive web application and installable PWA</w:t>
            </w:r>
          </w:p>
        </w:tc>
      </w:tr>
      <w:tr>
        <w:trPr>
          <w:cantSplit/>
        </w:trPr>
        <w:tc>
          <w:tcPr>
            <w:tcW w:type="dxa" w:w="2350"/>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9"/>
              </w:rPr>
              <w:t>Baseline</w:t>
            </w:r>
          </w:p>
        </w:tc>
        <w:tc>
          <w:tcPr>
            <w:tcW w:type="dxa" w:w="701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9"/>
              </w:rPr>
              <w:t>Skuggle Product &amp; Technical Specification v1.0</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5F3FF"/>
            <w:tcMar>
              <w:top w:w="90" w:type="dxa"/>
              <w:start w:w="120" w:type="dxa"/>
              <w:bottom w:w="90" w:type="dxa"/>
              <w:end w:w="120" w:type="dxa"/>
            </w:tcMar>
            <w:vAlign w:val="center"/>
          </w:tcPr>
          <w:p>
            <w:pPr>
              <w:spacing w:before="40" w:after="40" w:line="259" w:lineRule="auto"/>
            </w:pPr>
            <w:r>
              <w:rPr>
                <w:rFonts w:ascii="Calibri" w:hAnsi="Calibri"/>
                <w:b/>
                <w:color w:val="7C3AED"/>
                <w:sz w:val="20"/>
              </w:rPr>
              <w:t xml:space="preserve">Product decision: </w:t>
            </w:r>
            <w:r>
              <w:rPr>
                <w:rFonts w:ascii="Calibri" w:hAnsi="Calibri"/>
                <w:color w:val="172033"/>
                <w:sz w:val="20"/>
              </w:rPr>
              <w:t>Skuggle will use one global identity per person. A user may own a personal workspace and hold one or more role-based school memberships without creating duplicate accounts.</w:t>
            </w:r>
          </w:p>
        </w:tc>
      </w:tr>
    </w:tbl>
    <w:p>
      <w:pPr>
        <w:spacing w:after="40"/>
      </w:pPr>
    </w:p>
    <w:p>
      <w:pPr>
        <w:pStyle w:val="Heading2"/>
      </w:pPr>
      <w:r>
        <w:t>Purpose</w:t>
      </w:r>
    </w:p>
    <w:p>
      <w:pPr>
        <w:keepNext w:val="0"/>
        <w:spacing w:before="0" w:after="120" w:line="264" w:lineRule="auto"/>
        <w:jc w:val="left"/>
      </w:pPr>
      <w:r>
        <w:rPr>
          <w:rFonts w:ascii="Calibri" w:hAnsi="Calibri"/>
          <w:b w:val="0"/>
          <w:i w:val="0"/>
          <w:color w:val="172033"/>
          <w:sz w:val="22"/>
        </w:rPr>
        <w:t>This PRD defines the public entry experience, school tenant registration and branding, animated tenant welcome and authentication flow, school-issued invitations and credentials, independent Teacher/Student/Parent workspaces, role-specific home experiences, and free-versus-paid product entitlements.</w:t>
      </w:r>
    </w:p>
    <w:p>
      <w:pPr>
        <w:keepNext w:val="0"/>
        <w:spacing w:before="0" w:after="240" w:line="264" w:lineRule="auto"/>
        <w:jc w:val="left"/>
      </w:pPr>
      <w:r>
        <w:rPr>
          <w:rFonts w:ascii="Calibri" w:hAnsi="Calibri"/>
          <w:b w:val="0"/>
          <w:i w:val="0"/>
          <w:color w:val="172033"/>
          <w:sz w:val="22"/>
        </w:rPr>
        <w:t>It supplements the wider Skuggle product and technical specification. Where this PRD introduces a more specific identity, onboarding or subscription rule, this PRD governs that area.</w:t>
      </w:r>
    </w:p>
    <w:p>
      <w:r>
        <w:br w:type="page"/>
      </w:r>
    </w:p>
    <w:p>
      <w:pPr>
        <w:pStyle w:val="Heading1"/>
      </w:pPr>
      <w:r>
        <w:t>1. Executive Summary</w:t>
      </w:r>
    </w:p>
    <w:p>
      <w:pPr>
        <w:keepNext w:val="0"/>
        <w:spacing w:before="0" w:after="120" w:line="264" w:lineRule="auto"/>
        <w:jc w:val="left"/>
      </w:pPr>
      <w:r>
        <w:rPr>
          <w:rFonts w:ascii="Calibri" w:hAnsi="Calibri"/>
          <w:b w:val="0"/>
          <w:i w:val="0"/>
          <w:color w:val="172033"/>
          <w:sz w:val="22"/>
        </w:rPr>
        <w:t>Skuggle will serve both institutions and individuals. Schools receive an isolated, branded operating environment; teachers, students and parents may create useful personal spaces and later connect the same account to one or more schools. The public Get Started experience will therefore present four clear paths: School, Teacher, Student and Parent.</w:t>
      </w:r>
    </w:p>
    <w:p>
      <w:pPr>
        <w:keepNext w:val="0"/>
        <w:spacing w:before="0" w:after="120" w:line="264" w:lineRule="auto"/>
        <w:jc w:val="left"/>
      </w:pPr>
      <w:r>
        <w:rPr>
          <w:rFonts w:ascii="Calibri" w:hAnsi="Calibri"/>
          <w:b w:val="0"/>
          <w:i w:val="0"/>
          <w:color w:val="172033"/>
          <w:sz w:val="22"/>
        </w:rPr>
        <w:t>The model is designed to reduce onboarding friction, create a recurring free-value loop, preserve strict tenant isolation and avoid charging school-linked users twice. School administrators can create credentials, bulk-import users or send secure invitations. Every signed-out visitor entering a school-specific address sees that school's minimal animated welcome experience before authentication.</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5F3FF"/>
            <w:tcMar>
              <w:top w:w="90" w:type="dxa"/>
              <w:start w:w="120" w:type="dxa"/>
              <w:bottom w:w="90" w:type="dxa"/>
              <w:end w:w="120" w:type="dxa"/>
            </w:tcMar>
            <w:vAlign w:val="center"/>
          </w:tcPr>
          <w:p>
            <w:pPr>
              <w:spacing w:before="40" w:after="40" w:line="259" w:lineRule="auto"/>
            </w:pPr>
            <w:r>
              <w:rPr>
                <w:rFonts w:ascii="Calibri" w:hAnsi="Calibri"/>
                <w:b/>
                <w:color w:val="4F46E5"/>
                <w:sz w:val="20"/>
              </w:rPr>
              <w:t xml:space="preserve">North-star experience: </w:t>
            </w:r>
            <w:r>
              <w:rPr>
                <w:rFonts w:ascii="Calibri" w:hAnsi="Calibri"/>
                <w:color w:val="172033"/>
                <w:sz w:val="20"/>
              </w:rPr>
              <w:t>A person can create an account in under two minutes, reach useful personal or school value in under ten minutes, and always understand which workspace they are using.</w:t>
            </w:r>
          </w:p>
        </w:tc>
      </w:tr>
    </w:tbl>
    <w:p>
      <w:pPr>
        <w:spacing w:after="40"/>
      </w:pPr>
    </w:p>
    <w:p>
      <w:pPr>
        <w:pStyle w:val="Heading1"/>
      </w:pPr>
      <w:r>
        <w:t>2. Product Context and Problem</w:t>
      </w:r>
    </w:p>
    <w:p>
      <w:pPr>
        <w:pStyle w:val="Heading2"/>
      </w:pPr>
      <w:r>
        <w:t>2.1 Current context</w:t>
      </w:r>
    </w:p>
    <w:p>
      <w:pPr>
        <w:keepNext w:val="0"/>
        <w:spacing w:before="0" w:after="120" w:line="264" w:lineRule="auto"/>
        <w:jc w:val="left"/>
      </w:pPr>
      <w:r>
        <w:rPr>
          <w:rFonts w:ascii="Calibri" w:hAnsi="Calibri"/>
          <w:b w:val="0"/>
          <w:i w:val="0"/>
          <w:color w:val="172033"/>
          <w:sz w:val="22"/>
        </w:rPr>
        <w:t>The existing Skuggle specification establishes a multi-tenant school operating and learning intelligence platform with school registration, branding, student records, role-based access, assessment, results, parent access, performance intelligence and teacher AI. It does not yet define a complete public acquisition flow or a global identity model for users who may work independently and also belong to schools.</w:t>
      </w:r>
    </w:p>
    <w:p>
      <w:pPr>
        <w:pStyle w:val="Heading2"/>
      </w:pPr>
      <w:r>
        <w:t>2.2 Problems to solve</w:t>
      </w:r>
    </w:p>
    <w:p>
      <w:pPr>
        <w:pStyle w:val="ListBullet"/>
        <w:spacing w:after="100" w:line="280" w:lineRule="auto"/>
        <w:ind w:left="720" w:hanging="360"/>
      </w:pPr>
      <w:r>
        <w:rPr>
          <w:rFonts w:ascii="Calibri" w:hAnsi="Calibri"/>
          <w:color w:val="172033"/>
          <w:sz w:val="21"/>
        </w:rPr>
        <w:t>School registration can become intimidating if institutional setup is presented as one large form.</w:t>
      </w:r>
    </w:p>
    <w:p>
      <w:pPr>
        <w:pStyle w:val="ListBullet"/>
        <w:spacing w:after="100" w:line="280" w:lineRule="auto"/>
        <w:ind w:left="720" w:hanging="360"/>
      </w:pPr>
      <w:r>
        <w:rPr>
          <w:rFonts w:ascii="Calibri" w:hAnsi="Calibri"/>
          <w:color w:val="172033"/>
          <w:sz w:val="21"/>
        </w:rPr>
        <w:t>Teachers, parents and students need immediate personal value even before their school adopts Skuggle.</w:t>
      </w:r>
    </w:p>
    <w:p>
      <w:pPr>
        <w:pStyle w:val="ListBullet"/>
        <w:spacing w:after="100" w:line="280" w:lineRule="auto"/>
        <w:ind w:left="720" w:hanging="360"/>
      </w:pPr>
      <w:r>
        <w:rPr>
          <w:rFonts w:ascii="Calibri" w:hAnsi="Calibri"/>
          <w:color w:val="172033"/>
          <w:sz w:val="21"/>
        </w:rPr>
        <w:t>A person may belong to several schools or hold several roles, creating duplicate-account risk.</w:t>
      </w:r>
    </w:p>
    <w:p>
      <w:pPr>
        <w:pStyle w:val="ListBullet"/>
        <w:spacing w:after="100" w:line="280" w:lineRule="auto"/>
        <w:ind w:left="720" w:hanging="360"/>
      </w:pPr>
      <w:r>
        <w:rPr>
          <w:rFonts w:ascii="Calibri" w:hAnsi="Calibri"/>
          <w:color w:val="172033"/>
          <w:sz w:val="21"/>
        </w:rPr>
        <w:t>Young students cannot be treated like ordinary adult self-service users.</w:t>
      </w:r>
    </w:p>
    <w:p>
      <w:pPr>
        <w:pStyle w:val="ListBullet"/>
        <w:spacing w:after="100" w:line="280" w:lineRule="auto"/>
        <w:ind w:left="720" w:hanging="360"/>
      </w:pPr>
      <w:r>
        <w:rPr>
          <w:rFonts w:ascii="Calibri" w:hAnsi="Calibri"/>
          <w:color w:val="172033"/>
          <w:sz w:val="21"/>
        </w:rPr>
        <w:t>School identity is weakened when every tenant sees a generic SaaS login page.</w:t>
      </w:r>
    </w:p>
    <w:p>
      <w:pPr>
        <w:pStyle w:val="ListBullet"/>
        <w:spacing w:after="100" w:line="280" w:lineRule="auto"/>
        <w:ind w:left="720" w:hanging="360"/>
      </w:pPr>
      <w:r>
        <w:rPr>
          <w:rFonts w:ascii="Calibri" w:hAnsi="Calibri"/>
          <w:color w:val="172033"/>
          <w:sz w:val="21"/>
        </w:rPr>
        <w:t>Uncontrolled invitation links, shared passwords or role selectors can create security and support problems.</w:t>
      </w:r>
    </w:p>
    <w:p>
      <w:pPr>
        <w:pStyle w:val="ListBullet"/>
        <w:spacing w:after="100" w:line="280" w:lineRule="auto"/>
        <w:ind w:left="720" w:hanging="360"/>
      </w:pPr>
      <w:r>
        <w:rPr>
          <w:rFonts w:ascii="Calibri" w:hAnsi="Calibri"/>
          <w:color w:val="172033"/>
          <w:sz w:val="21"/>
        </w:rPr>
        <w:t>A free tier that is only a demonstration will not create sustained engagement, while an unrestricted free tier can make the product economically unsustainable.</w:t>
      </w:r>
    </w:p>
    <w:p>
      <w:pPr>
        <w:pStyle w:val="Heading1"/>
      </w:pPr>
      <w:r>
        <w:t>3. Vision, Goals and Non-Goals</w:t>
      </w:r>
    </w:p>
    <w:p>
      <w:pPr>
        <w:pStyle w:val="Heading2"/>
      </w:pPr>
      <w:r>
        <w:t>3.1 Vision</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F"/>
            <w:tcMar>
              <w:top w:w="90" w:type="dxa"/>
              <w:start w:w="120" w:type="dxa"/>
              <w:bottom w:w="90" w:type="dxa"/>
              <w:end w:w="120" w:type="dxa"/>
            </w:tcMar>
            <w:vAlign w:val="center"/>
          </w:tcPr>
          <w:p>
            <w:pPr>
              <w:spacing w:before="40" w:after="40" w:line="259" w:lineRule="auto"/>
            </w:pPr>
            <w:r>
              <w:rPr>
                <w:rFonts w:ascii="Calibri" w:hAnsi="Calibri"/>
                <w:b/>
                <w:color w:val="4F46E5"/>
                <w:sz w:val="20"/>
              </w:rPr>
              <w:t xml:space="preserve">Vision: </w:t>
            </w:r>
            <w:r>
              <w:rPr>
                <w:rFonts w:ascii="Calibri" w:hAnsi="Calibri"/>
                <w:color w:val="172033"/>
                <w:sz w:val="20"/>
              </w:rPr>
              <w:t>Make joining, launching and returning to Skuggle feel like entering a trusted digital school environment - simple for an individual, configurable for an institution and secure for every learner.</w:t>
            </w:r>
          </w:p>
        </w:tc>
      </w:tr>
    </w:tbl>
    <w:p>
      <w:pPr>
        <w:spacing w:after="40"/>
      </w:pPr>
    </w:p>
    <w:p>
      <w:pPr>
        <w:pStyle w:val="Heading2"/>
      </w:pPr>
      <w:r>
        <w:t>3.2 Product goals</w:t>
      </w:r>
    </w:p>
    <w:p>
      <w:pPr>
        <w:pStyle w:val="ListBullet"/>
        <w:spacing w:after="100" w:line="280" w:lineRule="auto"/>
        <w:ind w:left="720" w:hanging="360"/>
      </w:pPr>
      <w:r>
        <w:rPr>
          <w:rFonts w:ascii="Calibri" w:hAnsi="Calibri"/>
          <w:color w:val="172033"/>
          <w:sz w:val="21"/>
        </w:rPr>
        <w:t>Provide four unmistakable public entry paths: School, Teacher, Student and Parent.</w:t>
      </w:r>
    </w:p>
    <w:p>
      <w:pPr>
        <w:pStyle w:val="ListBullet"/>
        <w:spacing w:after="100" w:line="280" w:lineRule="auto"/>
        <w:ind w:left="720" w:hanging="360"/>
      </w:pPr>
      <w:r>
        <w:rPr>
          <w:rFonts w:ascii="Calibri" w:hAnsi="Calibri"/>
          <w:color w:val="172033"/>
          <w:sz w:val="21"/>
        </w:rPr>
        <w:t>Allow one verified person to use personal and school workspaces through one account.</w:t>
      </w:r>
    </w:p>
    <w:p>
      <w:pPr>
        <w:pStyle w:val="ListBullet"/>
        <w:spacing w:after="100" w:line="280" w:lineRule="auto"/>
        <w:ind w:left="720" w:hanging="360"/>
      </w:pPr>
      <w:r>
        <w:rPr>
          <w:rFonts w:ascii="Calibri" w:hAnsi="Calibri"/>
          <w:color w:val="172033"/>
          <w:sz w:val="21"/>
        </w:rPr>
        <w:t>Let a school complete registration and branding before guided academic configuration.</w:t>
      </w:r>
    </w:p>
    <w:p>
      <w:pPr>
        <w:pStyle w:val="ListBullet"/>
        <w:spacing w:after="100" w:line="280" w:lineRule="auto"/>
        <w:ind w:left="720" w:hanging="360"/>
      </w:pPr>
      <w:r>
        <w:rPr>
          <w:rFonts w:ascii="Calibri" w:hAnsi="Calibri"/>
          <w:color w:val="172033"/>
          <w:sz w:val="21"/>
        </w:rPr>
        <w:t>Give every school a minimal, animated and recognisably branded welcome-before-login experience.</w:t>
      </w:r>
    </w:p>
    <w:p>
      <w:pPr>
        <w:pStyle w:val="ListBullet"/>
        <w:spacing w:after="100" w:line="280" w:lineRule="auto"/>
        <w:ind w:left="720" w:hanging="360"/>
      </w:pPr>
      <w:r>
        <w:rPr>
          <w:rFonts w:ascii="Calibri" w:hAnsi="Calibri"/>
          <w:color w:val="172033"/>
          <w:sz w:val="21"/>
        </w:rPr>
        <w:t>Support secure individual, bulk and invitation-based onboarding for school users.</w:t>
      </w:r>
    </w:p>
    <w:p>
      <w:pPr>
        <w:pStyle w:val="ListBullet"/>
        <w:spacing w:after="100" w:line="280" w:lineRule="auto"/>
        <w:ind w:left="720" w:hanging="360"/>
      </w:pPr>
      <w:r>
        <w:rPr>
          <w:rFonts w:ascii="Calibri" w:hAnsi="Calibri"/>
          <w:color w:val="172033"/>
          <w:sz w:val="21"/>
        </w:rPr>
        <w:t>Deliver enough permanent free value to create weekly teacher, student, parent and small-school engagement.</w:t>
      </w:r>
    </w:p>
    <w:p>
      <w:pPr>
        <w:pStyle w:val="ListBullet"/>
        <w:spacing w:after="100" w:line="280" w:lineRule="auto"/>
        <w:ind w:left="720" w:hanging="360"/>
      </w:pPr>
      <w:r>
        <w:rPr>
          <w:rFonts w:ascii="Calibri" w:hAnsi="Calibri"/>
          <w:color w:val="172033"/>
          <w:sz w:val="21"/>
        </w:rPr>
        <w:t>Convert customers through scale, automation, intelligence, storage and institutional controls rather than artificial usability blocks.</w:t>
      </w:r>
    </w:p>
    <w:p>
      <w:pPr>
        <w:pStyle w:val="ListBullet"/>
        <w:spacing w:after="100" w:line="280" w:lineRule="auto"/>
        <w:ind w:left="720" w:hanging="360"/>
      </w:pPr>
      <w:r>
        <w:rPr>
          <w:rFonts w:ascii="Calibri" w:hAnsi="Calibri"/>
          <w:color w:val="172033"/>
          <w:sz w:val="21"/>
        </w:rPr>
        <w:t>Preserve mobile-first, low-bandwidth, PWA and non-ERP design principles.</w:t>
      </w:r>
    </w:p>
    <w:p>
      <w:pPr>
        <w:pStyle w:val="Heading2"/>
      </w:pPr>
      <w:r>
        <w:t>3.3 Non-goals</w:t>
      </w:r>
    </w:p>
    <w:p>
      <w:pPr>
        <w:pStyle w:val="ListBullet"/>
        <w:spacing w:after="100" w:line="280" w:lineRule="auto"/>
        <w:ind w:left="720" w:hanging="360"/>
      </w:pPr>
      <w:r>
        <w:rPr>
          <w:rFonts w:ascii="Calibri" w:hAnsi="Calibri"/>
          <w:color w:val="172033"/>
          <w:sz w:val="21"/>
        </w:rPr>
        <w:t>Replacing the full Skuggle academic, finance, HR, transport, library or LMS specifications.</w:t>
      </w:r>
    </w:p>
    <w:p>
      <w:pPr>
        <w:pStyle w:val="ListBullet"/>
        <w:spacing w:after="100" w:line="280" w:lineRule="auto"/>
        <w:ind w:left="720" w:hanging="360"/>
      </w:pPr>
      <w:r>
        <w:rPr>
          <w:rFonts w:ascii="Calibri" w:hAnsi="Calibri"/>
          <w:color w:val="172033"/>
          <w:sz w:val="21"/>
        </w:rPr>
        <w:t>Requiring every student to own an email address or Google account.</w:t>
      </w:r>
    </w:p>
    <w:p>
      <w:pPr>
        <w:pStyle w:val="ListBullet"/>
        <w:spacing w:after="100" w:line="280" w:lineRule="auto"/>
        <w:ind w:left="720" w:hanging="360"/>
      </w:pPr>
      <w:r>
        <w:rPr>
          <w:rFonts w:ascii="Calibri" w:hAnsi="Calibri"/>
          <w:color w:val="172033"/>
          <w:sz w:val="21"/>
        </w:rPr>
        <w:t>Permitting users to claim a school, child or role without school-authorised evidence.</w:t>
      </w:r>
    </w:p>
    <w:p>
      <w:pPr>
        <w:pStyle w:val="ListBullet"/>
        <w:spacing w:after="100" w:line="280" w:lineRule="auto"/>
        <w:ind w:left="720" w:hanging="360"/>
      </w:pPr>
      <w:r>
        <w:rPr>
          <w:rFonts w:ascii="Calibri" w:hAnsi="Calibri"/>
          <w:color w:val="172033"/>
          <w:sz w:val="21"/>
        </w:rPr>
        <w:t>Using AI to independently approve users, publish results or make high-impact academic decisions.</w:t>
      </w:r>
    </w:p>
    <w:p>
      <w:pPr>
        <w:pStyle w:val="ListBullet"/>
        <w:spacing w:after="100" w:line="280" w:lineRule="auto"/>
        <w:ind w:left="720" w:hanging="360"/>
      </w:pPr>
      <w:r>
        <w:rPr>
          <w:rFonts w:ascii="Calibri" w:hAnsi="Calibri"/>
          <w:color w:val="172033"/>
          <w:sz w:val="21"/>
        </w:rPr>
        <w:t>Building native iOS or Android applications in this release; the delivery target remains responsive web and PWA.</w:t>
      </w:r>
    </w:p>
    <w:p>
      <w:pPr>
        <w:pStyle w:val="ListBullet"/>
        <w:spacing w:after="100" w:line="280" w:lineRule="auto"/>
        <w:ind w:left="720" w:hanging="360"/>
      </w:pPr>
      <w:r>
        <w:rPr>
          <w:rFonts w:ascii="Calibri" w:hAnsi="Calibri"/>
          <w:color w:val="172033"/>
          <w:sz w:val="21"/>
        </w:rPr>
        <w:t>Finalising exact Naira subscription prices before unit economics and pilot evidence are validated.</w:t>
      </w:r>
    </w:p>
    <w:p>
      <w:pPr>
        <w:pStyle w:val="Heading1"/>
      </w:pPr>
      <w:r>
        <w:t>4. Scope</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4680"/>
            <w:shd w:fill="312E81"/>
            <w:tcMar>
              <w:top w:w="90" w:type="dxa"/>
              <w:start w:w="120" w:type="dxa"/>
              <w:bottom w:w="90" w:type="dxa"/>
              <w:end w:w="120" w:type="dxa"/>
            </w:tcMar>
            <w:vAlign w:val="center"/>
          </w:tcPr>
          <w:p>
            <w:pPr>
              <w:spacing w:before="0" w:after="0" w:line="259" w:lineRule="auto"/>
              <w:jc w:val="center"/>
            </w:pPr>
            <w:r/>
            <w:r>
              <w:rPr>
                <w:rFonts w:ascii="Calibri" w:hAnsi="Calibri"/>
                <w:b/>
                <w:color w:val="FFFFFF"/>
                <w:sz w:val="18"/>
              </w:rPr>
              <w:t>In scope</w:t>
            </w:r>
          </w:p>
        </w:tc>
        <w:tc>
          <w:tcPr>
            <w:tcW w:type="dxa" w:w="4680"/>
            <w:shd w:fill="312E81"/>
            <w:tcMar>
              <w:top w:w="90" w:type="dxa"/>
              <w:start w:w="120" w:type="dxa"/>
              <w:bottom w:w="90" w:type="dxa"/>
              <w:end w:w="120" w:type="dxa"/>
            </w:tcMar>
            <w:vAlign w:val="center"/>
          </w:tcPr>
          <w:p>
            <w:pPr>
              <w:spacing w:before="0" w:after="0" w:line="259" w:lineRule="auto"/>
              <w:jc w:val="left"/>
            </w:pPr>
            <w:r/>
            <w:r>
              <w:rPr>
                <w:rFonts w:ascii="Calibri" w:hAnsi="Calibri"/>
                <w:b/>
                <w:color w:val="FFFFFF"/>
                <w:sz w:val="18"/>
              </w:rPr>
              <w:t>Out of scope for this PRD</w:t>
            </w:r>
          </w:p>
        </w:tc>
      </w:tr>
      <w:tr>
        <w:trPr>
          <w:cantSplit/>
        </w:trPr>
        <w:tc>
          <w:tcPr>
            <w:tcW w:type="dxa" w:w="468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8"/>
              </w:rPr>
              <w:t>Public Get Started and sign-in entry points</w:t>
            </w:r>
          </w:p>
        </w:tc>
        <w:tc>
          <w:tcPr>
            <w:tcW w:type="dxa" w:w="468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8"/>
              </w:rPr>
              <w:t>Full academic module redesign</w:t>
            </w:r>
          </w:p>
        </w:tc>
      </w:tr>
      <w:tr>
        <w:trPr>
          <w:cantSplit/>
        </w:trPr>
        <w:tc>
          <w:tcPr>
            <w:tcW w:type="dxa" w:w="468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8"/>
              </w:rPr>
              <w:t>Global account, workspace and membership model</w:t>
            </w:r>
          </w:p>
        </w:tc>
        <w:tc>
          <w:tcPr>
            <w:tcW w:type="dxa" w:w="468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8"/>
              </w:rPr>
              <w:t>Payroll, hostel, transport and procurement</w:t>
            </w:r>
          </w:p>
        </w:tc>
      </w:tr>
      <w:tr>
        <w:trPr>
          <w:cantSplit/>
        </w:trPr>
        <w:tc>
          <w:tcPr>
            <w:tcW w:type="dxa" w:w="468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8"/>
              </w:rPr>
              <w:t>School registration and Branding Studio</w:t>
            </w:r>
          </w:p>
        </w:tc>
        <w:tc>
          <w:tcPr>
            <w:tcW w:type="dxa" w:w="468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8"/>
              </w:rPr>
              <w:t>Native mobile applications</w:t>
            </w:r>
          </w:p>
        </w:tc>
      </w:tr>
      <w:tr>
        <w:trPr>
          <w:cantSplit/>
        </w:trPr>
        <w:tc>
          <w:tcPr>
            <w:tcW w:type="dxa" w:w="468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8"/>
              </w:rPr>
              <w:t>Tenant welcome animation and login transition</w:t>
            </w:r>
          </w:p>
        </w:tc>
        <w:tc>
          <w:tcPr>
            <w:tcW w:type="dxa" w:w="468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8"/>
              </w:rPr>
              <w:t>Unlimited real-time video lessons</w:t>
            </w:r>
          </w:p>
        </w:tc>
      </w:tr>
      <w:tr>
        <w:trPr>
          <w:cantSplit/>
        </w:trPr>
        <w:tc>
          <w:tcPr>
            <w:tcW w:type="dxa" w:w="468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8"/>
              </w:rPr>
              <w:t>Invitations, credentials, bulk import and linking</w:t>
            </w:r>
          </w:p>
        </w:tc>
        <w:tc>
          <w:tcPr>
            <w:tcW w:type="dxa" w:w="468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8"/>
              </w:rPr>
              <w:t>Biometric or facial-recognition authentication</w:t>
            </w:r>
          </w:p>
        </w:tc>
      </w:tr>
      <w:tr>
        <w:trPr>
          <w:cantSplit/>
        </w:trPr>
        <w:tc>
          <w:tcPr>
            <w:tcW w:type="dxa" w:w="468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8"/>
              </w:rPr>
              <w:t>Personal Teacher, Student and Parent onboarding</w:t>
            </w:r>
          </w:p>
        </w:tc>
        <w:tc>
          <w:tcPr>
            <w:tcW w:type="dxa" w:w="468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8"/>
              </w:rPr>
              <w:t>Final price amounts and tax policy</w:t>
            </w:r>
          </w:p>
        </w:tc>
      </w:tr>
      <w:tr>
        <w:trPr>
          <w:cantSplit/>
        </w:trPr>
        <w:tc>
          <w:tcPr>
            <w:tcW w:type="dxa" w:w="468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8"/>
              </w:rPr>
              <w:t>Role-specific home-screen information architecture</w:t>
            </w:r>
          </w:p>
        </w:tc>
        <w:tc>
          <w:tcPr>
            <w:tcW w:type="dxa" w:w="468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8"/>
              </w:rPr>
              <w:t>Direct WAEC/NECO integration unless separately contracted</w:t>
            </w:r>
          </w:p>
        </w:tc>
      </w:tr>
      <w:tr>
        <w:trPr>
          <w:cantSplit/>
        </w:trPr>
        <w:tc>
          <w:tcPr>
            <w:tcW w:type="dxa" w:w="468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8"/>
              </w:rPr>
              <w:t>Free, paid and add-on entitlement boundaries</w:t>
            </w:r>
          </w:p>
        </w:tc>
        <w:tc>
          <w:tcPr>
            <w:tcW w:type="dxa" w:w="468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8"/>
              </w:rPr>
              <w:t>Unreviewed autonomous AI decisions</w:t>
            </w:r>
          </w:p>
        </w:tc>
      </w:tr>
      <w:tr>
        <w:trPr>
          <w:cantSplit/>
        </w:trPr>
        <w:tc>
          <w:tcPr>
            <w:tcW w:type="dxa" w:w="468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8"/>
              </w:rPr>
              <w:t>Security, analytics, rollout and acceptance criteria</w:t>
            </w:r>
          </w:p>
        </w:tc>
        <w:tc>
          <w:tcPr>
            <w:tcW w:type="dxa" w:w="468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8"/>
              </w:rPr>
              <w:t>Custom school websites beyond tenant portal branding</w:t>
            </w:r>
          </w:p>
        </w:tc>
      </w:tr>
    </w:tbl>
    <w:p>
      <w:pPr>
        <w:spacing w:after="40"/>
      </w:pPr>
    </w:p>
    <w:p>
      <w:pPr>
        <w:pStyle w:val="Heading1"/>
      </w:pPr>
      <w:r>
        <w:t>5. Users and Personas</w:t>
      </w:r>
    </w:p>
    <w:tbl>
      <w:tblPr>
        <w:tblStyle w:val="TableGrid"/>
        <w:tblW w:type="dxa" w:w="9360"/>
        <w:jc w:val="left"/>
        <w:tblLayout w:type="fixed"/>
        <w:tblLook w:firstColumn="1" w:firstRow="1" w:lastColumn="0" w:lastRow="0" w:noHBand="0" w:noVBand="1" w:val="04A0"/>
        <w:tblInd w:w="120" w:type="dxa"/>
      </w:tblPr>
      <w:tblGrid>
        <w:gridCol w:w="2100"/>
        <w:gridCol w:w="2550"/>
        <w:gridCol w:w="4710"/>
      </w:tblGrid>
      <w:tr>
        <w:trPr>
          <w:tblHeader w:val="true"/>
          <w:cantSplit/>
        </w:trPr>
        <w:tc>
          <w:tcPr>
            <w:tcW w:type="dxa" w:w="2100"/>
            <w:shd w:fill="312E81"/>
            <w:tcMar>
              <w:top w:w="90" w:type="dxa"/>
              <w:start w:w="120" w:type="dxa"/>
              <w:bottom w:w="90" w:type="dxa"/>
              <w:end w:w="120" w:type="dxa"/>
            </w:tcMar>
            <w:vAlign w:val="center"/>
          </w:tcPr>
          <w:p>
            <w:pPr>
              <w:spacing w:before="0" w:after="0" w:line="259" w:lineRule="auto"/>
              <w:jc w:val="center"/>
            </w:pPr>
            <w:r/>
            <w:r>
              <w:rPr>
                <w:rFonts w:ascii="Calibri" w:hAnsi="Calibri"/>
                <w:b/>
                <w:color w:val="FFFFFF"/>
                <w:sz w:val="18"/>
              </w:rPr>
              <w:t>Persona</w:t>
            </w:r>
          </w:p>
        </w:tc>
        <w:tc>
          <w:tcPr>
            <w:tcW w:type="dxa" w:w="2550"/>
            <w:shd w:fill="312E81"/>
            <w:tcMar>
              <w:top w:w="90" w:type="dxa"/>
              <w:start w:w="120" w:type="dxa"/>
              <w:bottom w:w="90" w:type="dxa"/>
              <w:end w:w="120" w:type="dxa"/>
            </w:tcMar>
            <w:vAlign w:val="center"/>
          </w:tcPr>
          <w:p>
            <w:pPr>
              <w:spacing w:before="0" w:after="0" w:line="259" w:lineRule="auto"/>
              <w:jc w:val="left"/>
            </w:pPr>
            <w:r/>
            <w:r>
              <w:rPr>
                <w:rFonts w:ascii="Calibri" w:hAnsi="Calibri"/>
                <w:b/>
                <w:color w:val="FFFFFF"/>
                <w:sz w:val="18"/>
              </w:rPr>
              <w:t>Primary need</w:t>
            </w:r>
          </w:p>
        </w:tc>
        <w:tc>
          <w:tcPr>
            <w:tcW w:type="dxa" w:w="4710"/>
            <w:shd w:fill="312E81"/>
            <w:tcMar>
              <w:top w:w="90" w:type="dxa"/>
              <w:start w:w="120" w:type="dxa"/>
              <w:bottom w:w="90" w:type="dxa"/>
              <w:end w:w="120" w:type="dxa"/>
            </w:tcMar>
            <w:vAlign w:val="center"/>
          </w:tcPr>
          <w:p>
            <w:pPr>
              <w:spacing w:before="0" w:after="0" w:line="259" w:lineRule="auto"/>
              <w:jc w:val="left"/>
            </w:pPr>
            <w:r/>
            <w:r>
              <w:rPr>
                <w:rFonts w:ascii="Calibri" w:hAnsi="Calibri"/>
                <w:b/>
                <w:color w:val="FFFFFF"/>
                <w:sz w:val="18"/>
              </w:rPr>
              <w:t>Home-screen expectation</w:t>
            </w:r>
          </w:p>
        </w:tc>
      </w:tr>
      <w:tr>
        <w:trPr>
          <w:cantSplit/>
        </w:trPr>
        <w:tc>
          <w:tcPr>
            <w:tcW w:type="dxa" w:w="210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School proprietor</w:t>
            </w:r>
          </w:p>
        </w:tc>
        <w:tc>
          <w:tcPr>
            <w:tcW w:type="dxa" w:w="255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Visibility and control</w:t>
            </w:r>
          </w:p>
        </w:tc>
        <w:tc>
          <w:tcPr>
            <w:tcW w:type="dxa" w:w="471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Enrollment, fee position, attendance, performance and urgent risks</w:t>
            </w:r>
          </w:p>
        </w:tc>
      </w:tr>
      <w:tr>
        <w:trPr>
          <w:cantSplit/>
        </w:trPr>
        <w:tc>
          <w:tcPr>
            <w:tcW w:type="dxa" w:w="210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School administrator</w:t>
            </w:r>
          </w:p>
        </w:tc>
        <w:tc>
          <w:tcPr>
            <w:tcW w:type="dxa" w:w="255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Fast setup and dependable operations</w:t>
            </w:r>
          </w:p>
        </w:tc>
        <w:tc>
          <w:tcPr>
            <w:tcW w:type="dxa" w:w="471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Setup progress, admissions, users, pending tasks and quick actions</w:t>
            </w:r>
          </w:p>
        </w:tc>
      </w:tr>
      <w:tr>
        <w:trPr>
          <w:cantSplit/>
        </w:trPr>
        <w:tc>
          <w:tcPr>
            <w:tcW w:type="dxa" w:w="210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Principal / Head Teacher</w:t>
            </w:r>
          </w:p>
        </w:tc>
        <w:tc>
          <w:tcPr>
            <w:tcW w:type="dxa" w:w="255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Academic oversight</w:t>
            </w:r>
          </w:p>
        </w:tc>
        <w:tc>
          <w:tcPr>
            <w:tcW w:type="dxa" w:w="471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Attendance, curriculum coverage, assessments, staff activity and interventions</w:t>
            </w:r>
          </w:p>
        </w:tc>
      </w:tr>
      <w:tr>
        <w:trPr>
          <w:cantSplit/>
        </w:trPr>
        <w:tc>
          <w:tcPr>
            <w:tcW w:type="dxa" w:w="210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School teacher</w:t>
            </w:r>
          </w:p>
        </w:tc>
        <w:tc>
          <w:tcPr>
            <w:tcW w:type="dxa" w:w="255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Complete today's work quickly</w:t>
            </w:r>
          </w:p>
        </w:tc>
        <w:tc>
          <w:tcPr>
            <w:tcW w:type="dxa" w:w="471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Classes, attendance, lessons, assignments, scores and learner alerts</w:t>
            </w:r>
          </w:p>
        </w:tc>
      </w:tr>
      <w:tr>
        <w:trPr>
          <w:cantSplit/>
        </w:trPr>
        <w:tc>
          <w:tcPr>
            <w:tcW w:type="dxa" w:w="210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Independent teacher</w:t>
            </w:r>
          </w:p>
        </w:tc>
        <w:tc>
          <w:tcPr>
            <w:tcW w:type="dxa" w:w="255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Prepare and organise teaching</w:t>
            </w:r>
          </w:p>
        </w:tc>
        <w:tc>
          <w:tcPr>
            <w:tcW w:type="dxa" w:w="471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Lesson Builder, Question Generator, curriculum and personal classes</w:t>
            </w:r>
          </w:p>
        </w:tc>
      </w:tr>
      <w:tr>
        <w:trPr>
          <w:cantSplit/>
        </w:trPr>
        <w:tc>
          <w:tcPr>
            <w:tcW w:type="dxa" w:w="210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Parent / guardian</w:t>
            </w:r>
          </w:p>
        </w:tc>
        <w:tc>
          <w:tcPr>
            <w:tcW w:type="dxa" w:w="255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Understand and support each child</w:t>
            </w:r>
          </w:p>
        </w:tc>
        <w:tc>
          <w:tcPr>
            <w:tcW w:type="dxa" w:w="471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Attendance, assignments, results, payments, messages and actions</w:t>
            </w:r>
          </w:p>
        </w:tc>
      </w:tr>
      <w:tr>
        <w:trPr>
          <w:cantSplit/>
        </w:trPr>
        <w:tc>
          <w:tcPr>
            <w:tcW w:type="dxa" w:w="2100"/>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Student</w:t>
            </w:r>
          </w:p>
        </w:tc>
        <w:tc>
          <w:tcPr>
            <w:tcW w:type="dxa" w:w="255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Know what to learn next</w:t>
            </w:r>
          </w:p>
        </w:tc>
        <w:tc>
          <w:tcPr>
            <w:tcW w:type="dxa" w:w="471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Today's plan, assignments, assessments, progress, results and practice</w:t>
            </w:r>
          </w:p>
        </w:tc>
      </w:tr>
      <w:tr>
        <w:trPr>
          <w:cantSplit/>
        </w:trPr>
        <w:tc>
          <w:tcPr>
            <w:tcW w:type="dxa" w:w="210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Platform administrator</w:t>
            </w:r>
          </w:p>
        </w:tc>
        <w:tc>
          <w:tcPr>
            <w:tcW w:type="dxa" w:w="255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Protect platform quality</w:t>
            </w:r>
          </w:p>
        </w:tc>
        <w:tc>
          <w:tcPr>
            <w:tcW w:type="dxa" w:w="471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Tenant verification, plans, entitlements, abuse signals and support operations</w:t>
            </w:r>
          </w:p>
        </w:tc>
      </w:tr>
    </w:tbl>
    <w:p>
      <w:pPr>
        <w:spacing w:after="40"/>
      </w:pPr>
    </w:p>
    <w:p>
      <w:pPr>
        <w:pStyle w:val="Heading1"/>
      </w:pPr>
      <w:r>
        <w:t>6. Product Principles</w:t>
      </w:r>
    </w:p>
    <w:p>
      <w:pPr>
        <w:pStyle w:val="Heading3"/>
      </w:pPr>
      <w:r>
        <w:t>One person, one identity</w:t>
      </w:r>
    </w:p>
    <w:p>
      <w:pPr>
        <w:keepNext w:val="0"/>
        <w:spacing w:before="0" w:after="80" w:line="264" w:lineRule="auto"/>
        <w:jc w:val="left"/>
      </w:pPr>
      <w:r>
        <w:rPr>
          <w:rFonts w:ascii="Calibri" w:hAnsi="Calibri"/>
          <w:b w:val="0"/>
          <w:i w:val="0"/>
          <w:color w:val="172033"/>
          <w:sz w:val="22"/>
        </w:rPr>
        <w:t>A verified person does not create a fresh account for every school or role.</w:t>
      </w:r>
    </w:p>
    <w:p>
      <w:pPr>
        <w:pStyle w:val="Heading3"/>
      </w:pPr>
      <w:r>
        <w:t>Workspace clarity</w:t>
      </w:r>
    </w:p>
    <w:p>
      <w:pPr>
        <w:keepNext w:val="0"/>
        <w:spacing w:before="0" w:after="80" w:line="264" w:lineRule="auto"/>
        <w:jc w:val="left"/>
      </w:pPr>
      <w:r>
        <w:rPr>
          <w:rFonts w:ascii="Calibri" w:hAnsi="Calibri"/>
          <w:b w:val="0"/>
          <w:i w:val="0"/>
          <w:color w:val="172033"/>
          <w:sz w:val="22"/>
        </w:rPr>
        <w:t>Skuggle always shows whether the user is in a personal space or a named school.</w:t>
      </w:r>
    </w:p>
    <w:p>
      <w:pPr>
        <w:pStyle w:val="Heading3"/>
      </w:pPr>
      <w:r>
        <w:t>Progressive disclosure</w:t>
      </w:r>
    </w:p>
    <w:p>
      <w:pPr>
        <w:keepNext w:val="0"/>
        <w:spacing w:before="0" w:after="80" w:line="264" w:lineRule="auto"/>
        <w:jc w:val="left"/>
      </w:pPr>
      <w:r>
        <w:rPr>
          <w:rFonts w:ascii="Calibri" w:hAnsi="Calibri"/>
          <w:b w:val="0"/>
          <w:i w:val="0"/>
          <w:color w:val="172033"/>
          <w:sz w:val="22"/>
        </w:rPr>
        <w:t>Collect only what is needed for the next meaningful action; complete profiles later.</w:t>
      </w:r>
    </w:p>
    <w:p>
      <w:pPr>
        <w:pStyle w:val="Heading3"/>
      </w:pPr>
      <w:r>
        <w:t>Simple, not ERP-like</w:t>
      </w:r>
    </w:p>
    <w:p>
      <w:pPr>
        <w:keepNext w:val="0"/>
        <w:spacing w:before="0" w:after="80" w:line="264" w:lineRule="auto"/>
        <w:jc w:val="left"/>
      </w:pPr>
      <w:r>
        <w:rPr>
          <w:rFonts w:ascii="Calibri" w:hAnsi="Calibri"/>
          <w:b w:val="0"/>
          <w:i w:val="0"/>
          <w:color w:val="172033"/>
          <w:sz w:val="22"/>
        </w:rPr>
        <w:t>Display role-relevant actions through horizontal navigation and focused home experiences.</w:t>
      </w:r>
    </w:p>
    <w:p>
      <w:pPr>
        <w:pStyle w:val="Heading3"/>
      </w:pPr>
      <w:r>
        <w:t>School-owned environment</w:t>
      </w:r>
    </w:p>
    <w:p>
      <w:pPr>
        <w:keepNext w:val="0"/>
        <w:spacing w:before="0" w:after="80" w:line="264" w:lineRule="auto"/>
        <w:jc w:val="left"/>
      </w:pPr>
      <w:r>
        <w:rPr>
          <w:rFonts w:ascii="Calibri" w:hAnsi="Calibri"/>
          <w:b w:val="0"/>
          <w:i w:val="0"/>
          <w:color w:val="172033"/>
          <w:sz w:val="22"/>
        </w:rPr>
        <w:t>Tenant branding applies before login and throughout approved school surfaces.</w:t>
      </w:r>
    </w:p>
    <w:p>
      <w:pPr>
        <w:pStyle w:val="Heading3"/>
      </w:pPr>
      <w:r>
        <w:t>Safe by default</w:t>
      </w:r>
    </w:p>
    <w:p>
      <w:pPr>
        <w:keepNext w:val="0"/>
        <w:spacing w:before="0" w:after="80" w:line="264" w:lineRule="auto"/>
        <w:jc w:val="left"/>
      </w:pPr>
      <w:r>
        <w:rPr>
          <w:rFonts w:ascii="Calibri" w:hAnsi="Calibri"/>
          <w:b w:val="0"/>
          <w:i w:val="0"/>
          <w:color w:val="172033"/>
          <w:sz w:val="22"/>
        </w:rPr>
        <w:t>No public role claiming, child searching, plaintext password recovery or client-side tenant trust.</w:t>
      </w:r>
    </w:p>
    <w:p>
      <w:pPr>
        <w:pStyle w:val="Heading3"/>
      </w:pPr>
      <w:r>
        <w:t>Free value with cost controls</w:t>
      </w:r>
    </w:p>
    <w:p>
      <w:pPr>
        <w:keepNext w:val="0"/>
        <w:spacing w:before="0" w:after="80" w:line="264" w:lineRule="auto"/>
        <w:jc w:val="left"/>
      </w:pPr>
      <w:r>
        <w:rPr>
          <w:rFonts w:ascii="Calibri" w:hAnsi="Calibri"/>
          <w:b w:val="0"/>
          <w:i w:val="0"/>
          <w:color w:val="172033"/>
          <w:sz w:val="22"/>
        </w:rPr>
        <w:t>Recurring value is free; high-volume compute, automation, storage and institutional control are paid.</w:t>
      </w:r>
    </w:p>
    <w:p>
      <w:pPr>
        <w:pStyle w:val="Heading3"/>
      </w:pPr>
      <w:r>
        <w:t>Human-controlled AI</w:t>
      </w:r>
    </w:p>
    <w:p>
      <w:pPr>
        <w:keepNext w:val="0"/>
        <w:spacing w:before="0" w:after="80" w:line="264" w:lineRule="auto"/>
        <w:jc w:val="left"/>
      </w:pPr>
      <w:r>
        <w:rPr>
          <w:rFonts w:ascii="Calibri" w:hAnsi="Calibri"/>
          <w:b w:val="0"/>
          <w:i w:val="0"/>
          <w:color w:val="172033"/>
          <w:sz w:val="22"/>
        </w:rPr>
        <w:t>AI drafts and recommends; authorised users approve consequential academic outputs.</w:t>
      </w:r>
    </w:p>
    <w:p>
      <w:pPr>
        <w:pStyle w:val="Heading3"/>
      </w:pPr>
      <w:r>
        <w:t>Mobile and low bandwidth first</w:t>
      </w:r>
    </w:p>
    <w:p>
      <w:pPr>
        <w:keepNext w:val="0"/>
        <w:spacing w:before="0" w:after="80" w:line="264" w:lineRule="auto"/>
        <w:jc w:val="left"/>
      </w:pPr>
      <w:r>
        <w:rPr>
          <w:rFonts w:ascii="Calibri" w:hAnsi="Calibri"/>
          <w:b w:val="0"/>
          <w:i w:val="0"/>
          <w:color w:val="172033"/>
          <w:sz w:val="22"/>
        </w:rPr>
        <w:t>Core onboarding and login remain usable on modest Android devices and intermittent networks.</w:t>
      </w:r>
    </w:p>
    <w:p>
      <w:pPr>
        <w:pStyle w:val="Heading1"/>
      </w:pPr>
      <w:r>
        <w:t>7. Account, Workspace and Membership Model</w:t>
      </w:r>
    </w:p>
    <w:p>
      <w:pPr>
        <w:pStyle w:val="Heading2"/>
      </w:pPr>
      <w:r>
        <w:t>7.1 Conceptual model</w:t>
      </w:r>
    </w:p>
    <w:tbl>
      <w:tblPr>
        <w:tblStyle w:val="TableGrid"/>
        <w:tblW w:type="dxa" w:w="9360"/>
        <w:jc w:val="left"/>
        <w:tblLayout w:type="fixed"/>
        <w:tblLook w:firstColumn="1" w:firstRow="1" w:lastColumn="0" w:lastRow="0" w:noHBand="0" w:noVBand="1" w:val="04A0"/>
        <w:tblInd w:w="120" w:type="dxa"/>
      </w:tblPr>
      <w:tblGrid>
        <w:gridCol w:w="1850"/>
        <w:gridCol w:w="3900"/>
        <w:gridCol w:w="3610"/>
      </w:tblGrid>
      <w:tr>
        <w:trPr>
          <w:tblHeader w:val="true"/>
          <w:cantSplit/>
        </w:trPr>
        <w:tc>
          <w:tcPr>
            <w:tcW w:type="dxa" w:w="1850"/>
            <w:shd w:fill="312E81"/>
            <w:tcMar>
              <w:top w:w="90" w:type="dxa"/>
              <w:start w:w="120" w:type="dxa"/>
              <w:bottom w:w="90" w:type="dxa"/>
              <w:end w:w="120" w:type="dxa"/>
            </w:tcMar>
            <w:vAlign w:val="center"/>
          </w:tcPr>
          <w:p>
            <w:pPr>
              <w:keepNext/>
              <w:spacing w:before="0" w:after="0" w:line="259" w:lineRule="auto"/>
              <w:jc w:val="center"/>
            </w:pPr>
            <w:r/>
            <w:r>
              <w:rPr>
                <w:rFonts w:ascii="Calibri" w:hAnsi="Calibri"/>
                <w:b/>
                <w:color w:val="FFFFFF"/>
                <w:sz w:val="18"/>
              </w:rPr>
              <w:t>Object</w:t>
            </w:r>
          </w:p>
        </w:tc>
        <w:tc>
          <w:tcPr>
            <w:tcW w:type="dxa" w:w="3900"/>
            <w:shd w:fill="312E81"/>
            <w:tcMar>
              <w:top w:w="90" w:type="dxa"/>
              <w:start w:w="120" w:type="dxa"/>
              <w:bottom w:w="90" w:type="dxa"/>
              <w:end w:w="120" w:type="dxa"/>
            </w:tcMar>
            <w:vAlign w:val="center"/>
          </w:tcPr>
          <w:p>
            <w:pPr>
              <w:keepNext/>
              <w:spacing w:before="0" w:after="0" w:line="259" w:lineRule="auto"/>
              <w:jc w:val="center"/>
            </w:pPr>
            <w:r/>
            <w:r>
              <w:rPr>
                <w:rFonts w:ascii="Calibri" w:hAnsi="Calibri"/>
                <w:b/>
                <w:color w:val="FFFFFF"/>
                <w:sz w:val="18"/>
              </w:rPr>
              <w:t>Definition</w:t>
            </w:r>
          </w:p>
        </w:tc>
        <w:tc>
          <w:tcPr>
            <w:tcW w:type="dxa" w:w="3610"/>
            <w:shd w:fill="312E81"/>
            <w:tcMar>
              <w:top w:w="90" w:type="dxa"/>
              <w:start w:w="120" w:type="dxa"/>
              <w:bottom w:w="90" w:type="dxa"/>
              <w:end w:w="120" w:type="dxa"/>
            </w:tcMar>
            <w:vAlign w:val="center"/>
          </w:tcPr>
          <w:p>
            <w:pPr>
              <w:keepNext/>
              <w:spacing w:before="0" w:after="0" w:line="259" w:lineRule="auto"/>
              <w:jc w:val="center"/>
            </w:pPr>
            <w:r/>
            <w:r>
              <w:rPr>
                <w:rFonts w:ascii="Calibri" w:hAnsi="Calibri"/>
                <w:b/>
                <w:color w:val="FFFFFF"/>
                <w:sz w:val="18"/>
              </w:rPr>
              <w:t>Key rule</w:t>
            </w:r>
          </w:p>
        </w:tc>
      </w:tr>
      <w:tr>
        <w:trPr>
          <w:cantSplit/>
        </w:trPr>
        <w:tc>
          <w:tcPr>
            <w:tcW w:type="dxa" w:w="1850"/>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User account</w:t>
            </w:r>
          </w:p>
        </w:tc>
        <w:tc>
          <w:tcPr>
            <w:tcW w:type="dxa" w:w="390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The person's global authentication identity.</w:t>
            </w:r>
          </w:p>
        </w:tc>
        <w:tc>
          <w:tcPr>
            <w:tcW w:type="dxa" w:w="361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Not duplicated per school.</w:t>
            </w:r>
          </w:p>
        </w:tc>
      </w:tr>
      <w:tr>
        <w:trPr>
          <w:cantSplit/>
        </w:trPr>
        <w:tc>
          <w:tcPr>
            <w:tcW w:type="dxa" w:w="185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Personal workspace</w:t>
            </w:r>
          </w:p>
        </w:tc>
        <w:tc>
          <w:tcPr>
            <w:tcW w:type="dxa" w:w="390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An individually owned Teacher, Student or Parent environment.</w:t>
            </w:r>
          </w:p>
        </w:tc>
        <w:tc>
          <w:tcPr>
            <w:tcW w:type="dxa" w:w="361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Remains separate from school-owned records.</w:t>
            </w:r>
          </w:p>
        </w:tc>
      </w:tr>
      <w:tr>
        <w:trPr>
          <w:cantSplit/>
        </w:trPr>
        <w:tc>
          <w:tcPr>
            <w:tcW w:type="dxa" w:w="1850"/>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School tenant</w:t>
            </w:r>
          </w:p>
        </w:tc>
        <w:tc>
          <w:tcPr>
            <w:tcW w:type="dxa" w:w="390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An isolated institutional environment.</w:t>
            </w:r>
          </w:p>
        </w:tc>
        <w:tc>
          <w:tcPr>
            <w:tcW w:type="dxa" w:w="361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All school data is tenant-scoped server-side.</w:t>
            </w:r>
          </w:p>
        </w:tc>
      </w:tr>
      <w:tr>
        <w:trPr>
          <w:cantSplit/>
        </w:trPr>
        <w:tc>
          <w:tcPr>
            <w:tcW w:type="dxa" w:w="1850"/>
            <w:shd w:fill="F8F7FC"/>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Membership</w:t>
            </w:r>
          </w:p>
        </w:tc>
        <w:tc>
          <w:tcPr>
            <w:tcW w:type="dxa" w:w="390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Relationship between a user and a school tenant.</w:t>
            </w:r>
          </w:p>
        </w:tc>
        <w:tc>
          <w:tcPr>
            <w:tcW w:type="dxa" w:w="361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Carries campus, role, status and dates.</w:t>
            </w:r>
          </w:p>
        </w:tc>
      </w:tr>
      <w:tr>
        <w:trPr>
          <w:cantSplit/>
        </w:trPr>
        <w:tc>
          <w:tcPr>
            <w:tcW w:type="dxa" w:w="1850"/>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Role</w:t>
            </w:r>
          </w:p>
        </w:tc>
        <w:tc>
          <w:tcPr>
            <w:tcW w:type="dxa" w:w="390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Authorised responsibility within a tenant.</w:t>
            </w:r>
          </w:p>
        </w:tc>
        <w:tc>
          <w:tcPr>
            <w:tcW w:type="dxa" w:w="361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Resolved after login; never self-claimed.</w:t>
            </w:r>
          </w:p>
        </w:tc>
      </w:tr>
      <w:tr>
        <w:trPr>
          <w:cantSplit/>
        </w:trPr>
        <w:tc>
          <w:tcPr>
            <w:tcW w:type="dxa" w:w="1850"/>
            <w:shd w:fill="F8F7FC"/>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Profile</w:t>
            </w:r>
          </w:p>
        </w:tc>
        <w:tc>
          <w:tcPr>
            <w:tcW w:type="dxa" w:w="390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Role-appropriate information about the person.</w:t>
            </w:r>
          </w:p>
        </w:tc>
        <w:tc>
          <w:tcPr>
            <w:tcW w:type="dxa" w:w="361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Collect progressively and minimise sensitive data.</w:t>
            </w:r>
          </w:p>
        </w:tc>
      </w:tr>
      <w:tr>
        <w:trPr>
          <w:cantSplit/>
        </w:trPr>
        <w:tc>
          <w:tcPr>
            <w:tcW w:type="dxa" w:w="1850"/>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Entitlement</w:t>
            </w:r>
          </w:p>
        </w:tc>
        <w:tc>
          <w:tcPr>
            <w:tcW w:type="dxa" w:w="390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Permission granted by plan, add-on or sponsored access.</w:t>
            </w:r>
          </w:p>
        </w:tc>
        <w:tc>
          <w:tcPr>
            <w:tcW w:type="dxa" w:w="361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Enforced by the API, not only the interface.</w:t>
            </w:r>
          </w:p>
        </w:tc>
      </w:tr>
    </w:tbl>
    <w:p>
      <w:pPr>
        <w:spacing w:after="40"/>
      </w:pPr>
    </w:p>
    <w:p>
      <w:pPr>
        <w:pStyle w:val="Heading2"/>
      </w:pPr>
      <w:r>
        <w:t>7.2 Identity rules</w:t>
      </w:r>
    </w:p>
    <w:p>
      <w:pPr>
        <w:pStyle w:val="ListBullet"/>
        <w:spacing w:after="100" w:line="280" w:lineRule="auto"/>
        <w:ind w:left="720" w:hanging="360"/>
      </w:pPr>
      <w:r>
        <w:rPr>
          <w:rFonts w:ascii="Calibri" w:hAnsi="Calibri"/>
          <w:color w:val="172033"/>
          <w:sz w:val="21"/>
        </w:rPr>
        <w:t>Verified email addresses are normalised and globally unique where used as a primary identity.</w:t>
      </w:r>
    </w:p>
    <w:p>
      <w:pPr>
        <w:pStyle w:val="ListBullet"/>
        <w:spacing w:after="100" w:line="280" w:lineRule="auto"/>
        <w:ind w:left="720" w:hanging="360"/>
      </w:pPr>
      <w:r>
        <w:rPr>
          <w:rFonts w:ascii="Calibri" w:hAnsi="Calibri"/>
          <w:color w:val="172033"/>
          <w:sz w:val="21"/>
        </w:rPr>
        <w:t>Verified telephone numbers may serve as a primary or recovery identity.</w:t>
      </w:r>
    </w:p>
    <w:p>
      <w:pPr>
        <w:pStyle w:val="ListBullet"/>
        <w:spacing w:after="100" w:line="280" w:lineRule="auto"/>
        <w:ind w:left="720" w:hanging="360"/>
      </w:pPr>
      <w:r>
        <w:rPr>
          <w:rFonts w:ascii="Calibri" w:hAnsi="Calibri"/>
          <w:color w:val="172033"/>
          <w:sz w:val="21"/>
        </w:rPr>
        <w:t>Students without email use a tenant-scoped login alias backed by a global user UUID.</w:t>
      </w:r>
    </w:p>
    <w:p>
      <w:pPr>
        <w:pStyle w:val="ListBullet"/>
        <w:spacing w:after="100" w:line="280" w:lineRule="auto"/>
        <w:ind w:left="720" w:hanging="360"/>
      </w:pPr>
      <w:r>
        <w:rPr>
          <w:rFonts w:ascii="Calibri" w:hAnsi="Calibri"/>
          <w:color w:val="172033"/>
          <w:sz w:val="21"/>
        </w:rPr>
        <w:t>The same user may hold multiple roles in one tenant and memberships in multiple tenants.</w:t>
      </w:r>
    </w:p>
    <w:p>
      <w:pPr>
        <w:pStyle w:val="ListBullet"/>
        <w:spacing w:after="100" w:line="280" w:lineRule="auto"/>
        <w:ind w:left="720" w:hanging="360"/>
      </w:pPr>
      <w:r>
        <w:rPr>
          <w:rFonts w:ascii="Calibri" w:hAnsi="Calibri"/>
          <w:color w:val="172033"/>
          <w:sz w:val="21"/>
        </w:rPr>
        <w:t>Skuggle never auto-merges unverified accounts solely because names or telephone numbers look similar.</w:t>
      </w:r>
    </w:p>
    <w:p>
      <w:pPr>
        <w:pStyle w:val="ListBullet"/>
        <w:spacing w:after="100" w:line="280" w:lineRule="auto"/>
        <w:ind w:left="720" w:hanging="360"/>
      </w:pPr>
      <w:r>
        <w:rPr>
          <w:rFonts w:ascii="Calibri" w:hAnsi="Calibri"/>
          <w:color w:val="172033"/>
          <w:sz w:val="21"/>
        </w:rPr>
        <w:t>School-owned academic records do not automatically move into a personal workspace; approved summaries may be shared through explicit permissions.</w:t>
      </w:r>
    </w:p>
    <w:p>
      <w:pPr>
        <w:pStyle w:val="ListBullet"/>
        <w:spacing w:after="100" w:line="280" w:lineRule="auto"/>
        <w:ind w:left="720" w:hanging="360"/>
      </w:pPr>
      <w:r>
        <w:rPr>
          <w:rFonts w:ascii="Calibri" w:hAnsi="Calibri"/>
          <w:color w:val="172033"/>
          <w:sz w:val="21"/>
        </w:rPr>
        <w:t>A persistent workspace switcher is available after authentication when the user has more than one destination.</w:t>
      </w:r>
    </w:p>
    <w:p>
      <w:pPr>
        <w:pStyle w:val="Heading1"/>
      </w:pPr>
      <w:r>
        <w:t>8. Public Get Started Experience</w:t>
      </w:r>
    </w:p>
    <w:p>
      <w:pPr>
        <w:pStyle w:val="Heading2"/>
      </w:pPr>
      <w:r>
        <w:t>8.1 Entry cards</w:t>
      </w:r>
    </w:p>
    <w:tbl>
      <w:tblPr>
        <w:tblStyle w:val="TableGrid"/>
        <w:tblW w:type="dxa" w:w="9360"/>
        <w:jc w:val="left"/>
        <w:tblLayout w:type="fixed"/>
        <w:tblLook w:firstColumn="1" w:firstRow="1" w:lastColumn="0" w:lastRow="0" w:noHBand="0" w:noVBand="1" w:val="04A0"/>
        <w:tblInd w:w="120" w:type="dxa"/>
      </w:tblPr>
      <w:tblGrid>
        <w:gridCol w:w="1200"/>
        <w:gridCol w:w="3240"/>
        <w:gridCol w:w="2520"/>
        <w:gridCol w:w="2400"/>
      </w:tblGrid>
      <w:tr>
        <w:trPr>
          <w:tblHeader w:val="true"/>
          <w:cantSplit/>
        </w:trPr>
        <w:tc>
          <w:tcPr>
            <w:tcW w:type="dxa" w:w="1200"/>
            <w:shd w:fill="312E81"/>
            <w:tcMar>
              <w:top w:w="90" w:type="dxa"/>
              <w:start w:w="120" w:type="dxa"/>
              <w:bottom w:w="90" w:type="dxa"/>
              <w:end w:w="120" w:type="dxa"/>
            </w:tcMar>
            <w:vAlign w:val="center"/>
          </w:tcPr>
          <w:p>
            <w:pPr>
              <w:keepNext/>
              <w:spacing w:before="0" w:after="0" w:line="259" w:lineRule="auto"/>
              <w:jc w:val="center"/>
            </w:pPr>
            <w:r/>
            <w:r>
              <w:rPr>
                <w:rFonts w:ascii="Calibri" w:hAnsi="Calibri"/>
                <w:b/>
                <w:color w:val="FFFFFF"/>
                <w:sz w:val="18"/>
              </w:rPr>
              <w:t>Card</w:t>
            </w:r>
          </w:p>
        </w:tc>
        <w:tc>
          <w:tcPr>
            <w:tcW w:type="dxa" w:w="3240"/>
            <w:shd w:fill="312E81"/>
            <w:tcMar>
              <w:top w:w="90" w:type="dxa"/>
              <w:start w:w="120" w:type="dxa"/>
              <w:bottom w:w="90" w:type="dxa"/>
              <w:end w:w="120" w:type="dxa"/>
            </w:tcMar>
            <w:vAlign w:val="center"/>
          </w:tcPr>
          <w:p>
            <w:pPr>
              <w:keepNext/>
              <w:spacing w:before="0" w:after="0" w:line="259" w:lineRule="auto"/>
              <w:jc w:val="center"/>
            </w:pPr>
            <w:r/>
            <w:r>
              <w:rPr>
                <w:rFonts w:ascii="Calibri" w:hAnsi="Calibri"/>
                <w:b/>
                <w:color w:val="FFFFFF"/>
                <w:sz w:val="18"/>
              </w:rPr>
              <w:t>Promise</w:t>
            </w:r>
          </w:p>
        </w:tc>
        <w:tc>
          <w:tcPr>
            <w:tcW w:type="dxa" w:w="2520"/>
            <w:shd w:fill="312E81"/>
            <w:tcMar>
              <w:top w:w="90" w:type="dxa"/>
              <w:start w:w="120" w:type="dxa"/>
              <w:bottom w:w="90" w:type="dxa"/>
              <w:end w:w="120" w:type="dxa"/>
            </w:tcMar>
            <w:vAlign w:val="center"/>
          </w:tcPr>
          <w:p>
            <w:pPr>
              <w:keepNext/>
              <w:spacing w:before="0" w:after="0" w:line="259" w:lineRule="auto"/>
              <w:jc w:val="center"/>
            </w:pPr>
            <w:r/>
            <w:r>
              <w:rPr>
                <w:rFonts w:ascii="Calibri" w:hAnsi="Calibri"/>
                <w:b/>
                <w:color w:val="FFFFFF"/>
                <w:sz w:val="18"/>
              </w:rPr>
              <w:t>Audience</w:t>
            </w:r>
          </w:p>
        </w:tc>
        <w:tc>
          <w:tcPr>
            <w:tcW w:type="dxa" w:w="2400"/>
            <w:shd w:fill="312E81"/>
            <w:tcMar>
              <w:top w:w="90" w:type="dxa"/>
              <w:start w:w="120" w:type="dxa"/>
              <w:bottom w:w="90" w:type="dxa"/>
              <w:end w:w="120" w:type="dxa"/>
            </w:tcMar>
            <w:vAlign w:val="center"/>
          </w:tcPr>
          <w:p>
            <w:pPr>
              <w:keepNext/>
              <w:spacing w:before="0" w:after="0" w:line="259" w:lineRule="auto"/>
              <w:jc w:val="left"/>
            </w:pPr>
            <w:r/>
            <w:r>
              <w:rPr>
                <w:rFonts w:ascii="Calibri" w:hAnsi="Calibri"/>
                <w:b/>
                <w:color w:val="FFFFFF"/>
                <w:sz w:val="18"/>
              </w:rPr>
              <w:t>Primary next step</w:t>
            </w:r>
          </w:p>
        </w:tc>
      </w:tr>
      <w:tr>
        <w:trPr>
          <w:cantSplit/>
        </w:trPr>
        <w:tc>
          <w:tcPr>
            <w:tcW w:type="dxa" w:w="1200"/>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School</w:t>
            </w:r>
          </w:p>
        </w:tc>
        <w:tc>
          <w:tcPr>
            <w:tcW w:type="dxa" w:w="324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Set up and manage your school</w:t>
            </w:r>
          </w:p>
        </w:tc>
        <w:tc>
          <w:tcPr>
            <w:tcW w:type="dxa" w:w="252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Proprietor or administrator</w:t>
            </w:r>
          </w:p>
        </w:tc>
        <w:tc>
          <w:tcPr>
            <w:tcW w:type="dxa" w:w="240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Register a school</w:t>
            </w:r>
          </w:p>
        </w:tc>
      </w:tr>
      <w:tr>
        <w:trPr>
          <w:cantSplit/>
        </w:trPr>
        <w:tc>
          <w:tcPr>
            <w:tcW w:type="dxa" w:w="1200"/>
            <w:shd w:fill="F8F7FC"/>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Teacher</w:t>
            </w:r>
          </w:p>
        </w:tc>
        <w:tc>
          <w:tcPr>
            <w:tcW w:type="dxa" w:w="324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Create lessons, assessments and manage learning</w:t>
            </w:r>
          </w:p>
        </w:tc>
        <w:tc>
          <w:tcPr>
            <w:tcW w:type="dxa" w:w="252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Independent or school-linked teacher</w:t>
            </w:r>
          </w:p>
        </w:tc>
        <w:tc>
          <w:tcPr>
            <w:tcW w:type="dxa" w:w="240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Create personal space / Join school</w:t>
            </w:r>
          </w:p>
        </w:tc>
      </w:tr>
      <w:tr>
        <w:trPr>
          <w:cantSplit/>
        </w:trPr>
        <w:tc>
          <w:tcPr>
            <w:tcW w:type="dxa" w:w="1200"/>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Student</w:t>
            </w:r>
          </w:p>
        </w:tc>
        <w:tc>
          <w:tcPr>
            <w:tcW w:type="dxa" w:w="324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Learn, practise and monitor your progress</w:t>
            </w:r>
          </w:p>
        </w:tc>
        <w:tc>
          <w:tcPr>
            <w:tcW w:type="dxa" w:w="252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Independent or school-linked learner</w:t>
            </w:r>
          </w:p>
        </w:tc>
        <w:tc>
          <w:tcPr>
            <w:tcW w:type="dxa" w:w="240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Create learning space / Join school</w:t>
            </w:r>
          </w:p>
        </w:tc>
      </w:tr>
      <w:tr>
        <w:trPr>
          <w:cantSplit/>
        </w:trPr>
        <w:tc>
          <w:tcPr>
            <w:tcW w:type="dxa" w:w="1200"/>
            <w:shd w:fill="F8F7FC"/>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Parent</w:t>
            </w:r>
          </w:p>
        </w:tc>
        <w:tc>
          <w:tcPr>
            <w:tcW w:type="dxa" w:w="324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Follow and support your child's learning</w:t>
            </w:r>
          </w:p>
        </w:tc>
        <w:tc>
          <w:tcPr>
            <w:tcW w:type="dxa" w:w="252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Parent or authorised guardian</w:t>
            </w:r>
          </w:p>
        </w:tc>
        <w:tc>
          <w:tcPr>
            <w:tcW w:type="dxa" w:w="240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Create family space / Connect to school</w:t>
            </w:r>
          </w:p>
        </w:tc>
      </w:tr>
    </w:tbl>
    <w:p>
      <w:pPr>
        <w:spacing w:after="40"/>
      </w:pPr>
    </w:p>
    <w:p>
      <w:pPr>
        <w:pStyle w:val="Heading2"/>
      </w:pPr>
      <w:r>
        <w:t>8.2 UX requirements</w:t>
      </w:r>
    </w:p>
    <w:p>
      <w:pPr>
        <w:pStyle w:val="ListBullet"/>
        <w:spacing w:after="100" w:line="280" w:lineRule="auto"/>
        <w:ind w:left="720" w:hanging="360"/>
      </w:pPr>
      <w:r>
        <w:rPr>
          <w:rFonts w:ascii="Calibri" w:hAnsi="Calibri"/>
          <w:color w:val="172033"/>
          <w:sz w:val="21"/>
        </w:rPr>
        <w:t>Desktop shows four equally weighted cards; mobile shows one column with clear icons and touch targets.</w:t>
      </w:r>
    </w:p>
    <w:p>
      <w:pPr>
        <w:pStyle w:val="ListBullet"/>
        <w:spacing w:after="100" w:line="280" w:lineRule="auto"/>
        <w:ind w:left="720" w:hanging="360"/>
      </w:pPr>
      <w:r>
        <w:rPr>
          <w:rFonts w:ascii="Calibri" w:hAnsi="Calibri"/>
          <w:color w:val="172033"/>
          <w:sz w:val="21"/>
        </w:rPr>
        <w:t>The page uses a restrained Skuggle visual system and does not resemble an ERP dashboard.</w:t>
      </w:r>
    </w:p>
    <w:p>
      <w:pPr>
        <w:pStyle w:val="ListBullet"/>
        <w:spacing w:after="100" w:line="280" w:lineRule="auto"/>
        <w:ind w:left="720" w:hanging="360"/>
      </w:pPr>
      <w:r>
        <w:rPr>
          <w:rFonts w:ascii="Calibri" w:hAnsi="Calibri"/>
          <w:color w:val="172033"/>
          <w:sz w:val="21"/>
        </w:rPr>
        <w:t>Returning users can choose Sign in without passing through registration cards.</w:t>
      </w:r>
    </w:p>
    <w:p>
      <w:pPr>
        <w:pStyle w:val="ListBullet"/>
        <w:spacing w:after="100" w:line="280" w:lineRule="auto"/>
        <w:ind w:left="720" w:hanging="360"/>
      </w:pPr>
      <w:r>
        <w:rPr>
          <w:rFonts w:ascii="Calibri" w:hAnsi="Calibri"/>
          <w:color w:val="172033"/>
          <w:sz w:val="21"/>
        </w:rPr>
        <w:t>Selecting Teacher, Student or Parent first creates or authenticates the global account, then asks whether to create a personal space, join a school or do both.</w:t>
      </w:r>
    </w:p>
    <w:p>
      <w:pPr>
        <w:pStyle w:val="ListBullet"/>
        <w:spacing w:after="100" w:line="280" w:lineRule="auto"/>
        <w:ind w:left="720" w:hanging="360"/>
      </w:pPr>
      <w:r>
        <w:rPr>
          <w:rFonts w:ascii="Calibri" w:hAnsi="Calibri"/>
          <w:color w:val="172033"/>
          <w:sz w:val="21"/>
        </w:rPr>
        <w:t>The public flow never promises unrestricted school access from a typed school name.</w:t>
      </w:r>
    </w:p>
    <w:p>
      <w:pPr>
        <w:pStyle w:val="Heading1"/>
      </w:pPr>
      <w:r>
        <w:t>9. School Registration and Branding Studio</w:t>
      </w:r>
    </w:p>
    <w:p>
      <w:pPr>
        <w:pStyle w:val="Heading2"/>
      </w:pPr>
      <w:r>
        <w:t>9.1 Phase A - minimum registration</w:t>
      </w:r>
    </w:p>
    <w:p>
      <w:pPr>
        <w:pStyle w:val="ListBullet"/>
        <w:spacing w:after="100" w:line="280" w:lineRule="auto"/>
        <w:ind w:left="720" w:hanging="360"/>
      </w:pPr>
      <w:r>
        <w:rPr>
          <w:rFonts w:ascii="Calibri" w:hAnsi="Calibri"/>
          <w:color w:val="172033"/>
          <w:sz w:val="21"/>
        </w:rPr>
        <w:t>School name and school type</w:t>
      </w:r>
    </w:p>
    <w:p>
      <w:pPr>
        <w:pStyle w:val="ListBullet"/>
        <w:spacing w:after="100" w:line="280" w:lineRule="auto"/>
        <w:ind w:left="720" w:hanging="360"/>
      </w:pPr>
      <w:r>
        <w:rPr>
          <w:rFonts w:ascii="Calibri" w:hAnsi="Calibri"/>
          <w:color w:val="172033"/>
          <w:sz w:val="21"/>
        </w:rPr>
        <w:t>Proprietor or administrator full name</w:t>
      </w:r>
    </w:p>
    <w:p>
      <w:pPr>
        <w:pStyle w:val="ListBullet"/>
        <w:spacing w:after="100" w:line="280" w:lineRule="auto"/>
        <w:ind w:left="720" w:hanging="360"/>
      </w:pPr>
      <w:r>
        <w:rPr>
          <w:rFonts w:ascii="Calibri" w:hAnsi="Calibri"/>
          <w:color w:val="172033"/>
          <w:sz w:val="21"/>
        </w:rPr>
        <w:t>Email address and telephone number</w:t>
      </w:r>
    </w:p>
    <w:p>
      <w:pPr>
        <w:pStyle w:val="ListBullet"/>
        <w:spacing w:after="100" w:line="280" w:lineRule="auto"/>
        <w:ind w:left="720" w:hanging="360"/>
      </w:pPr>
      <w:r>
        <w:rPr>
          <w:rFonts w:ascii="Calibri" w:hAnsi="Calibri"/>
          <w:color w:val="172033"/>
          <w:sz w:val="21"/>
        </w:rPr>
        <w:t>Country, state and city</w:t>
      </w:r>
    </w:p>
    <w:p>
      <w:pPr>
        <w:pStyle w:val="ListBullet"/>
        <w:spacing w:after="100" w:line="280" w:lineRule="auto"/>
        <w:ind w:left="720" w:hanging="360"/>
      </w:pPr>
      <w:r>
        <w:rPr>
          <w:rFonts w:ascii="Calibri" w:hAnsi="Calibri"/>
          <w:color w:val="172033"/>
          <w:sz w:val="21"/>
        </w:rPr>
        <w:t>Approximate active-student band</w:t>
      </w:r>
    </w:p>
    <w:p>
      <w:pPr>
        <w:pStyle w:val="ListBullet"/>
        <w:spacing w:after="100" w:line="280" w:lineRule="auto"/>
        <w:ind w:left="720" w:hanging="360"/>
      </w:pPr>
      <w:r>
        <w:rPr>
          <w:rFonts w:ascii="Calibri" w:hAnsi="Calibri"/>
          <w:color w:val="172033"/>
          <w:sz w:val="21"/>
        </w:rPr>
        <w:t>Password or supported identity-provider sign-in</w:t>
      </w:r>
    </w:p>
    <w:p>
      <w:pPr>
        <w:pStyle w:val="ListBullet"/>
        <w:spacing w:after="100" w:line="280" w:lineRule="auto"/>
        <w:ind w:left="720" w:hanging="360"/>
      </w:pPr>
      <w:r>
        <w:rPr>
          <w:rFonts w:ascii="Calibri" w:hAnsi="Calibri"/>
          <w:color w:val="172033"/>
          <w:sz w:val="21"/>
        </w:rPr>
        <w:t>Acceptance of terms and privacy notice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5F3FF"/>
            <w:tcMar>
              <w:top w:w="90" w:type="dxa"/>
              <w:start w:w="120" w:type="dxa"/>
              <w:bottom w:w="90" w:type="dxa"/>
              <w:end w:w="120" w:type="dxa"/>
            </w:tcMar>
            <w:vAlign w:val="center"/>
          </w:tcPr>
          <w:p>
            <w:pPr>
              <w:spacing w:before="40" w:after="40" w:line="259" w:lineRule="auto"/>
            </w:pPr>
            <w:r>
              <w:rPr>
                <w:rFonts w:ascii="Calibri" w:hAnsi="Calibri"/>
                <w:b/>
                <w:color w:val="4F46E5"/>
                <w:sz w:val="20"/>
              </w:rPr>
              <w:t xml:space="preserve">Requirement: </w:t>
            </w:r>
            <w:r>
              <w:rPr>
                <w:rFonts w:ascii="Calibri" w:hAnsi="Calibri"/>
                <w:color w:val="172033"/>
                <w:sz w:val="20"/>
              </w:rPr>
              <w:t>Email or telephone verification must be completed before the tenant is activated.</w:t>
            </w:r>
          </w:p>
        </w:tc>
      </w:tr>
    </w:tbl>
    <w:p>
      <w:pPr>
        <w:spacing w:after="40"/>
      </w:pPr>
    </w:p>
    <w:p>
      <w:pPr>
        <w:pStyle w:val="Heading2"/>
      </w:pPr>
      <w:r>
        <w:t>9.2 Phase B - Branding Studio</w:t>
      </w:r>
    </w:p>
    <w:tbl>
      <w:tblPr>
        <w:tblStyle w:val="TableGrid"/>
        <w:tblW w:type="dxa" w:w="9360"/>
        <w:jc w:val="left"/>
        <w:tblLayout w:type="fixed"/>
        <w:tblLook w:firstColumn="1" w:firstRow="1" w:lastColumn="0" w:lastRow="0" w:noHBand="0" w:noVBand="1" w:val="04A0"/>
        <w:tblInd w:w="120" w:type="dxa"/>
      </w:tblPr>
      <w:tblGrid>
        <w:gridCol w:w="2350"/>
        <w:gridCol w:w="7010"/>
      </w:tblGrid>
      <w:tr>
        <w:trPr>
          <w:tblHeader w:val="true"/>
          <w:cantSplit/>
        </w:trPr>
        <w:tc>
          <w:tcPr>
            <w:tcW w:type="dxa" w:w="2350"/>
            <w:shd w:fill="312E81"/>
            <w:tcMar>
              <w:top w:w="90" w:type="dxa"/>
              <w:start w:w="120" w:type="dxa"/>
              <w:bottom w:w="90" w:type="dxa"/>
              <w:end w:w="120" w:type="dxa"/>
            </w:tcMar>
            <w:vAlign w:val="center"/>
          </w:tcPr>
          <w:p>
            <w:pPr>
              <w:keepNext/>
              <w:spacing w:before="0" w:after="0" w:line="259" w:lineRule="auto"/>
              <w:jc w:val="left"/>
            </w:pPr>
            <w:r/>
            <w:r>
              <w:rPr>
                <w:rFonts w:ascii="Calibri" w:hAnsi="Calibri"/>
                <w:b/>
                <w:color w:val="FFFFFF"/>
                <w:sz w:val="18"/>
              </w:rPr>
              <w:t>Branding area</w:t>
            </w:r>
          </w:p>
        </w:tc>
        <w:tc>
          <w:tcPr>
            <w:tcW w:type="dxa" w:w="7010"/>
            <w:shd w:fill="312E81"/>
            <w:tcMar>
              <w:top w:w="90" w:type="dxa"/>
              <w:start w:w="120" w:type="dxa"/>
              <w:bottom w:w="90" w:type="dxa"/>
              <w:end w:w="120" w:type="dxa"/>
            </w:tcMar>
            <w:vAlign w:val="center"/>
          </w:tcPr>
          <w:p>
            <w:pPr>
              <w:keepNext/>
              <w:spacing w:before="0" w:after="0" w:line="259" w:lineRule="auto"/>
              <w:jc w:val="left"/>
            </w:pPr>
            <w:r/>
            <w:r>
              <w:rPr>
                <w:rFonts w:ascii="Calibri" w:hAnsi="Calibri"/>
                <w:b/>
                <w:color w:val="FFFFFF"/>
                <w:sz w:val="18"/>
              </w:rPr>
              <w:t>Configurable properties</w:t>
            </w:r>
          </w:p>
        </w:tc>
      </w:tr>
      <w:tr>
        <w:trPr>
          <w:cantSplit/>
        </w:trPr>
        <w:tc>
          <w:tcPr>
            <w:tcW w:type="dxa" w:w="2350"/>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8"/>
              </w:rPr>
              <w:t>Identity</w:t>
            </w:r>
          </w:p>
        </w:tc>
        <w:tc>
          <w:tcPr>
            <w:tcW w:type="dxa" w:w="701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8"/>
              </w:rPr>
              <w:t>Logo; full name; short name; motto/tagline; welcome message</w:t>
            </w:r>
          </w:p>
        </w:tc>
      </w:tr>
      <w:tr>
        <w:trPr>
          <w:cantSplit/>
        </w:trPr>
        <w:tc>
          <w:tcPr>
            <w:tcW w:type="dxa" w:w="2350"/>
            <w:shd w:fill="F8F7FC"/>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8"/>
              </w:rPr>
              <w:t>Colour</w:t>
            </w:r>
          </w:p>
        </w:tc>
        <w:tc>
          <w:tcPr>
            <w:tcW w:type="dxa" w:w="701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8"/>
              </w:rPr>
              <w:t>Primary, secondary and accent colours with contrast validation</w:t>
            </w:r>
          </w:p>
        </w:tc>
      </w:tr>
      <w:tr>
        <w:trPr>
          <w:cantSplit/>
        </w:trPr>
        <w:tc>
          <w:tcPr>
            <w:tcW w:type="dxa" w:w="235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8"/>
              </w:rPr>
              <w:t>Welcome surface</w:t>
            </w:r>
          </w:p>
        </w:tc>
        <w:tc>
          <w:tcPr>
            <w:tcW w:type="dxa" w:w="701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8"/>
              </w:rPr>
              <w:t>Background colour/image, animation preset and optional school-approved copy</w:t>
            </w:r>
          </w:p>
        </w:tc>
      </w:tr>
      <w:tr>
        <w:trPr>
          <w:cantSplit/>
        </w:trPr>
        <w:tc>
          <w:tcPr>
            <w:tcW w:type="dxa" w:w="2350"/>
            <w:shd w:fill="F8F7FC"/>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8"/>
              </w:rPr>
              <w:t>Address</w:t>
            </w:r>
          </w:p>
        </w:tc>
        <w:tc>
          <w:tcPr>
            <w:tcW w:type="dxa" w:w="701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8"/>
              </w:rPr>
              <w:t>Requested school portal slug; custom domain reserved for eligible paid plans</w:t>
            </w:r>
          </w:p>
        </w:tc>
      </w:tr>
      <w:tr>
        <w:trPr>
          <w:cantSplit/>
        </w:trPr>
        <w:tc>
          <w:tcPr>
            <w:tcW w:type="dxa" w:w="2350"/>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8"/>
              </w:rPr>
              <w:t>Attribution</w:t>
            </w:r>
          </w:p>
        </w:tc>
        <w:tc>
          <w:tcPr>
            <w:tcW w:type="dxa" w:w="701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8"/>
              </w:rPr>
              <w:t>Powered by Skuggle treatment according to plan entitlement</w:t>
            </w:r>
          </w:p>
        </w:tc>
      </w:tr>
      <w:tr>
        <w:trPr>
          <w:cantSplit/>
        </w:trPr>
        <w:tc>
          <w:tcPr>
            <w:tcW w:type="dxa" w:w="2350"/>
            <w:shd w:fill="F8F7FC"/>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8"/>
              </w:rPr>
              <w:t>Preview</w:t>
            </w:r>
          </w:p>
        </w:tc>
        <w:tc>
          <w:tcPr>
            <w:tcW w:type="dxa" w:w="701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8"/>
              </w:rPr>
              <w:t>Live mobile, tablet and desktop preview before publishing</w:t>
            </w:r>
          </w:p>
        </w:tc>
      </w:tr>
    </w:tbl>
    <w:p>
      <w:pPr>
        <w:spacing w:after="40"/>
      </w:pPr>
    </w:p>
    <w:p>
      <w:pPr>
        <w:pStyle w:val="ListBullet"/>
        <w:spacing w:after="100" w:line="280" w:lineRule="auto"/>
        <w:ind w:left="720" w:hanging="360"/>
      </w:pPr>
      <w:r>
        <w:rPr>
          <w:rFonts w:ascii="Calibri" w:hAnsi="Calibri"/>
          <w:color w:val="172033"/>
          <w:sz w:val="21"/>
        </w:rPr>
        <w:t>Skuggle may suggest a palette extracted from the uploaded logo, but the administrator approves every colour.</w:t>
      </w:r>
    </w:p>
    <w:p>
      <w:pPr>
        <w:pStyle w:val="ListBullet"/>
        <w:spacing w:after="100" w:line="280" w:lineRule="auto"/>
        <w:ind w:left="720" w:hanging="360"/>
      </w:pPr>
      <w:r>
        <w:rPr>
          <w:rFonts w:ascii="Calibri" w:hAnsi="Calibri"/>
          <w:color w:val="172033"/>
          <w:sz w:val="21"/>
        </w:rPr>
        <w:t>The system validates logo type, size, transparency and safe dimensions before storage.</w:t>
      </w:r>
    </w:p>
    <w:p>
      <w:pPr>
        <w:pStyle w:val="ListBullet"/>
        <w:spacing w:after="100" w:line="280" w:lineRule="auto"/>
        <w:ind w:left="720" w:hanging="360"/>
      </w:pPr>
      <w:r>
        <w:rPr>
          <w:rFonts w:ascii="Calibri" w:hAnsi="Calibri"/>
          <w:color w:val="172033"/>
          <w:sz w:val="21"/>
        </w:rPr>
        <w:t>Colour choices must meet WCAG 2.2 AA contrast for essential text and controls.</w:t>
      </w:r>
    </w:p>
    <w:p>
      <w:pPr>
        <w:pStyle w:val="ListBullet"/>
        <w:spacing w:after="100" w:line="280" w:lineRule="auto"/>
        <w:ind w:left="720" w:hanging="360"/>
      </w:pPr>
      <w:r>
        <w:rPr>
          <w:rFonts w:ascii="Calibri" w:hAnsi="Calibri"/>
          <w:color w:val="172033"/>
          <w:sz w:val="21"/>
        </w:rPr>
        <w:t>Draft branding is private until the administrator publishes it.</w:t>
      </w:r>
    </w:p>
    <w:p>
      <w:pPr>
        <w:pStyle w:val="Heading2"/>
      </w:pPr>
      <w:r>
        <w:t>9.3 Phase C - guided launch checklist</w:t>
      </w:r>
    </w:p>
    <w:p>
      <w:pPr>
        <w:pStyle w:val="ListNumber"/>
        <w:spacing w:after="120" w:line="280" w:lineRule="auto"/>
        <w:ind w:left="720" w:hanging="360"/>
      </w:pPr>
      <w:r>
        <w:rPr>
          <w:rFonts w:ascii="Calibri" w:hAnsi="Calibri"/>
          <w:color w:val="172033"/>
          <w:sz w:val="21"/>
        </w:rPr>
        <w:t>Create the first campus.</w:t>
      </w:r>
    </w:p>
    <w:p>
      <w:pPr>
        <w:pStyle w:val="ListNumber"/>
        <w:spacing w:after="120" w:line="280" w:lineRule="auto"/>
        <w:ind w:left="720" w:hanging="360"/>
      </w:pPr>
      <w:r>
        <w:rPr>
          <w:rFonts w:ascii="Calibri" w:hAnsi="Calibri"/>
          <w:color w:val="172033"/>
          <w:sz w:val="21"/>
        </w:rPr>
        <w:t>Configure academic session and terms.</w:t>
      </w:r>
    </w:p>
    <w:p>
      <w:pPr>
        <w:pStyle w:val="ListNumber"/>
        <w:spacing w:after="120" w:line="280" w:lineRule="auto"/>
        <w:ind w:left="720" w:hanging="360"/>
      </w:pPr>
      <w:r>
        <w:rPr>
          <w:rFonts w:ascii="Calibri" w:hAnsi="Calibri"/>
          <w:color w:val="172033"/>
          <w:sz w:val="21"/>
        </w:rPr>
        <w:t>Configure school levels, classes and arms.</w:t>
      </w:r>
    </w:p>
    <w:p>
      <w:pPr>
        <w:pStyle w:val="ListNumber"/>
        <w:spacing w:after="120" w:line="280" w:lineRule="auto"/>
        <w:ind w:left="720" w:hanging="360"/>
      </w:pPr>
      <w:r>
        <w:rPr>
          <w:rFonts w:ascii="Calibri" w:hAnsi="Calibri"/>
          <w:color w:val="172033"/>
          <w:sz w:val="21"/>
        </w:rPr>
        <w:t>Configure subjects.</w:t>
      </w:r>
    </w:p>
    <w:p>
      <w:pPr>
        <w:pStyle w:val="ListNumber"/>
        <w:spacing w:after="120" w:line="280" w:lineRule="auto"/>
        <w:ind w:left="720" w:hanging="360"/>
      </w:pPr>
      <w:r>
        <w:rPr>
          <w:rFonts w:ascii="Calibri" w:hAnsi="Calibri"/>
          <w:color w:val="172033"/>
          <w:sz w:val="21"/>
        </w:rPr>
        <w:t>Configure assessment and grading structure.</w:t>
      </w:r>
    </w:p>
    <w:p>
      <w:pPr>
        <w:pStyle w:val="ListNumber"/>
        <w:spacing w:after="120" w:line="280" w:lineRule="auto"/>
        <w:ind w:left="720" w:hanging="360"/>
      </w:pPr>
      <w:r>
        <w:rPr>
          <w:rFonts w:ascii="Calibri" w:hAnsi="Calibri"/>
          <w:color w:val="172033"/>
          <w:sz w:val="21"/>
        </w:rPr>
        <w:t>Import or register students.</w:t>
      </w:r>
    </w:p>
    <w:p>
      <w:pPr>
        <w:pStyle w:val="ListNumber"/>
        <w:spacing w:after="120" w:line="280" w:lineRule="auto"/>
        <w:ind w:left="720" w:hanging="360"/>
      </w:pPr>
      <w:r>
        <w:rPr>
          <w:rFonts w:ascii="Calibri" w:hAnsi="Calibri"/>
          <w:color w:val="172033"/>
          <w:sz w:val="21"/>
        </w:rPr>
        <w:t>Add staff and assign roles.</w:t>
      </w:r>
    </w:p>
    <w:p>
      <w:pPr>
        <w:pStyle w:val="ListNumber"/>
        <w:spacing w:after="120" w:line="280" w:lineRule="auto"/>
        <w:ind w:left="720" w:hanging="360"/>
      </w:pPr>
      <w:r>
        <w:rPr>
          <w:rFonts w:ascii="Calibri" w:hAnsi="Calibri"/>
          <w:color w:val="172033"/>
          <w:sz w:val="21"/>
        </w:rPr>
        <w:t>Invite parents and students.</w:t>
      </w:r>
    </w:p>
    <w:p>
      <w:pPr>
        <w:pStyle w:val="ListNumber"/>
        <w:spacing w:after="120" w:line="280" w:lineRule="auto"/>
        <w:ind w:left="720" w:hanging="360"/>
      </w:pPr>
      <w:r>
        <w:rPr>
          <w:rFonts w:ascii="Calibri" w:hAnsi="Calibri"/>
          <w:color w:val="172033"/>
          <w:sz w:val="21"/>
        </w:rPr>
        <w:t>Preview the tenant welcome and role experiences.</w:t>
      </w:r>
    </w:p>
    <w:p>
      <w:pPr>
        <w:pStyle w:val="ListNumber"/>
        <w:spacing w:after="120" w:line="280" w:lineRule="auto"/>
        <w:ind w:left="720" w:hanging="360"/>
      </w:pPr>
      <w:r>
        <w:rPr>
          <w:rFonts w:ascii="Calibri" w:hAnsi="Calibri"/>
          <w:color w:val="172033"/>
          <w:sz w:val="21"/>
        </w:rPr>
        <w:t>Launch the school workspace.</w:t>
      </w:r>
    </w:p>
    <w:p>
      <w:pPr>
        <w:pStyle w:val="Heading1"/>
      </w:pPr>
      <w:r>
        <w:t>10. Tenant Welcome and Authentication Experience</w:t>
      </w:r>
    </w:p>
    <w:p>
      <w:pPr>
        <w:pStyle w:val="Heading2"/>
      </w:pPr>
      <w:r>
        <w:t>10.1 Welcome stage</w:t>
      </w:r>
    </w:p>
    <w:p>
      <w:pPr>
        <w:keepNext w:val="0"/>
        <w:spacing w:before="0" w:after="120" w:line="264" w:lineRule="auto"/>
        <w:jc w:val="left"/>
      </w:pPr>
      <w:r>
        <w:rPr>
          <w:rFonts w:ascii="Calibri" w:hAnsi="Calibri"/>
          <w:b w:val="0"/>
          <w:i w:val="0"/>
          <w:color w:val="172033"/>
          <w:sz w:val="22"/>
        </w:rPr>
        <w:t>Every signed-out entry to a school-specific URL begins with the tenant welcome stage. The stage contains no navigation bar, module menu or marketing clutter. It exists to establish trust and make the school feel like its own digital environment.</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cantSplit/>
        </w:trPr>
        <w:tc>
          <w:tcPr>
            <w:tcW w:type="dxa" w:w="1800"/>
            <w:shd w:fill="312E81"/>
            <w:tcMar>
              <w:top w:w="90" w:type="dxa"/>
              <w:start w:w="120" w:type="dxa"/>
              <w:bottom w:w="90" w:type="dxa"/>
              <w:end w:w="120" w:type="dxa"/>
            </w:tcMar>
            <w:vAlign w:val="center"/>
          </w:tcPr>
          <w:p>
            <w:pPr>
              <w:keepNext/>
              <w:spacing w:before="0" w:after="0" w:line="259" w:lineRule="auto"/>
              <w:jc w:val="left"/>
            </w:pPr>
            <w:r/>
            <w:r>
              <w:rPr>
                <w:rFonts w:ascii="Calibri" w:hAnsi="Calibri"/>
                <w:b/>
                <w:color w:val="FFFFFF"/>
                <w:sz w:val="18"/>
              </w:rPr>
              <w:t>Target timing</w:t>
            </w:r>
          </w:p>
        </w:tc>
        <w:tc>
          <w:tcPr>
            <w:tcW w:type="dxa" w:w="7560"/>
            <w:shd w:fill="312E81"/>
            <w:tcMar>
              <w:top w:w="90" w:type="dxa"/>
              <w:start w:w="120" w:type="dxa"/>
              <w:bottom w:w="90" w:type="dxa"/>
              <w:end w:w="120" w:type="dxa"/>
            </w:tcMar>
            <w:vAlign w:val="center"/>
          </w:tcPr>
          <w:p>
            <w:pPr>
              <w:keepNext/>
              <w:spacing w:before="0" w:after="0" w:line="259" w:lineRule="auto"/>
              <w:jc w:val="center"/>
            </w:pPr>
            <w:r/>
            <w:r>
              <w:rPr>
                <w:rFonts w:ascii="Calibri" w:hAnsi="Calibri"/>
                <w:b/>
                <w:color w:val="FFFFFF"/>
                <w:sz w:val="18"/>
              </w:rPr>
              <w:t>Experience</w:t>
            </w:r>
          </w:p>
        </w:tc>
      </w:tr>
      <w:tr>
        <w:trPr>
          <w:cantSplit/>
        </w:trPr>
        <w:tc>
          <w:tcPr>
            <w:tcW w:type="dxa" w:w="1800"/>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8"/>
              </w:rPr>
              <w:t>0.0-0.4s</w:t>
            </w:r>
          </w:p>
        </w:tc>
        <w:tc>
          <w:tcPr>
            <w:tcW w:type="dxa" w:w="756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8"/>
              </w:rPr>
              <w:t>School-colour background fades in.</w:t>
            </w:r>
          </w:p>
        </w:tc>
      </w:tr>
      <w:tr>
        <w:trPr>
          <w:cantSplit/>
        </w:trPr>
        <w:tc>
          <w:tcPr>
            <w:tcW w:type="dxa" w:w="1800"/>
            <w:shd w:fill="F8F7FC"/>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8"/>
              </w:rPr>
              <w:t>0.3-1.1s</w:t>
            </w:r>
          </w:p>
        </w:tc>
        <w:tc>
          <w:tcPr>
            <w:tcW w:type="dxa" w:w="756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8"/>
              </w:rPr>
              <w:t>School logo gently scales and resolves into focus.</w:t>
            </w:r>
          </w:p>
        </w:tc>
      </w:tr>
      <w:tr>
        <w:trPr>
          <w:cantSplit/>
        </w:trPr>
        <w:tc>
          <w:tcPr>
            <w:tcW w:type="dxa" w:w="1800"/>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8"/>
              </w:rPr>
              <w:t>0.8-1.5s</w:t>
            </w:r>
          </w:p>
        </w:tc>
        <w:tc>
          <w:tcPr>
            <w:tcW w:type="dxa" w:w="756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8"/>
              </w:rPr>
              <w:t>School name and optional motto appear.</w:t>
            </w:r>
          </w:p>
        </w:tc>
      </w:tr>
      <w:tr>
        <w:trPr>
          <w:cantSplit/>
        </w:trPr>
        <w:tc>
          <w:tcPr>
            <w:tcW w:type="dxa" w:w="1800"/>
            <w:shd w:fill="F8F7FC"/>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8"/>
              </w:rPr>
              <w:t>1.4-2.4s</w:t>
            </w:r>
          </w:p>
        </w:tc>
        <w:tc>
          <w:tcPr>
            <w:tcW w:type="dxa" w:w="756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8"/>
              </w:rPr>
              <w:t>Logo and identity transition into the shared authentication shell.</w:t>
            </w:r>
          </w:p>
        </w:tc>
      </w:tr>
      <w:tr>
        <w:trPr>
          <w:cantSplit/>
        </w:trPr>
        <w:tc>
          <w:tcPr>
            <w:tcW w:type="dxa" w:w="1800"/>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8"/>
              </w:rPr>
              <w:t>By 3.0s</w:t>
            </w:r>
          </w:p>
        </w:tc>
        <w:tc>
          <w:tcPr>
            <w:tcW w:type="dxa" w:w="756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8"/>
              </w:rPr>
              <w:t>Login controls are fully usable.</w:t>
            </w:r>
          </w:p>
        </w:tc>
      </w:tr>
    </w:tbl>
    <w:p>
      <w:pPr>
        <w:spacing w:after="40"/>
      </w:pPr>
    </w:p>
    <w:p>
      <w:pPr>
        <w:pStyle w:val="Heading2"/>
      </w:pPr>
      <w:r>
        <w:t>10.2 Behaviour rules</w:t>
      </w:r>
    </w:p>
    <w:p>
      <w:pPr>
        <w:pStyle w:val="ListBullet"/>
        <w:spacing w:after="100" w:line="280" w:lineRule="auto"/>
        <w:ind w:left="720" w:hanging="360"/>
      </w:pPr>
      <w:r>
        <w:rPr>
          <w:rFonts w:ascii="Calibri" w:hAnsi="Calibri"/>
          <w:color w:val="172033"/>
          <w:sz w:val="21"/>
        </w:rPr>
        <w:t>The welcome stage appears once per signed-out browser session and whenever the user deliberately replays it.</w:t>
      </w:r>
    </w:p>
    <w:p>
      <w:pPr>
        <w:pStyle w:val="ListBullet"/>
        <w:spacing w:after="100" w:line="280" w:lineRule="auto"/>
        <w:ind w:left="720" w:hanging="360"/>
      </w:pPr>
      <w:r>
        <w:rPr>
          <w:rFonts w:ascii="Calibri" w:hAnsi="Calibri"/>
          <w:color w:val="172033"/>
          <w:sz w:val="21"/>
        </w:rPr>
        <w:t>Tap, click, keyboard input or a visible Skip control can immediately reveal login.</w:t>
      </w:r>
    </w:p>
    <w:p>
      <w:pPr>
        <w:pStyle w:val="ListBullet"/>
        <w:spacing w:after="100" w:line="280" w:lineRule="auto"/>
        <w:ind w:left="720" w:hanging="360"/>
      </w:pPr>
      <w:r>
        <w:rPr>
          <w:rFonts w:ascii="Calibri" w:hAnsi="Calibri"/>
          <w:color w:val="172033"/>
          <w:sz w:val="21"/>
        </w:rPr>
        <w:t>Reduced-motion preferences replace scaling and movement with a short fade.</w:t>
      </w:r>
    </w:p>
    <w:p>
      <w:pPr>
        <w:pStyle w:val="ListBullet"/>
        <w:spacing w:after="100" w:line="280" w:lineRule="auto"/>
        <w:ind w:left="720" w:hanging="360"/>
      </w:pPr>
      <w:r>
        <w:rPr>
          <w:rFonts w:ascii="Calibri" w:hAnsi="Calibri"/>
          <w:color w:val="172033"/>
          <w:sz w:val="21"/>
        </w:rPr>
        <w:t>Sound is disabled by default and is never required to understand the experience.</w:t>
      </w:r>
    </w:p>
    <w:p>
      <w:pPr>
        <w:pStyle w:val="ListBullet"/>
        <w:spacing w:after="100" w:line="280" w:lineRule="auto"/>
        <w:ind w:left="720" w:hanging="360"/>
      </w:pPr>
      <w:r>
        <w:rPr>
          <w:rFonts w:ascii="Calibri" w:hAnsi="Calibri"/>
          <w:color w:val="172033"/>
          <w:sz w:val="21"/>
        </w:rPr>
        <w:t>Cached branding allows the shell to load during intermittent connectivity; authentication still requires an authorised session or network path.</w:t>
      </w:r>
    </w:p>
    <w:p>
      <w:pPr>
        <w:pStyle w:val="ListBullet"/>
        <w:spacing w:after="100" w:line="280" w:lineRule="auto"/>
        <w:ind w:left="720" w:hanging="360"/>
      </w:pPr>
      <w:r>
        <w:rPr>
          <w:rFonts w:ascii="Calibri" w:hAnsi="Calibri"/>
          <w:color w:val="172033"/>
          <w:sz w:val="21"/>
        </w:rPr>
        <w:t>The browser route changes without a full-page reload during the shared logo transition.</w:t>
      </w:r>
    </w:p>
    <w:p>
      <w:pPr>
        <w:pStyle w:val="Heading2"/>
      </w:pPr>
      <w:r>
        <w:t>10.3 Login</w:t>
      </w:r>
    </w:p>
    <w:p>
      <w:pPr>
        <w:pStyle w:val="ListBullet"/>
        <w:spacing w:after="100" w:line="280" w:lineRule="auto"/>
        <w:ind w:left="720" w:hanging="360"/>
      </w:pPr>
      <w:r>
        <w:rPr>
          <w:rFonts w:ascii="Calibri" w:hAnsi="Calibri"/>
          <w:color w:val="172033"/>
          <w:sz w:val="21"/>
        </w:rPr>
        <w:t>The form is already scoped to the tenant represented by the URL.</w:t>
      </w:r>
    </w:p>
    <w:p>
      <w:pPr>
        <w:pStyle w:val="ListBullet"/>
        <w:spacing w:after="100" w:line="280" w:lineRule="auto"/>
        <w:ind w:left="720" w:hanging="360"/>
      </w:pPr>
      <w:r>
        <w:rPr>
          <w:rFonts w:ascii="Calibri" w:hAnsi="Calibri"/>
          <w:color w:val="172033"/>
          <w:sz w:val="21"/>
        </w:rPr>
        <w:t>Supported methods may include username/password, verified email, verified phone/OTP and Google where enabled.</w:t>
      </w:r>
    </w:p>
    <w:p>
      <w:pPr>
        <w:pStyle w:val="ListBullet"/>
        <w:spacing w:after="100" w:line="280" w:lineRule="auto"/>
        <w:ind w:left="720" w:hanging="360"/>
      </w:pPr>
      <w:r>
        <w:rPr>
          <w:rFonts w:ascii="Calibri" w:hAnsi="Calibri"/>
          <w:color w:val="172033"/>
          <w:sz w:val="21"/>
        </w:rPr>
        <w:t>The login form does not ask the user to choose a role.</w:t>
      </w:r>
    </w:p>
    <w:p>
      <w:pPr>
        <w:pStyle w:val="ListBullet"/>
        <w:spacing w:after="100" w:line="280" w:lineRule="auto"/>
        <w:ind w:left="720" w:hanging="360"/>
      </w:pPr>
      <w:r>
        <w:rPr>
          <w:rFonts w:ascii="Calibri" w:hAnsi="Calibri"/>
          <w:color w:val="172033"/>
          <w:sz w:val="21"/>
        </w:rPr>
        <w:t>After authentication, Skuggle resolves active memberships and permitted destinations.</w:t>
      </w:r>
    </w:p>
    <w:p>
      <w:pPr>
        <w:pStyle w:val="ListBullet"/>
        <w:spacing w:after="100" w:line="280" w:lineRule="auto"/>
        <w:ind w:left="720" w:hanging="360"/>
      </w:pPr>
      <w:r>
        <w:rPr>
          <w:rFonts w:ascii="Calibri" w:hAnsi="Calibri"/>
          <w:color w:val="172033"/>
          <w:sz w:val="21"/>
        </w:rPr>
        <w:t>One valid destination opens directly; several destinations open the workspace chooser.</w:t>
      </w:r>
    </w:p>
    <w:p>
      <w:pPr>
        <w:pStyle w:val="ListBullet"/>
        <w:spacing w:after="100" w:line="280" w:lineRule="auto"/>
        <w:ind w:left="720" w:hanging="360"/>
      </w:pPr>
      <w:r>
        <w:rPr>
          <w:rFonts w:ascii="Calibri" w:hAnsi="Calibri"/>
          <w:color w:val="172033"/>
          <w:sz w:val="21"/>
        </w:rPr>
        <w:t>Invalid credentials, inactive memberships and expired invitations use privacy-safe messages that do not reveal account existence.</w:t>
      </w:r>
    </w:p>
    <w:p>
      <w:pPr>
        <w:pStyle w:val="Heading1"/>
      </w:pPr>
      <w:r>
        <w:t>11. Invitations, Credentials and Relationship Linking</w:t>
      </w:r>
    </w:p>
    <w:p>
      <w:pPr>
        <w:pStyle w:val="Heading2"/>
      </w:pPr>
      <w:r>
        <w:t>11.1 Administrator methods</w:t>
      </w:r>
    </w:p>
    <w:tbl>
      <w:tblPr>
        <w:tblStyle w:val="TableGrid"/>
        <w:tblW w:type="dxa" w:w="9360"/>
        <w:jc w:val="left"/>
        <w:tblLayout w:type="fixed"/>
        <w:tblLook w:firstColumn="1" w:firstRow="1" w:lastColumn="0" w:lastRow="0" w:noHBand="0" w:noVBand="1" w:val="04A0"/>
        <w:tblInd w:w="120" w:type="dxa"/>
      </w:tblPr>
      <w:tblGrid>
        <w:gridCol w:w="1900"/>
        <w:gridCol w:w="4300"/>
        <w:gridCol w:w="3160"/>
      </w:tblGrid>
      <w:tr>
        <w:trPr>
          <w:tblHeader w:val="true"/>
          <w:cantSplit/>
        </w:trPr>
        <w:tc>
          <w:tcPr>
            <w:tcW w:type="dxa" w:w="1900"/>
            <w:shd w:fill="312E81"/>
            <w:tcMar>
              <w:top w:w="90" w:type="dxa"/>
              <w:start w:w="120" w:type="dxa"/>
              <w:bottom w:w="90" w:type="dxa"/>
              <w:end w:w="120" w:type="dxa"/>
            </w:tcMar>
            <w:vAlign w:val="center"/>
          </w:tcPr>
          <w:p>
            <w:pPr>
              <w:keepNext/>
              <w:spacing w:before="0" w:after="0" w:line="259" w:lineRule="auto"/>
              <w:jc w:val="center"/>
            </w:pPr>
            <w:r/>
            <w:r>
              <w:rPr>
                <w:rFonts w:ascii="Calibri" w:hAnsi="Calibri"/>
                <w:b/>
                <w:color w:val="FFFFFF"/>
                <w:sz w:val="18"/>
              </w:rPr>
              <w:t>Method</w:t>
            </w:r>
          </w:p>
        </w:tc>
        <w:tc>
          <w:tcPr>
            <w:tcW w:type="dxa" w:w="4300"/>
            <w:shd w:fill="312E81"/>
            <w:tcMar>
              <w:top w:w="90" w:type="dxa"/>
              <w:start w:w="120" w:type="dxa"/>
              <w:bottom w:w="90" w:type="dxa"/>
              <w:end w:w="120" w:type="dxa"/>
            </w:tcMar>
            <w:vAlign w:val="center"/>
          </w:tcPr>
          <w:p>
            <w:pPr>
              <w:keepNext/>
              <w:spacing w:before="0" w:after="0" w:line="259" w:lineRule="auto"/>
              <w:jc w:val="center"/>
            </w:pPr>
            <w:r/>
            <w:r>
              <w:rPr>
                <w:rFonts w:ascii="Calibri" w:hAnsi="Calibri"/>
                <w:b/>
                <w:color w:val="FFFFFF"/>
                <w:sz w:val="18"/>
              </w:rPr>
              <w:t>Description</w:t>
            </w:r>
          </w:p>
        </w:tc>
        <w:tc>
          <w:tcPr>
            <w:tcW w:type="dxa" w:w="3160"/>
            <w:shd w:fill="312E81"/>
            <w:tcMar>
              <w:top w:w="90" w:type="dxa"/>
              <w:start w:w="120" w:type="dxa"/>
              <w:bottom w:w="90" w:type="dxa"/>
              <w:end w:w="120" w:type="dxa"/>
            </w:tcMar>
            <w:vAlign w:val="center"/>
          </w:tcPr>
          <w:p>
            <w:pPr>
              <w:keepNext/>
              <w:spacing w:before="0" w:after="0" w:line="259" w:lineRule="auto"/>
              <w:jc w:val="center"/>
            </w:pPr>
            <w:r/>
            <w:r>
              <w:rPr>
                <w:rFonts w:ascii="Calibri" w:hAnsi="Calibri"/>
                <w:b/>
                <w:color w:val="FFFFFF"/>
                <w:sz w:val="18"/>
              </w:rPr>
              <w:t>Best use</w:t>
            </w:r>
          </w:p>
        </w:tc>
      </w:tr>
      <w:tr>
        <w:trPr>
          <w:cantSplit/>
        </w:trPr>
        <w:tc>
          <w:tcPr>
            <w:tcW w:type="dxa" w:w="190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Individual creation</w:t>
            </w:r>
          </w:p>
        </w:tc>
        <w:tc>
          <w:tcPr>
            <w:tcW w:type="dxa" w:w="430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Create one user and assign role/campus.</w:t>
            </w:r>
          </w:p>
        </w:tc>
        <w:tc>
          <w:tcPr>
            <w:tcW w:type="dxa" w:w="316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Known staff or exceptional cases</w:t>
            </w:r>
          </w:p>
        </w:tc>
      </w:tr>
      <w:tr>
        <w:trPr>
          <w:cantSplit/>
        </w:trPr>
        <w:tc>
          <w:tcPr>
            <w:tcW w:type="dxa" w:w="1900"/>
            <w:shd w:fill="F8F7FC"/>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Bulk import</w:t>
            </w:r>
          </w:p>
        </w:tc>
        <w:tc>
          <w:tcPr>
            <w:tcW w:type="dxa" w:w="430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Validated CSV/Excel import with preview and error report.</w:t>
            </w:r>
          </w:p>
        </w:tc>
        <w:tc>
          <w:tcPr>
            <w:tcW w:type="dxa" w:w="316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Large staff/student onboarding</w:t>
            </w:r>
          </w:p>
        </w:tc>
      </w:tr>
      <w:tr>
        <w:trPr>
          <w:cantSplit/>
        </w:trPr>
        <w:tc>
          <w:tcPr>
            <w:tcW w:type="dxa" w:w="190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Secure invitation</w:t>
            </w:r>
          </w:p>
        </w:tc>
        <w:tc>
          <w:tcPr>
            <w:tcW w:type="dxa" w:w="430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Send or copy an expiring, single-use link.</w:t>
            </w:r>
          </w:p>
        </w:tc>
        <w:tc>
          <w:tcPr>
            <w:tcW w:type="dxa" w:w="316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Users with email or phone</w:t>
            </w:r>
          </w:p>
        </w:tc>
      </w:tr>
      <w:tr>
        <w:trPr>
          <w:cantSplit/>
        </w:trPr>
        <w:tc>
          <w:tcPr>
            <w:tcW w:type="dxa" w:w="190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Printable login card</w:t>
            </w:r>
          </w:p>
        </w:tc>
        <w:tc>
          <w:tcPr>
            <w:tcW w:type="dxa" w:w="430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Generate username, temporary password or QR handoff.</w:t>
            </w:r>
          </w:p>
        </w:tc>
        <w:tc>
          <w:tcPr>
            <w:tcW w:type="dxa" w:w="316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Young students and offline distribution</w:t>
            </w:r>
          </w:p>
        </w:tc>
      </w:tr>
    </w:tbl>
    <w:p>
      <w:pPr>
        <w:spacing w:after="40"/>
      </w:pPr>
    </w:p>
    <w:p>
      <w:pPr>
        <w:pStyle w:val="Heading2"/>
      </w:pPr>
      <w:r>
        <w:t>11.2 Invitation controls</w:t>
      </w:r>
    </w:p>
    <w:p>
      <w:pPr>
        <w:pStyle w:val="ListBullet"/>
        <w:spacing w:after="100" w:line="280" w:lineRule="auto"/>
        <w:ind w:left="720" w:hanging="360"/>
      </w:pPr>
      <w:r>
        <w:rPr>
          <w:rFonts w:ascii="Calibri" w:hAnsi="Calibri"/>
          <w:color w:val="172033"/>
          <w:sz w:val="21"/>
        </w:rPr>
        <w:t>Every token is cryptographically strong, stored hashed, tenant-scoped, role-scoped, single-use and time-limited.</w:t>
      </w:r>
    </w:p>
    <w:p>
      <w:pPr>
        <w:pStyle w:val="ListBullet"/>
        <w:spacing w:after="100" w:line="280" w:lineRule="auto"/>
        <w:ind w:left="720" w:hanging="360"/>
      </w:pPr>
      <w:r>
        <w:rPr>
          <w:rFonts w:ascii="Calibri" w:hAnsi="Calibri"/>
          <w:color w:val="172033"/>
          <w:sz w:val="21"/>
        </w:rPr>
        <w:t>An administrator can revoke, resend or replace an invitation and see its status.</w:t>
      </w:r>
    </w:p>
    <w:p>
      <w:pPr>
        <w:pStyle w:val="ListBullet"/>
        <w:spacing w:after="100" w:line="280" w:lineRule="auto"/>
        <w:ind w:left="720" w:hanging="360"/>
      </w:pPr>
      <w:r>
        <w:rPr>
          <w:rFonts w:ascii="Calibri" w:hAnsi="Calibri"/>
          <w:color w:val="172033"/>
          <w:sz w:val="21"/>
        </w:rPr>
        <w:t>Where an intended email or phone is supplied, acceptance requires proof of that destination.</w:t>
      </w:r>
    </w:p>
    <w:p>
      <w:pPr>
        <w:pStyle w:val="ListBullet"/>
        <w:spacing w:after="100" w:line="280" w:lineRule="auto"/>
        <w:ind w:left="720" w:hanging="360"/>
      </w:pPr>
      <w:r>
        <w:rPr>
          <w:rFonts w:ascii="Calibri" w:hAnsi="Calibri"/>
          <w:color w:val="172033"/>
          <w:sz w:val="21"/>
        </w:rPr>
        <w:t>The acceptance flow can attach a new membership to an existing verified account.</w:t>
      </w:r>
    </w:p>
    <w:p>
      <w:pPr>
        <w:pStyle w:val="ListBullet"/>
        <w:spacing w:after="100" w:line="280" w:lineRule="auto"/>
        <w:ind w:left="720" w:hanging="360"/>
      </w:pPr>
      <w:r>
        <w:rPr>
          <w:rFonts w:ascii="Calibri" w:hAnsi="Calibri"/>
          <w:color w:val="172033"/>
          <w:sz w:val="21"/>
        </w:rPr>
        <w:t>Role, campus, class and child relationships are created only from authorised invitation data.</w:t>
      </w:r>
    </w:p>
    <w:p>
      <w:pPr>
        <w:pStyle w:val="ListBullet"/>
        <w:spacing w:after="100" w:line="280" w:lineRule="auto"/>
        <w:ind w:left="720" w:hanging="360"/>
      </w:pPr>
      <w:r>
        <w:rPr>
          <w:rFonts w:ascii="Calibri" w:hAnsi="Calibri"/>
          <w:color w:val="172033"/>
          <w:sz w:val="21"/>
        </w:rPr>
        <w:t>Invitation generation, acceptance, revocation and role changes are audited.</w:t>
      </w:r>
    </w:p>
    <w:p>
      <w:pPr>
        <w:pStyle w:val="Heading2"/>
      </w:pPr>
      <w:r>
        <w:t>11.3 Temporary credentials</w:t>
      </w:r>
    </w:p>
    <w:p>
      <w:pPr>
        <w:pStyle w:val="ListBullet"/>
        <w:spacing w:after="100" w:line="280" w:lineRule="auto"/>
        <w:ind w:left="720" w:hanging="360"/>
      </w:pPr>
      <w:r>
        <w:rPr>
          <w:rFonts w:ascii="Calibri" w:hAnsi="Calibri"/>
          <w:color w:val="172033"/>
          <w:sz w:val="21"/>
        </w:rPr>
        <w:t>Temporary passwords are displayed only at creation/download time and never recoverable as plaintext.</w:t>
      </w:r>
    </w:p>
    <w:p>
      <w:pPr>
        <w:pStyle w:val="ListBullet"/>
        <w:spacing w:after="100" w:line="280" w:lineRule="auto"/>
        <w:ind w:left="720" w:hanging="360"/>
      </w:pPr>
      <w:r>
        <w:rPr>
          <w:rFonts w:ascii="Calibri" w:hAnsi="Calibri"/>
          <w:color w:val="172033"/>
          <w:sz w:val="21"/>
        </w:rPr>
        <w:t>First login forces a password change or supported passwordless enrolment.</w:t>
      </w:r>
    </w:p>
    <w:p>
      <w:pPr>
        <w:pStyle w:val="ListBullet"/>
        <w:spacing w:after="100" w:line="280" w:lineRule="auto"/>
        <w:ind w:left="720" w:hanging="360"/>
      </w:pPr>
      <w:r>
        <w:rPr>
          <w:rFonts w:ascii="Calibri" w:hAnsi="Calibri"/>
          <w:color w:val="172033"/>
          <w:sz w:val="21"/>
        </w:rPr>
        <w:t>Administrators reset access by issuing a new temporary credential, not by viewing the user's password.</w:t>
      </w:r>
    </w:p>
    <w:p>
      <w:pPr>
        <w:pStyle w:val="ListBullet"/>
        <w:spacing w:after="100" w:line="280" w:lineRule="auto"/>
        <w:ind w:left="720" w:hanging="360"/>
      </w:pPr>
      <w:r>
        <w:rPr>
          <w:rFonts w:ascii="Calibri" w:hAnsi="Calibri"/>
          <w:color w:val="172033"/>
          <w:sz w:val="21"/>
        </w:rPr>
        <w:t>Printable cards avoid displaying unnecessary student personal information.</w:t>
      </w:r>
    </w:p>
    <w:p>
      <w:pPr>
        <w:pStyle w:val="Heading2"/>
      </w:pPr>
      <w:r>
        <w:t>11.4 Parent-child linking</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FF5F7"/>
            <w:tcMar>
              <w:top w:w="90" w:type="dxa"/>
              <w:start w:w="120" w:type="dxa"/>
              <w:bottom w:w="90" w:type="dxa"/>
              <w:end w:w="120" w:type="dxa"/>
            </w:tcMar>
            <w:vAlign w:val="center"/>
          </w:tcPr>
          <w:p>
            <w:pPr>
              <w:spacing w:before="40" w:after="40" w:line="259" w:lineRule="auto"/>
            </w:pPr>
            <w:r>
              <w:rPr>
                <w:rFonts w:ascii="Calibri" w:hAnsi="Calibri"/>
                <w:b/>
                <w:color w:val="7A284B"/>
                <w:sz w:val="20"/>
              </w:rPr>
              <w:t xml:space="preserve">Safety rule: </w:t>
            </w:r>
            <w:r>
              <w:rPr>
                <w:rFonts w:ascii="Calibri" w:hAnsi="Calibri"/>
                <w:color w:val="172033"/>
                <w:sz w:val="20"/>
              </w:rPr>
              <w:t>A parent cannot search for and claim a child by name. A verified school invitation or parent-linking code must establish the relationship.</w:t>
            </w:r>
          </w:p>
        </w:tc>
      </w:tr>
    </w:tbl>
    <w:p>
      <w:pPr>
        <w:spacing w:after="40"/>
      </w:pPr>
    </w:p>
    <w:p>
      <w:pPr>
        <w:pStyle w:val="Heading1"/>
      </w:pPr>
      <w:r>
        <w:t>12. Personal Workspace Onboarding</w:t>
      </w:r>
    </w:p>
    <w:p>
      <w:pPr>
        <w:pStyle w:val="Heading2"/>
      </w:pPr>
      <w:r>
        <w:t>12.1 Teacher</w:t>
      </w:r>
    </w:p>
    <w:p>
      <w:pPr>
        <w:keepNext w:val="0"/>
        <w:spacing w:before="0" w:after="120" w:line="264" w:lineRule="auto"/>
        <w:jc w:val="left"/>
      </w:pPr>
      <w:r>
        <w:rPr>
          <w:rFonts w:ascii="Calibri" w:hAnsi="Calibri"/>
          <w:b w:val="0"/>
          <w:i w:val="0"/>
          <w:color w:val="172033"/>
          <w:sz w:val="22"/>
        </w:rPr>
        <w:t>Teachers may sign up with Google, email or telephone. After account creation, Skuggle progressively collects:</w:t>
      </w:r>
    </w:p>
    <w:p>
      <w:pPr>
        <w:pStyle w:val="ListBullet"/>
        <w:spacing w:after="100" w:line="280" w:lineRule="auto"/>
        <w:ind w:left="720" w:hanging="360"/>
      </w:pPr>
      <w:r>
        <w:rPr>
          <w:rFonts w:ascii="Calibri" w:hAnsi="Calibri"/>
          <w:color w:val="172033"/>
          <w:sz w:val="21"/>
        </w:rPr>
        <w:t>Name, photograph and preferred display name</w:t>
      </w:r>
    </w:p>
    <w:p>
      <w:pPr>
        <w:pStyle w:val="ListBullet"/>
        <w:spacing w:after="100" w:line="280" w:lineRule="auto"/>
        <w:ind w:left="720" w:hanging="360"/>
      </w:pPr>
      <w:r>
        <w:rPr>
          <w:rFonts w:ascii="Calibri" w:hAnsi="Calibri"/>
          <w:color w:val="172033"/>
          <w:sz w:val="21"/>
        </w:rPr>
        <w:t>Subjects and classes or age groups taught</w:t>
      </w:r>
    </w:p>
    <w:p>
      <w:pPr>
        <w:pStyle w:val="ListBullet"/>
        <w:spacing w:after="100" w:line="280" w:lineRule="auto"/>
        <w:ind w:left="720" w:hanging="360"/>
      </w:pPr>
      <w:r>
        <w:rPr>
          <w:rFonts w:ascii="Calibri" w:hAnsi="Calibri"/>
          <w:color w:val="172033"/>
          <w:sz w:val="21"/>
        </w:rPr>
        <w:t>Curriculum used</w:t>
      </w:r>
    </w:p>
    <w:p>
      <w:pPr>
        <w:pStyle w:val="ListBullet"/>
        <w:spacing w:after="100" w:line="280" w:lineRule="auto"/>
        <w:ind w:left="720" w:hanging="360"/>
      </w:pPr>
      <w:r>
        <w:rPr>
          <w:rFonts w:ascii="Calibri" w:hAnsi="Calibri"/>
          <w:color w:val="172033"/>
          <w:sz w:val="21"/>
        </w:rPr>
        <w:t>Experience and qualifications</w:t>
      </w:r>
    </w:p>
    <w:p>
      <w:pPr>
        <w:pStyle w:val="ListBullet"/>
        <w:spacing w:after="100" w:line="280" w:lineRule="auto"/>
        <w:ind w:left="720" w:hanging="360"/>
      </w:pPr>
      <w:r>
        <w:rPr>
          <w:rFonts w:ascii="Calibri" w:hAnsi="Calibri"/>
          <w:color w:val="172033"/>
          <w:sz w:val="21"/>
        </w:rPr>
        <w:t>Location and optional school affiliation</w:t>
      </w:r>
    </w:p>
    <w:p>
      <w:pPr>
        <w:pStyle w:val="ListBullet"/>
        <w:spacing w:after="100" w:line="280" w:lineRule="auto"/>
        <w:ind w:left="720" w:hanging="360"/>
      </w:pPr>
      <w:r>
        <w:rPr>
          <w:rFonts w:ascii="Calibri" w:hAnsi="Calibri"/>
          <w:color w:val="172033"/>
          <w:sz w:val="21"/>
        </w:rPr>
        <w:t>Teaching preferences and lesson-format preferences</w:t>
      </w:r>
    </w:p>
    <w:p>
      <w:pPr>
        <w:keepNext w:val="0"/>
        <w:spacing w:before="0" w:after="120" w:line="264" w:lineRule="auto"/>
        <w:jc w:val="left"/>
      </w:pPr>
      <w:r>
        <w:rPr>
          <w:rFonts w:ascii="Calibri" w:hAnsi="Calibri"/>
          <w:b/>
          <w:i w:val="0"/>
          <w:color w:val="172033"/>
          <w:sz w:val="22"/>
        </w:rPr>
        <w:t>The teacher then chooses Create my personal teaching space, Join a school with an invitation, or Do both.</w:t>
      </w:r>
    </w:p>
    <w:p>
      <w:pPr>
        <w:pStyle w:val="Heading2"/>
      </w:pPr>
      <w:r>
        <w:t>12.2 Student</w:t>
      </w:r>
    </w:p>
    <w:p>
      <w:pPr>
        <w:pStyle w:val="ListBullet"/>
        <w:spacing w:after="100" w:line="280" w:lineRule="auto"/>
        <w:ind w:left="720" w:hanging="360"/>
      </w:pPr>
      <w:r>
        <w:rPr>
          <w:rFonts w:ascii="Calibri" w:hAnsi="Calibri"/>
          <w:color w:val="172033"/>
          <w:sz w:val="21"/>
        </w:rPr>
        <w:t>School-issued username and temporary password must be supported for learners without email.</w:t>
      </w:r>
    </w:p>
    <w:p>
      <w:pPr>
        <w:pStyle w:val="ListBullet"/>
        <w:spacing w:after="100" w:line="280" w:lineRule="auto"/>
        <w:ind w:left="720" w:hanging="360"/>
      </w:pPr>
      <w:r>
        <w:rPr>
          <w:rFonts w:ascii="Calibri" w:hAnsi="Calibri"/>
          <w:color w:val="172033"/>
          <w:sz w:val="21"/>
        </w:rPr>
        <w:t>Invitation-code and parent-approved registration must be available.</w:t>
      </w:r>
    </w:p>
    <w:p>
      <w:pPr>
        <w:pStyle w:val="ListBullet"/>
        <w:spacing w:after="100" w:line="280" w:lineRule="auto"/>
        <w:ind w:left="720" w:hanging="360"/>
      </w:pPr>
      <w:r>
        <w:rPr>
          <w:rFonts w:ascii="Calibri" w:hAnsi="Calibri"/>
          <w:color w:val="172033"/>
          <w:sz w:val="21"/>
        </w:rPr>
        <w:t>Google sign-in may be offered only to eligible students under configured age and consent rules.</w:t>
      </w:r>
    </w:p>
    <w:p>
      <w:pPr>
        <w:pStyle w:val="ListBullet"/>
        <w:spacing w:after="100" w:line="280" w:lineRule="auto"/>
        <w:ind w:left="720" w:hanging="360"/>
      </w:pPr>
      <w:r>
        <w:rPr>
          <w:rFonts w:ascii="Calibri" w:hAnsi="Calibri"/>
          <w:color w:val="172033"/>
          <w:sz w:val="21"/>
        </w:rPr>
        <w:t>Direct sign-up asks for the minimum age band, class level, curriculum, subjects and learning goals needed to personalise the space.</w:t>
      </w:r>
    </w:p>
    <w:p>
      <w:pPr>
        <w:pStyle w:val="ListBullet"/>
        <w:spacing w:after="100" w:line="280" w:lineRule="auto"/>
        <w:ind w:left="720" w:hanging="360"/>
      </w:pPr>
      <w:r>
        <w:rPr>
          <w:rFonts w:ascii="Calibri" w:hAnsi="Calibri"/>
          <w:color w:val="172033"/>
          <w:sz w:val="21"/>
        </w:rPr>
        <w:t>A student cannot claim school membership merely by selecting or typing a school name.</w:t>
      </w:r>
    </w:p>
    <w:p>
      <w:pPr>
        <w:pStyle w:val="Heading2"/>
      </w:pPr>
      <w:r>
        <w:t>12.3 Parent</w:t>
      </w:r>
    </w:p>
    <w:p>
      <w:pPr>
        <w:pStyle w:val="ListBullet"/>
        <w:spacing w:after="100" w:line="280" w:lineRule="auto"/>
        <w:ind w:left="720" w:hanging="360"/>
      </w:pPr>
      <w:r>
        <w:rPr>
          <w:rFonts w:ascii="Calibri" w:hAnsi="Calibri"/>
          <w:color w:val="172033"/>
          <w:sz w:val="21"/>
        </w:rPr>
        <w:t>Parents may use Google, email or telephone/OTP.</w:t>
      </w:r>
    </w:p>
    <w:p>
      <w:pPr>
        <w:pStyle w:val="ListBullet"/>
        <w:spacing w:after="100" w:line="280" w:lineRule="auto"/>
        <w:ind w:left="720" w:hanging="360"/>
      </w:pPr>
      <w:r>
        <w:rPr>
          <w:rFonts w:ascii="Calibri" w:hAnsi="Calibri"/>
          <w:color w:val="172033"/>
          <w:sz w:val="21"/>
        </w:rPr>
        <w:t>One account supports several children and, where authorised, several schools.</w:t>
      </w:r>
    </w:p>
    <w:p>
      <w:pPr>
        <w:pStyle w:val="ListBullet"/>
        <w:spacing w:after="100" w:line="280" w:lineRule="auto"/>
        <w:ind w:left="720" w:hanging="360"/>
      </w:pPr>
      <w:r>
        <w:rPr>
          <w:rFonts w:ascii="Calibri" w:hAnsi="Calibri"/>
          <w:color w:val="172033"/>
          <w:sz w:val="21"/>
        </w:rPr>
        <w:t>A personal family space may be created before school connection.</w:t>
      </w:r>
    </w:p>
    <w:p>
      <w:pPr>
        <w:pStyle w:val="ListBullet"/>
        <w:spacing w:after="100" w:line="280" w:lineRule="auto"/>
        <w:ind w:left="720" w:hanging="360"/>
      </w:pPr>
      <w:r>
        <w:rPr>
          <w:rFonts w:ascii="Calibri" w:hAnsi="Calibri"/>
          <w:color w:val="172033"/>
          <w:sz w:val="21"/>
        </w:rPr>
        <w:t>School connection requires an invitation or relationship-linking code.</w:t>
      </w:r>
    </w:p>
    <w:p>
      <w:pPr>
        <w:pStyle w:val="ListBullet"/>
        <w:spacing w:after="100" w:line="280" w:lineRule="auto"/>
        <w:ind w:left="720" w:hanging="360"/>
      </w:pPr>
      <w:r>
        <w:rPr>
          <w:rFonts w:ascii="Calibri" w:hAnsi="Calibri"/>
          <w:color w:val="172033"/>
          <w:sz w:val="21"/>
        </w:rPr>
        <w:t>The parent controls notification preferences while the school controls access to school-owned records.</w:t>
      </w:r>
    </w:p>
    <w:p>
      <w:pPr>
        <w:pStyle w:val="Heading1"/>
      </w:pPr>
      <w:r>
        <w:t>13. Role-Specific Home Experiences</w:t>
      </w:r>
    </w:p>
    <w:p>
      <w:pPr>
        <w:keepNext w:val="0"/>
        <w:spacing w:before="0" w:after="120" w:line="264" w:lineRule="auto"/>
        <w:jc w:val="left"/>
      </w:pPr>
      <w:r>
        <w:rPr>
          <w:rFonts w:ascii="Calibri" w:hAnsi="Calibri"/>
          <w:b w:val="0"/>
          <w:i w:val="0"/>
          <w:color w:val="172033"/>
          <w:sz w:val="22"/>
        </w:rPr>
        <w:t>Every home screen must answer: What is happening? What requires my attention? What should I do next?</w:t>
      </w:r>
    </w:p>
    <w:tbl>
      <w:tblPr>
        <w:tblStyle w:val="TableGrid"/>
        <w:tblW w:type="dxa" w:w="9360"/>
        <w:jc w:val="left"/>
        <w:tblLayout w:type="fixed"/>
        <w:tblLook w:firstColumn="1" w:firstRow="1" w:lastColumn="0" w:lastRow="0" w:noHBand="0" w:noVBand="1" w:val="04A0"/>
        <w:tblInd w:w="120" w:type="dxa"/>
      </w:tblPr>
      <w:tblGrid>
        <w:gridCol w:w="1850"/>
        <w:gridCol w:w="4500"/>
        <w:gridCol w:w="3010"/>
      </w:tblGrid>
      <w:tr>
        <w:trPr>
          <w:tblHeader w:val="true"/>
          <w:cantSplit/>
        </w:trPr>
        <w:tc>
          <w:tcPr>
            <w:tcW w:type="dxa" w:w="1850"/>
            <w:shd w:fill="312E81"/>
            <w:tcMar>
              <w:top w:w="90" w:type="dxa"/>
              <w:start w:w="120" w:type="dxa"/>
              <w:bottom w:w="90" w:type="dxa"/>
              <w:end w:w="120" w:type="dxa"/>
            </w:tcMar>
            <w:vAlign w:val="center"/>
          </w:tcPr>
          <w:p>
            <w:pPr>
              <w:keepNext/>
              <w:spacing w:before="0" w:after="0" w:line="259" w:lineRule="auto"/>
              <w:jc w:val="center"/>
            </w:pPr>
            <w:r/>
            <w:r>
              <w:rPr>
                <w:rFonts w:ascii="Calibri" w:hAnsi="Calibri"/>
                <w:b/>
                <w:color w:val="FFFFFF"/>
                <w:sz w:val="18"/>
              </w:rPr>
              <w:t>Role</w:t>
            </w:r>
          </w:p>
        </w:tc>
        <w:tc>
          <w:tcPr>
            <w:tcW w:type="dxa" w:w="4500"/>
            <w:shd w:fill="312E81"/>
            <w:tcMar>
              <w:top w:w="90" w:type="dxa"/>
              <w:start w:w="120" w:type="dxa"/>
              <w:bottom w:w="90" w:type="dxa"/>
              <w:end w:w="120" w:type="dxa"/>
            </w:tcMar>
            <w:vAlign w:val="center"/>
          </w:tcPr>
          <w:p>
            <w:pPr>
              <w:keepNext/>
              <w:spacing w:before="0" w:after="0" w:line="259" w:lineRule="auto"/>
              <w:jc w:val="left"/>
            </w:pPr>
            <w:r/>
            <w:r>
              <w:rPr>
                <w:rFonts w:ascii="Calibri" w:hAnsi="Calibri"/>
                <w:b/>
                <w:color w:val="FFFFFF"/>
                <w:sz w:val="18"/>
              </w:rPr>
              <w:t>Primary information</w:t>
            </w:r>
          </w:p>
        </w:tc>
        <w:tc>
          <w:tcPr>
            <w:tcW w:type="dxa" w:w="3010"/>
            <w:shd w:fill="312E81"/>
            <w:tcMar>
              <w:top w:w="90" w:type="dxa"/>
              <w:start w:w="120" w:type="dxa"/>
              <w:bottom w:w="90" w:type="dxa"/>
              <w:end w:w="120" w:type="dxa"/>
            </w:tcMar>
            <w:vAlign w:val="center"/>
          </w:tcPr>
          <w:p>
            <w:pPr>
              <w:keepNext/>
              <w:spacing w:before="0" w:after="0" w:line="259" w:lineRule="auto"/>
              <w:jc w:val="left"/>
            </w:pPr>
            <w:r/>
            <w:r>
              <w:rPr>
                <w:rFonts w:ascii="Calibri" w:hAnsi="Calibri"/>
                <w:b/>
                <w:color w:val="FFFFFF"/>
                <w:sz w:val="18"/>
              </w:rPr>
              <w:t>Primary actions</w:t>
            </w:r>
          </w:p>
        </w:tc>
      </w:tr>
      <w:tr>
        <w:trPr>
          <w:cantSplit/>
        </w:trPr>
        <w:tc>
          <w:tcPr>
            <w:tcW w:type="dxa" w:w="1850"/>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Proprietor</w:t>
            </w:r>
          </w:p>
        </w:tc>
        <w:tc>
          <w:tcPr>
            <w:tcW w:type="dxa" w:w="450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Enrollment; fee collection; attendance; performance; risks</w:t>
            </w:r>
          </w:p>
        </w:tc>
        <w:tc>
          <w:tcPr>
            <w:tcW w:type="dxa" w:w="301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Open leadership report; review exception</w:t>
            </w:r>
          </w:p>
        </w:tc>
      </w:tr>
      <w:tr>
        <w:trPr>
          <w:cantSplit/>
        </w:trPr>
        <w:tc>
          <w:tcPr>
            <w:tcW w:type="dxa" w:w="1850"/>
            <w:shd w:fill="F8F7FC"/>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Administrator</w:t>
            </w:r>
          </w:p>
        </w:tc>
        <w:tc>
          <w:tcPr>
            <w:tcW w:type="dxa" w:w="450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Setup progress; admissions; staff activity; pending tasks</w:t>
            </w:r>
          </w:p>
        </w:tc>
        <w:tc>
          <w:tcPr>
            <w:tcW w:type="dxa" w:w="301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Add/import; invite; configure; resolve</w:t>
            </w:r>
          </w:p>
        </w:tc>
      </w:tr>
      <w:tr>
        <w:trPr>
          <w:cantSplit/>
        </w:trPr>
        <w:tc>
          <w:tcPr>
            <w:tcW w:type="dxa" w:w="185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Principal / HM</w:t>
            </w:r>
          </w:p>
        </w:tc>
        <w:tc>
          <w:tcPr>
            <w:tcW w:type="dxa" w:w="450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Attendance; lesson coverage; assessments; interventions</w:t>
            </w:r>
          </w:p>
        </w:tc>
        <w:tc>
          <w:tcPr>
            <w:tcW w:type="dxa" w:w="301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Approve; follow up; view cohort</w:t>
            </w:r>
          </w:p>
        </w:tc>
      </w:tr>
      <w:tr>
        <w:trPr>
          <w:cantSplit/>
        </w:trPr>
        <w:tc>
          <w:tcPr>
            <w:tcW w:type="dxa" w:w="185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School teacher</w:t>
            </w:r>
          </w:p>
        </w:tc>
        <w:tc>
          <w:tcPr>
            <w:tcW w:type="dxa" w:w="450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Today's classes; attendance; lessons; scores; alerts</w:t>
            </w:r>
          </w:p>
        </w:tc>
        <w:tc>
          <w:tcPr>
            <w:tcW w:type="dxa" w:w="301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Take attendance; prepare lesson; enter score</w:t>
            </w:r>
          </w:p>
        </w:tc>
      </w:tr>
      <w:tr>
        <w:trPr>
          <w:cantSplit/>
        </w:trPr>
        <w:tc>
          <w:tcPr>
            <w:tcW w:type="dxa" w:w="185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Independent teacher</w:t>
            </w:r>
          </w:p>
        </w:tc>
        <w:tc>
          <w:tcPr>
            <w:tcW w:type="dxa" w:w="450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Recent lessons; personal classes; AI allowance; resources</w:t>
            </w:r>
          </w:p>
        </w:tc>
        <w:tc>
          <w:tcPr>
            <w:tcW w:type="dxa" w:w="301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Create lesson; generate questions; organise class</w:t>
            </w:r>
          </w:p>
        </w:tc>
      </w:tr>
      <w:tr>
        <w:trPr>
          <w:cantSplit/>
        </w:trPr>
        <w:tc>
          <w:tcPr>
            <w:tcW w:type="dxa" w:w="1850"/>
            <w:shd w:fill="F8F7FC"/>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Parent</w:t>
            </w:r>
          </w:p>
        </w:tc>
        <w:tc>
          <w:tcPr>
            <w:tcW w:type="dxa" w:w="450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Child switcher; attendance; assignments; results; payments</w:t>
            </w:r>
          </w:p>
        </w:tc>
        <w:tc>
          <w:tcPr>
            <w:tcW w:type="dxa" w:w="301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View detail; acknowledge; message; pay</w:t>
            </w:r>
          </w:p>
        </w:tc>
      </w:tr>
      <w:tr>
        <w:trPr>
          <w:cantSplit/>
        </w:trPr>
        <w:tc>
          <w:tcPr>
            <w:tcW w:type="dxa" w:w="1850"/>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Student</w:t>
            </w:r>
          </w:p>
        </w:tc>
        <w:tc>
          <w:tcPr>
            <w:tcW w:type="dxa" w:w="450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Today's plan; assignments; progress; results; practice</w:t>
            </w:r>
          </w:p>
        </w:tc>
        <w:tc>
          <w:tcPr>
            <w:tcW w:type="dxa" w:w="301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Continue learning; submit; practise</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5F3FF"/>
            <w:tcMar>
              <w:top w:w="90" w:type="dxa"/>
              <w:start w:w="120" w:type="dxa"/>
              <w:bottom w:w="90" w:type="dxa"/>
              <w:end w:w="120" w:type="dxa"/>
            </w:tcMar>
            <w:vAlign w:val="center"/>
          </w:tcPr>
          <w:p>
            <w:pPr>
              <w:spacing w:before="40" w:after="40" w:line="259" w:lineRule="auto"/>
            </w:pPr>
            <w:r>
              <w:rPr>
                <w:rFonts w:ascii="Calibri" w:hAnsi="Calibri"/>
                <w:b/>
                <w:color w:val="4F46E5"/>
                <w:sz w:val="20"/>
              </w:rPr>
              <w:t xml:space="preserve">Navigation rule: </w:t>
            </w:r>
            <w:r>
              <w:rPr>
                <w:rFonts w:ascii="Calibri" w:hAnsi="Calibri"/>
                <w:color w:val="172033"/>
                <w:sz w:val="20"/>
              </w:rPr>
              <w:t>After login, use role-specific horizontal navigation on desktop and a carefully limited bottom navigation on mobile. Do not introduce a permanently expanded ERP sidebar.</w:t>
            </w:r>
          </w:p>
        </w:tc>
      </w:tr>
    </w:tbl>
    <w:p>
      <w:pPr>
        <w:spacing w:after="40"/>
      </w:pPr>
    </w:p>
    <w:p>
      <w:pPr>
        <w:pStyle w:val="Heading1"/>
      </w:pPr>
      <w:r>
        <w:t>14. Subscription and Entitlement Model</w:t>
      </w:r>
    </w:p>
    <w:p>
      <w:pPr>
        <w:pStyle w:val="Heading2"/>
      </w:pPr>
      <w:r>
        <w:t>14.1 Commercial principles</w:t>
      </w:r>
    </w:p>
    <w:p>
      <w:pPr>
        <w:pStyle w:val="ListBullet"/>
        <w:spacing w:after="100" w:line="280" w:lineRule="auto"/>
        <w:ind w:left="720" w:hanging="360"/>
      </w:pPr>
      <w:r>
        <w:rPr>
          <w:rFonts w:ascii="Calibri" w:hAnsi="Calibri"/>
          <w:color w:val="172033"/>
          <w:sz w:val="21"/>
        </w:rPr>
        <w:t>School-linked teachers, parents and students are not charged separately to access functions already purchased by their school.</w:t>
      </w:r>
    </w:p>
    <w:p>
      <w:pPr>
        <w:pStyle w:val="ListBullet"/>
        <w:spacing w:after="100" w:line="280" w:lineRule="auto"/>
        <w:ind w:left="720" w:hanging="360"/>
      </w:pPr>
      <w:r>
        <w:rPr>
          <w:rFonts w:ascii="Calibri" w:hAnsi="Calibri"/>
          <w:color w:val="172033"/>
          <w:sz w:val="21"/>
        </w:rPr>
        <w:t>Personal premium products remain optional and must provide additional personal value rather than unlocking school-owned records.</w:t>
      </w:r>
    </w:p>
    <w:p>
      <w:pPr>
        <w:pStyle w:val="ListBullet"/>
        <w:spacing w:after="100" w:line="280" w:lineRule="auto"/>
        <w:ind w:left="720" w:hanging="360"/>
      </w:pPr>
      <w:r>
        <w:rPr>
          <w:rFonts w:ascii="Calibri" w:hAnsi="Calibri"/>
          <w:color w:val="172033"/>
          <w:sz w:val="21"/>
        </w:rPr>
        <w:t>Security essentials, tenant isolation, account recovery and administrator MFA are never paywalled.</w:t>
      </w:r>
    </w:p>
    <w:p>
      <w:pPr>
        <w:pStyle w:val="ListBullet"/>
        <w:spacing w:after="100" w:line="280" w:lineRule="auto"/>
        <w:ind w:left="720" w:hanging="360"/>
      </w:pPr>
      <w:r>
        <w:rPr>
          <w:rFonts w:ascii="Calibri" w:hAnsi="Calibri"/>
          <w:color w:val="172033"/>
          <w:sz w:val="21"/>
        </w:rPr>
        <w:t>Free plans are permanent within published limits; trials are separate and time-bound.</w:t>
      </w:r>
    </w:p>
    <w:p>
      <w:pPr>
        <w:pStyle w:val="ListBullet"/>
        <w:spacing w:after="100" w:line="280" w:lineRule="auto"/>
        <w:ind w:left="720" w:hanging="360"/>
      </w:pPr>
      <w:r>
        <w:rPr>
          <w:rFonts w:ascii="Calibri" w:hAnsi="Calibri"/>
          <w:color w:val="172033"/>
          <w:sz w:val="21"/>
        </w:rPr>
        <w:t>Plan limits and feature entitlements are enforced server-side.</w:t>
      </w:r>
    </w:p>
    <w:p>
      <w:pPr>
        <w:pStyle w:val="ListBullet"/>
        <w:spacing w:after="100" w:line="280" w:lineRule="auto"/>
        <w:ind w:left="720" w:hanging="360"/>
      </w:pPr>
      <w:r>
        <w:rPr>
          <w:rFonts w:ascii="Calibri" w:hAnsi="Calibri"/>
          <w:color w:val="172033"/>
          <w:sz w:val="21"/>
        </w:rPr>
        <w:t>Downgrades never silently delete school or learner data.</w:t>
      </w:r>
    </w:p>
    <w:p>
      <w:pPr>
        <w:pStyle w:val="Heading2"/>
      </w:pPr>
      <w:r>
        <w:t>14.2 Recommended plan structure</w:t>
      </w:r>
    </w:p>
    <w:tbl>
      <w:tblPr>
        <w:tblStyle w:val="TableGrid"/>
        <w:tblW w:type="dxa" w:w="9360"/>
        <w:jc w:val="left"/>
        <w:tblLayout w:type="fixed"/>
        <w:tblLook w:firstColumn="1" w:firstRow="1" w:lastColumn="0" w:lastRow="0" w:noHBand="0" w:noVBand="1" w:val="04A0"/>
        <w:tblInd w:w="120" w:type="dxa"/>
      </w:tblPr>
      <w:tblGrid>
        <w:gridCol w:w="2100"/>
        <w:gridCol w:w="2350"/>
        <w:gridCol w:w="4910"/>
      </w:tblGrid>
      <w:tr>
        <w:trPr>
          <w:tblHeader w:val="true"/>
          <w:cantSplit/>
        </w:trPr>
        <w:tc>
          <w:tcPr>
            <w:tcW w:type="dxa" w:w="2100"/>
            <w:shd w:fill="312E81"/>
            <w:tcMar>
              <w:top w:w="90" w:type="dxa"/>
              <w:start w:w="120" w:type="dxa"/>
              <w:bottom w:w="90" w:type="dxa"/>
              <w:end w:w="120" w:type="dxa"/>
            </w:tcMar>
            <w:vAlign w:val="center"/>
          </w:tcPr>
          <w:p>
            <w:pPr>
              <w:keepNext/>
              <w:spacing w:before="0" w:after="0" w:line="259" w:lineRule="auto"/>
              <w:jc w:val="center"/>
            </w:pPr>
            <w:r/>
            <w:r>
              <w:rPr>
                <w:rFonts w:ascii="Calibri" w:hAnsi="Calibri"/>
                <w:b/>
                <w:color w:val="FFFFFF"/>
                <w:sz w:val="18"/>
              </w:rPr>
              <w:t>Plan</w:t>
            </w:r>
          </w:p>
        </w:tc>
        <w:tc>
          <w:tcPr>
            <w:tcW w:type="dxa" w:w="2350"/>
            <w:shd w:fill="312E81"/>
            <w:tcMar>
              <w:top w:w="90" w:type="dxa"/>
              <w:start w:w="120" w:type="dxa"/>
              <w:bottom w:w="90" w:type="dxa"/>
              <w:end w:w="120" w:type="dxa"/>
            </w:tcMar>
            <w:vAlign w:val="center"/>
          </w:tcPr>
          <w:p>
            <w:pPr>
              <w:keepNext/>
              <w:spacing w:before="0" w:after="0" w:line="259" w:lineRule="auto"/>
              <w:jc w:val="left"/>
            </w:pPr>
            <w:r/>
            <w:r>
              <w:rPr>
                <w:rFonts w:ascii="Calibri" w:hAnsi="Calibri"/>
                <w:b/>
                <w:color w:val="FFFFFF"/>
                <w:sz w:val="18"/>
              </w:rPr>
              <w:t>Primary customer</w:t>
            </w:r>
          </w:p>
        </w:tc>
        <w:tc>
          <w:tcPr>
            <w:tcW w:type="dxa" w:w="4910"/>
            <w:shd w:fill="312E81"/>
            <w:tcMar>
              <w:top w:w="90" w:type="dxa"/>
              <w:start w:w="120" w:type="dxa"/>
              <w:bottom w:w="90" w:type="dxa"/>
              <w:end w:w="120" w:type="dxa"/>
            </w:tcMar>
            <w:vAlign w:val="center"/>
          </w:tcPr>
          <w:p>
            <w:pPr>
              <w:keepNext/>
              <w:spacing w:before="0" w:after="0" w:line="259" w:lineRule="auto"/>
              <w:jc w:val="left"/>
            </w:pPr>
            <w:r/>
            <w:r>
              <w:rPr>
                <w:rFonts w:ascii="Calibri" w:hAnsi="Calibri"/>
                <w:b/>
                <w:color w:val="FFFFFF"/>
                <w:sz w:val="18"/>
              </w:rPr>
              <w:t>Value boundary</w:t>
            </w:r>
          </w:p>
        </w:tc>
      </w:tr>
      <w:tr>
        <w:trPr>
          <w:cantSplit/>
        </w:trPr>
        <w:tc>
          <w:tcPr>
            <w:tcW w:type="dxa" w:w="2100"/>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Personal Free</w:t>
            </w:r>
          </w:p>
        </w:tc>
        <w:tc>
          <w:tcPr>
            <w:tcW w:type="dxa" w:w="235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Teacher, Student, Parent</w:t>
            </w:r>
          </w:p>
        </w:tc>
        <w:tc>
          <w:tcPr>
            <w:tcW w:type="dxa" w:w="491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Recurring personal value with limited AI, classes, practice and storage</w:t>
            </w:r>
          </w:p>
        </w:tc>
      </w:tr>
      <w:tr>
        <w:trPr>
          <w:cantSplit/>
        </w:trPr>
        <w:tc>
          <w:tcPr>
            <w:tcW w:type="dxa" w:w="2100"/>
            <w:shd w:fill="F8F7FC"/>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Personal Pro</w:t>
            </w:r>
          </w:p>
        </w:tc>
        <w:tc>
          <w:tcPr>
            <w:tcW w:type="dxa" w:w="235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Independent users/families</w:t>
            </w:r>
          </w:p>
        </w:tc>
        <w:tc>
          <w:tcPr>
            <w:tcW w:type="dxa" w:w="491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Higher limits, advanced intelligence, storage and clean exports</w:t>
            </w:r>
          </w:p>
        </w:tc>
      </w:tr>
      <w:tr>
        <w:trPr>
          <w:cantSplit/>
        </w:trPr>
        <w:tc>
          <w:tcPr>
            <w:tcW w:type="dxa" w:w="210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School Starter Free</w:t>
            </w:r>
          </w:p>
        </w:tc>
        <w:tc>
          <w:tcPr>
            <w:tcW w:type="dxa" w:w="235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Small schools/pilots</w:t>
            </w:r>
          </w:p>
        </w:tc>
        <w:tc>
          <w:tcPr>
            <w:tcW w:type="dxa" w:w="491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1 campus; up to 50 active students; up to 10 staff; essential operations</w:t>
            </w:r>
          </w:p>
        </w:tc>
      </w:tr>
      <w:tr>
        <w:trPr>
          <w:cantSplit/>
        </w:trPr>
        <w:tc>
          <w:tcPr>
            <w:tcW w:type="dxa" w:w="2100"/>
            <w:shd w:fill="F8F7FC"/>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School Core</w:t>
            </w:r>
          </w:p>
        </w:tc>
        <w:tc>
          <w:tcPr>
            <w:tcW w:type="dxa" w:w="235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Operating schools</w:t>
            </w:r>
          </w:p>
        </w:tc>
        <w:tc>
          <w:tcPr>
            <w:tcW w:type="dxa" w:w="491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Scale, full academic workflow, portals, finance basics, history and reports</w:t>
            </w:r>
          </w:p>
        </w:tc>
      </w:tr>
      <w:tr>
        <w:trPr>
          <w:cantSplit/>
        </w:trPr>
        <w:tc>
          <w:tcPr>
            <w:tcW w:type="dxa" w:w="210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Skuggle Intelligence</w:t>
            </w:r>
          </w:p>
        </w:tc>
        <w:tc>
          <w:tcPr>
            <w:tcW w:type="dxa" w:w="235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Core add-on</w:t>
            </w:r>
          </w:p>
        </w:tc>
        <w:tc>
          <w:tcPr>
            <w:tcW w:type="dxa" w:w="491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SmartMark, performance intelligence, curriculum and teacher AI</w:t>
            </w:r>
          </w:p>
        </w:tc>
      </w:tr>
      <w:tr>
        <w:trPr>
          <w:cantSplit/>
        </w:trPr>
        <w:tc>
          <w:tcPr>
            <w:tcW w:type="dxa" w:w="210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Multi-Campus / Enterprise</w:t>
            </w:r>
          </w:p>
        </w:tc>
        <w:tc>
          <w:tcPr>
            <w:tcW w:type="dxa" w:w="235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Groups and large institutions</w:t>
            </w:r>
          </w:p>
        </w:tc>
        <w:tc>
          <w:tcPr>
            <w:tcW w:type="dxa" w:w="491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Central control, API/SSO, custom domain, migration and priority support</w:t>
            </w:r>
          </w:p>
        </w:tc>
      </w:tr>
    </w:tbl>
    <w:p>
      <w:pPr>
        <w:spacing w:after="40"/>
      </w:pPr>
    </w:p>
    <w:p>
      <w:pPr>
        <w:pStyle w:val="Heading2"/>
      </w:pPr>
      <w:r>
        <w:t>14.3 Free entitlements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trPr>
        <w:tc>
          <w:tcPr>
            <w:tcW w:type="dxa" w:w="2100"/>
            <w:shd w:fill="312E81"/>
            <w:tcMar>
              <w:top w:w="90" w:type="dxa"/>
              <w:start w:w="120" w:type="dxa"/>
              <w:bottom w:w="90" w:type="dxa"/>
              <w:end w:w="120" w:type="dxa"/>
            </w:tcMar>
            <w:vAlign w:val="center"/>
          </w:tcPr>
          <w:p>
            <w:pPr>
              <w:keepNext/>
              <w:spacing w:before="0" w:after="0" w:line="259" w:lineRule="auto"/>
              <w:jc w:val="center"/>
            </w:pPr>
            <w:r/>
            <w:r>
              <w:rPr>
                <w:rFonts w:ascii="Calibri" w:hAnsi="Calibri"/>
                <w:b/>
                <w:color w:val="FFFFFF"/>
                <w:sz w:val="18"/>
              </w:rPr>
              <w:t>Free offer</w:t>
            </w:r>
          </w:p>
        </w:tc>
        <w:tc>
          <w:tcPr>
            <w:tcW w:type="dxa" w:w="7260"/>
            <w:shd w:fill="312E81"/>
            <w:tcMar>
              <w:top w:w="90" w:type="dxa"/>
              <w:start w:w="120" w:type="dxa"/>
              <w:bottom w:w="90" w:type="dxa"/>
              <w:end w:w="120" w:type="dxa"/>
            </w:tcMar>
            <w:vAlign w:val="center"/>
          </w:tcPr>
          <w:p>
            <w:pPr>
              <w:keepNext/>
              <w:spacing w:before="0" w:after="0" w:line="259" w:lineRule="auto"/>
              <w:jc w:val="left"/>
            </w:pPr>
            <w:r/>
            <w:r>
              <w:rPr>
                <w:rFonts w:ascii="Calibri" w:hAnsi="Calibri"/>
                <w:b/>
                <w:color w:val="FFFFFF"/>
                <w:sz w:val="18"/>
              </w:rPr>
              <w:t>Included value</w:t>
            </w:r>
          </w:p>
        </w:tc>
      </w:tr>
      <w:tr>
        <w:trPr>
          <w:cantSplit/>
        </w:trPr>
        <w:tc>
          <w:tcPr>
            <w:tcW w:type="dxa" w:w="2100"/>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Teacher Free</w:t>
            </w:r>
          </w:p>
        </w:tc>
        <w:tc>
          <w:tcPr>
            <w:tcW w:type="dxa" w:w="726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Profile; 1 personal class; curriculum browser; limited lesson/question generation; basic assignments; simple progress; branded exports</w:t>
            </w:r>
          </w:p>
        </w:tc>
      </w:tr>
      <w:tr>
        <w:trPr>
          <w:cantSplit/>
        </w:trPr>
        <w:tc>
          <w:tcPr>
            <w:tcW w:type="dxa" w:w="2100"/>
            <w:shd w:fill="F8F7FC"/>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Student Free</w:t>
            </w:r>
          </w:p>
        </w:tc>
        <w:tc>
          <w:tcPr>
            <w:tcW w:type="dxa" w:w="726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Learning profile; goals; limited practice/AI support; progress; streaks; saved resources</w:t>
            </w:r>
          </w:p>
        </w:tc>
      </w:tr>
      <w:tr>
        <w:trPr>
          <w:cantSplit/>
        </w:trPr>
        <w:tc>
          <w:tcPr>
            <w:tcW w:type="dxa" w:w="2100"/>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Parent Free</w:t>
            </w:r>
          </w:p>
        </w:tc>
        <w:tc>
          <w:tcPr>
            <w:tcW w:type="dxa" w:w="726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Family space for up to 3 personal child profiles; reminders; weekly plans; school connection at no extra charge</w:t>
            </w:r>
          </w:p>
        </w:tc>
      </w:tr>
      <w:tr>
        <w:trPr>
          <w:cantSplit/>
        </w:trPr>
        <w:tc>
          <w:tcPr>
            <w:tcW w:type="dxa" w:w="210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School Starter</w:t>
            </w:r>
          </w:p>
        </w:tc>
        <w:tc>
          <w:tcPr>
            <w:tcW w:type="dxa" w:w="726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1 campus; 50 active students; 10 staff; branding; SIS; classes; basic attendance; simple scores/report cards; basic portals; announcements; limited storage</w:t>
            </w:r>
          </w:p>
        </w:tc>
      </w:tr>
    </w:tbl>
    <w:p>
      <w:pPr>
        <w:spacing w:after="40"/>
      </w:pPr>
    </w:p>
    <w:p>
      <w:pPr>
        <w:pStyle w:val="Heading2"/>
      </w:pPr>
      <w:r>
        <w:t>14.4 Paid entitlements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trPr>
        <w:tc>
          <w:tcPr>
            <w:tcW w:type="dxa" w:w="2100"/>
            <w:shd w:fill="312E81"/>
            <w:tcMar>
              <w:top w:w="90" w:type="dxa"/>
              <w:start w:w="120" w:type="dxa"/>
              <w:bottom w:w="90" w:type="dxa"/>
              <w:end w:w="120" w:type="dxa"/>
            </w:tcMar>
            <w:vAlign w:val="center"/>
          </w:tcPr>
          <w:p>
            <w:pPr>
              <w:keepNext/>
              <w:spacing w:before="0" w:after="0" w:line="259" w:lineRule="auto"/>
              <w:jc w:val="center"/>
            </w:pPr>
            <w:r/>
            <w:r>
              <w:rPr>
                <w:rFonts w:ascii="Calibri" w:hAnsi="Calibri"/>
                <w:b/>
                <w:color w:val="FFFFFF"/>
                <w:sz w:val="18"/>
              </w:rPr>
              <w:t>Paid offer</w:t>
            </w:r>
          </w:p>
        </w:tc>
        <w:tc>
          <w:tcPr>
            <w:tcW w:type="dxa" w:w="7260"/>
            <w:shd w:fill="312E81"/>
            <w:tcMar>
              <w:top w:w="90" w:type="dxa"/>
              <w:start w:w="120" w:type="dxa"/>
              <w:bottom w:w="90" w:type="dxa"/>
              <w:end w:w="120" w:type="dxa"/>
            </w:tcMar>
            <w:vAlign w:val="center"/>
          </w:tcPr>
          <w:p>
            <w:pPr>
              <w:keepNext/>
              <w:spacing w:before="0" w:after="0" w:line="259" w:lineRule="auto"/>
              <w:jc w:val="center"/>
            </w:pPr>
            <w:r/>
            <w:r>
              <w:rPr>
                <w:rFonts w:ascii="Calibri" w:hAnsi="Calibri"/>
                <w:b/>
                <w:color w:val="FFFFFF"/>
                <w:sz w:val="18"/>
              </w:rPr>
              <w:t>Unlocks</w:t>
            </w:r>
          </w:p>
        </w:tc>
      </w:tr>
      <w:tr>
        <w:trPr>
          <w:cantSplit/>
        </w:trPr>
        <w:tc>
          <w:tcPr>
            <w:tcW w:type="dxa" w:w="2100"/>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Personal Pro</w:t>
            </w:r>
          </w:p>
        </w:tc>
        <w:tc>
          <w:tcPr>
            <w:tcW w:type="dxa" w:w="726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Increased AI allowance; unlimited personal classes within fair use; advanced lesson/assessment tools; larger storage; advanced analytics; watermark-free exports</w:t>
            </w:r>
          </w:p>
        </w:tc>
      </w:tr>
      <w:tr>
        <w:trPr>
          <w:cantSplit/>
        </w:trPr>
        <w:tc>
          <w:tcPr>
            <w:tcW w:type="dxa" w:w="2100"/>
            <w:shd w:fill="F8F7FC"/>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School Core</w:t>
            </w:r>
          </w:p>
        </w:tc>
        <w:tc>
          <w:tcPr>
            <w:tcW w:type="dxa" w:w="726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More than 50 students; complete assessment/result workflow; full portals; fee management; bulk actions; history; offline sync; branded documents; reports and audit</w:t>
            </w:r>
          </w:p>
        </w:tc>
      </w:tr>
      <w:tr>
        <w:trPr>
          <w:cantSplit/>
        </w:trPr>
        <w:tc>
          <w:tcPr>
            <w:tcW w:type="dxa" w:w="210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Intelligence add-on</w:t>
            </w:r>
          </w:p>
        </w:tc>
        <w:tc>
          <w:tcPr>
            <w:tcW w:type="dxa" w:w="726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SmartMark; scan quality control; automatic objective marking; Student 360; performance alerts; curriculum mastery; AI scheme, lesson and question tools</w:t>
            </w:r>
          </w:p>
        </w:tc>
      </w:tr>
      <w:tr>
        <w:trPr>
          <w:cantSplit/>
        </w:trPr>
        <w:tc>
          <w:tcPr>
            <w:tcW w:type="dxa" w:w="2100"/>
            <w:shd w:fill="F8F7FC"/>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Enterprise</w:t>
            </w:r>
          </w:p>
        </w:tc>
        <w:tc>
          <w:tcPr>
            <w:tcW w:type="dxa" w:w="726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Multi-campus oversight; custom domain; API; SSO; migration; longer audit retention; priority support; negotiated service levels</w:t>
            </w:r>
          </w:p>
        </w:tc>
      </w:tr>
    </w:tbl>
    <w:p>
      <w:pPr>
        <w:spacing w:after="40"/>
      </w:pPr>
    </w:p>
    <w:p>
      <w:pPr>
        <w:pStyle w:val="Heading2"/>
      </w:pPr>
      <w:r>
        <w:t>14.5 Billing basis</w:t>
      </w:r>
    </w:p>
    <w:p>
      <w:pPr>
        <w:pStyle w:val="ListBullet"/>
        <w:spacing w:after="100" w:line="280" w:lineRule="auto"/>
        <w:ind w:left="720" w:hanging="360"/>
      </w:pPr>
      <w:r>
        <w:rPr>
          <w:rFonts w:ascii="Calibri" w:hAnsi="Calibri"/>
          <w:color w:val="172033"/>
          <w:sz w:val="21"/>
        </w:rPr>
        <w:t>School Core should be priced primarily per active student per term, subject to a minimum school commitment.</w:t>
      </w:r>
    </w:p>
    <w:p>
      <w:pPr>
        <w:pStyle w:val="ListBullet"/>
        <w:spacing w:after="100" w:line="280" w:lineRule="auto"/>
        <w:ind w:left="720" w:hanging="360"/>
      </w:pPr>
      <w:r>
        <w:rPr>
          <w:rFonts w:ascii="Calibri" w:hAnsi="Calibri"/>
          <w:color w:val="172033"/>
          <w:sz w:val="21"/>
        </w:rPr>
        <w:t>Personal Pro may be billed monthly or annually; a family subscription may cover parent-managed personal child profiles.</w:t>
      </w:r>
    </w:p>
    <w:p>
      <w:pPr>
        <w:pStyle w:val="ListBullet"/>
        <w:spacing w:after="100" w:line="280" w:lineRule="auto"/>
        <w:ind w:left="720" w:hanging="360"/>
      </w:pPr>
      <w:r>
        <w:rPr>
          <w:rFonts w:ascii="Calibri" w:hAnsi="Calibri"/>
          <w:color w:val="172033"/>
          <w:sz w:val="21"/>
        </w:rPr>
        <w:t>AI, SMS and other variable-cost services use included allowances plus transparent top-ups or fair-use limits.</w:t>
      </w:r>
    </w:p>
    <w:p>
      <w:pPr>
        <w:pStyle w:val="ListBullet"/>
        <w:spacing w:after="100" w:line="280" w:lineRule="auto"/>
        <w:ind w:left="720" w:hanging="360"/>
      </w:pPr>
      <w:r>
        <w:rPr>
          <w:rFonts w:ascii="Calibri" w:hAnsi="Calibri"/>
          <w:color w:val="172033"/>
          <w:sz w:val="21"/>
        </w:rPr>
        <w:t>Exact Naira prices require pilot conversion data, support-cost measurement and infrastructure unit economics.</w:t>
      </w:r>
    </w:p>
    <w:p>
      <w:pPr>
        <w:pStyle w:val="Heading1"/>
      </w:pPr>
      <w:r>
        <w:t>15. Detailed Functional Requirements</w:t>
      </w:r>
    </w:p>
    <w:p>
      <w:pPr>
        <w:pStyle w:val="Heading2"/>
      </w:pPr>
      <w:r>
        <w:t>15.1 Identity and authentication</w:t>
      </w:r>
    </w:p>
    <w:tbl>
      <w:tblPr>
        <w:tblStyle w:val="TableGrid"/>
        <w:tblW w:type="dxa" w:w="9360"/>
        <w:jc w:val="left"/>
        <w:tblLayout w:type="fixed"/>
        <w:tblLook w:firstColumn="1" w:firstRow="1" w:lastColumn="0" w:lastRow="0" w:noHBand="0" w:noVBand="1" w:val="04A0"/>
        <w:tblInd w:w="120" w:type="dxa"/>
      </w:tblPr>
      <w:tblGrid>
        <w:gridCol w:w="850"/>
        <w:gridCol w:w="4160"/>
        <w:gridCol w:w="1000"/>
        <w:gridCol w:w="3350"/>
      </w:tblGrid>
      <w:tr>
        <w:trPr>
          <w:tblHeader w:val="true"/>
          <w:cantSplit/>
        </w:trPr>
        <w:tc>
          <w:tcPr>
            <w:tcW w:type="dxa" w:w="850"/>
            <w:shd w:fill="312E81"/>
            <w:tcMar>
              <w:top w:w="90" w:type="dxa"/>
              <w:start w:w="120" w:type="dxa"/>
              <w:bottom w:w="90" w:type="dxa"/>
              <w:end w:w="120" w:type="dxa"/>
            </w:tcMar>
            <w:vAlign w:val="center"/>
          </w:tcPr>
          <w:p>
            <w:pPr>
              <w:keepNext/>
              <w:spacing w:before="0" w:after="0" w:line="259" w:lineRule="auto"/>
              <w:jc w:val="center"/>
            </w:pPr>
            <w:r/>
            <w:r>
              <w:rPr>
                <w:rFonts w:ascii="Calibri" w:hAnsi="Calibri"/>
                <w:b/>
                <w:color w:val="FFFFFF"/>
                <w:sz w:val="18"/>
              </w:rPr>
              <w:t>ID</w:t>
            </w:r>
          </w:p>
        </w:tc>
        <w:tc>
          <w:tcPr>
            <w:tcW w:type="dxa" w:w="4160"/>
            <w:shd w:fill="312E81"/>
            <w:tcMar>
              <w:top w:w="90" w:type="dxa"/>
              <w:start w:w="120" w:type="dxa"/>
              <w:bottom w:w="90" w:type="dxa"/>
              <w:end w:w="120" w:type="dxa"/>
            </w:tcMar>
            <w:vAlign w:val="center"/>
          </w:tcPr>
          <w:p>
            <w:pPr>
              <w:keepNext/>
              <w:spacing w:before="0" w:after="0" w:line="259" w:lineRule="auto"/>
              <w:jc w:val="center"/>
            </w:pPr>
            <w:r/>
            <w:r>
              <w:rPr>
                <w:rFonts w:ascii="Calibri" w:hAnsi="Calibri"/>
                <w:b/>
                <w:color w:val="FFFFFF"/>
                <w:sz w:val="18"/>
              </w:rPr>
              <w:t>Requirement</w:t>
            </w:r>
          </w:p>
        </w:tc>
        <w:tc>
          <w:tcPr>
            <w:tcW w:type="dxa" w:w="1000"/>
            <w:shd w:fill="312E81"/>
            <w:tcMar>
              <w:top w:w="90" w:type="dxa"/>
              <w:start w:w="120" w:type="dxa"/>
              <w:bottom w:w="90" w:type="dxa"/>
              <w:end w:w="120" w:type="dxa"/>
            </w:tcMar>
            <w:vAlign w:val="center"/>
          </w:tcPr>
          <w:p>
            <w:pPr>
              <w:keepNext/>
              <w:spacing w:before="0" w:after="0" w:line="259" w:lineRule="auto"/>
              <w:jc w:val="center"/>
            </w:pPr>
            <w:r/>
            <w:r>
              <w:rPr>
                <w:rFonts w:ascii="Calibri" w:hAnsi="Calibri"/>
                <w:b/>
                <w:color w:val="FFFFFF"/>
                <w:sz w:val="18"/>
              </w:rPr>
              <w:t>Priority</w:t>
            </w:r>
          </w:p>
        </w:tc>
        <w:tc>
          <w:tcPr>
            <w:tcW w:type="dxa" w:w="3350"/>
            <w:shd w:fill="312E81"/>
            <w:tcMar>
              <w:top w:w="90" w:type="dxa"/>
              <w:start w:w="120" w:type="dxa"/>
              <w:bottom w:w="90" w:type="dxa"/>
              <w:end w:w="120" w:type="dxa"/>
            </w:tcMar>
            <w:vAlign w:val="center"/>
          </w:tcPr>
          <w:p>
            <w:pPr>
              <w:keepNext/>
              <w:spacing w:before="0" w:after="0" w:line="259" w:lineRule="auto"/>
              <w:jc w:val="left"/>
            </w:pPr>
            <w:r/>
            <w:r>
              <w:rPr>
                <w:rFonts w:ascii="Calibri" w:hAnsi="Calibri"/>
                <w:b/>
                <w:color w:val="FFFFFF"/>
                <w:sz w:val="18"/>
              </w:rPr>
              <w:t>Acceptance summary</w:t>
            </w:r>
          </w:p>
        </w:tc>
      </w:tr>
      <w:tr>
        <w:trPr>
          <w:cantSplit/>
        </w:trPr>
        <w:tc>
          <w:tcPr>
            <w:tcW w:type="dxa" w:w="850"/>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IAM-001</w:t>
            </w:r>
          </w:p>
        </w:tc>
        <w:tc>
          <w:tcPr>
            <w:tcW w:type="dxa" w:w="416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Create one global user identity independent of any tenant.</w:t>
            </w:r>
          </w:p>
        </w:tc>
        <w:tc>
          <w:tcPr>
            <w:tcW w:type="dxa" w:w="100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Must</w:t>
            </w:r>
          </w:p>
        </w:tc>
        <w:tc>
          <w:tcPr>
            <w:tcW w:type="dxa" w:w="335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The same verified account joins two tenants without duplication.</w:t>
            </w:r>
          </w:p>
        </w:tc>
      </w:tr>
      <w:tr>
        <w:trPr>
          <w:cantSplit/>
        </w:trPr>
        <w:tc>
          <w:tcPr>
            <w:tcW w:type="dxa" w:w="850"/>
            <w:shd w:fill="F8F7FC"/>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IAM-002</w:t>
            </w:r>
          </w:p>
        </w:tc>
        <w:tc>
          <w:tcPr>
            <w:tcW w:type="dxa" w:w="416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Support email/password, verified phone and Google sign-in where eligible.</w:t>
            </w:r>
          </w:p>
        </w:tc>
        <w:tc>
          <w:tcPr>
            <w:tcW w:type="dxa" w:w="100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Must</w:t>
            </w:r>
          </w:p>
        </w:tc>
        <w:tc>
          <w:tcPr>
            <w:tcW w:type="dxa" w:w="335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Configured methods authenticate and resolve the same user.</w:t>
            </w:r>
          </w:p>
        </w:tc>
      </w:tr>
      <w:tr>
        <w:trPr>
          <w:cantSplit/>
        </w:trPr>
        <w:tc>
          <w:tcPr>
            <w:tcW w:type="dxa" w:w="850"/>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IAM-003</w:t>
            </w:r>
          </w:p>
        </w:tc>
        <w:tc>
          <w:tcPr>
            <w:tcW w:type="dxa" w:w="416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Support tenant-scoped usernames for users without email.</w:t>
            </w:r>
          </w:p>
        </w:tc>
        <w:tc>
          <w:tcPr>
            <w:tcW w:type="dxa" w:w="100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Must</w:t>
            </w:r>
          </w:p>
        </w:tc>
        <w:tc>
          <w:tcPr>
            <w:tcW w:type="dxa" w:w="335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A student can sign in from the correct tenant URL.</w:t>
            </w:r>
          </w:p>
        </w:tc>
      </w:tr>
      <w:tr>
        <w:trPr>
          <w:cantSplit/>
        </w:trPr>
        <w:tc>
          <w:tcPr>
            <w:tcW w:type="dxa" w:w="850"/>
            <w:shd w:fill="F8F7FC"/>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IAM-004</w:t>
            </w:r>
          </w:p>
        </w:tc>
        <w:tc>
          <w:tcPr>
            <w:tcW w:type="dxa" w:w="416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Resolve roles and destinations after authentication; do not request a role at login.</w:t>
            </w:r>
          </w:p>
        </w:tc>
        <w:tc>
          <w:tcPr>
            <w:tcW w:type="dxa" w:w="100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Must</w:t>
            </w:r>
          </w:p>
        </w:tc>
        <w:tc>
          <w:tcPr>
            <w:tcW w:type="dxa" w:w="335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One destination opens directly; multiple show chooser.</w:t>
            </w:r>
          </w:p>
        </w:tc>
      </w:tr>
      <w:tr>
        <w:trPr>
          <w:cantSplit/>
        </w:trPr>
        <w:tc>
          <w:tcPr>
            <w:tcW w:type="dxa" w:w="850"/>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IAM-005</w:t>
            </w:r>
          </w:p>
        </w:tc>
        <w:tc>
          <w:tcPr>
            <w:tcW w:type="dxa" w:w="416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Provide secure recovery, login throttling and optional/required MFA policy for privileged users.</w:t>
            </w:r>
          </w:p>
        </w:tc>
        <w:tc>
          <w:tcPr>
            <w:tcW w:type="dxa" w:w="100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Must</w:t>
            </w:r>
          </w:p>
        </w:tc>
        <w:tc>
          <w:tcPr>
            <w:tcW w:type="dxa" w:w="335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Recovery and MFA events are audited and rate-limited.</w:t>
            </w:r>
          </w:p>
        </w:tc>
      </w:tr>
      <w:tr>
        <w:trPr>
          <w:cantSplit/>
        </w:trPr>
        <w:tc>
          <w:tcPr>
            <w:tcW w:type="dxa" w:w="850"/>
            <w:shd w:fill="F8F7FC"/>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IAM-006</w:t>
            </w:r>
          </w:p>
        </w:tc>
        <w:tc>
          <w:tcPr>
            <w:tcW w:type="dxa" w:w="416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Prevent unsafe automatic identity merges.</w:t>
            </w:r>
          </w:p>
        </w:tc>
        <w:tc>
          <w:tcPr>
            <w:tcW w:type="dxa" w:w="100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Must</w:t>
            </w:r>
          </w:p>
        </w:tc>
        <w:tc>
          <w:tcPr>
            <w:tcW w:type="dxa" w:w="335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Unverified matching attributes create a review case, not a merge.</w:t>
            </w:r>
          </w:p>
        </w:tc>
      </w:tr>
    </w:tbl>
    <w:p>
      <w:pPr>
        <w:spacing w:after="40"/>
      </w:pPr>
    </w:p>
    <w:p>
      <w:pPr>
        <w:pStyle w:val="Heading2"/>
      </w:pPr>
      <w:r>
        <w:t>15.2 Public entry and registration</w:t>
      </w:r>
    </w:p>
    <w:tbl>
      <w:tblPr>
        <w:tblStyle w:val="TableGrid"/>
        <w:tblW w:type="dxa" w:w="9360"/>
        <w:jc w:val="left"/>
        <w:tblLayout w:type="fixed"/>
        <w:tblLook w:firstColumn="1" w:firstRow="1" w:lastColumn="0" w:lastRow="0" w:noHBand="0" w:noVBand="1" w:val="04A0"/>
        <w:tblInd w:w="120" w:type="dxa"/>
      </w:tblPr>
      <w:tblGrid>
        <w:gridCol w:w="850"/>
        <w:gridCol w:w="4160"/>
        <w:gridCol w:w="1000"/>
        <w:gridCol w:w="3350"/>
      </w:tblGrid>
      <w:tr>
        <w:trPr>
          <w:tblHeader w:val="true"/>
          <w:cantSplit/>
        </w:trPr>
        <w:tc>
          <w:tcPr>
            <w:tcW w:type="dxa" w:w="850"/>
            <w:shd w:fill="312E81"/>
            <w:tcMar>
              <w:top w:w="90" w:type="dxa"/>
              <w:start w:w="120" w:type="dxa"/>
              <w:bottom w:w="90" w:type="dxa"/>
              <w:end w:w="120" w:type="dxa"/>
            </w:tcMar>
            <w:vAlign w:val="center"/>
          </w:tcPr>
          <w:p>
            <w:pPr>
              <w:keepNext/>
              <w:spacing w:before="0" w:after="0" w:line="259" w:lineRule="auto"/>
              <w:jc w:val="center"/>
            </w:pPr>
            <w:r/>
            <w:r>
              <w:rPr>
                <w:rFonts w:ascii="Calibri" w:hAnsi="Calibri"/>
                <w:b/>
                <w:color w:val="FFFFFF"/>
                <w:sz w:val="18"/>
              </w:rPr>
              <w:t>ID</w:t>
            </w:r>
          </w:p>
        </w:tc>
        <w:tc>
          <w:tcPr>
            <w:tcW w:type="dxa" w:w="4160"/>
            <w:shd w:fill="312E81"/>
            <w:tcMar>
              <w:top w:w="90" w:type="dxa"/>
              <w:start w:w="120" w:type="dxa"/>
              <w:bottom w:w="90" w:type="dxa"/>
              <w:end w:w="120" w:type="dxa"/>
            </w:tcMar>
            <w:vAlign w:val="center"/>
          </w:tcPr>
          <w:p>
            <w:pPr>
              <w:keepNext/>
              <w:spacing w:before="0" w:after="0" w:line="259" w:lineRule="auto"/>
              <w:jc w:val="center"/>
            </w:pPr>
            <w:r/>
            <w:r>
              <w:rPr>
                <w:rFonts w:ascii="Calibri" w:hAnsi="Calibri"/>
                <w:b/>
                <w:color w:val="FFFFFF"/>
                <w:sz w:val="18"/>
              </w:rPr>
              <w:t>Requirement</w:t>
            </w:r>
          </w:p>
        </w:tc>
        <w:tc>
          <w:tcPr>
            <w:tcW w:type="dxa" w:w="1000"/>
            <w:shd w:fill="312E81"/>
            <w:tcMar>
              <w:top w:w="90" w:type="dxa"/>
              <w:start w:w="120" w:type="dxa"/>
              <w:bottom w:w="90" w:type="dxa"/>
              <w:end w:w="120" w:type="dxa"/>
            </w:tcMar>
            <w:vAlign w:val="center"/>
          </w:tcPr>
          <w:p>
            <w:pPr>
              <w:keepNext/>
              <w:spacing w:before="0" w:after="0" w:line="259" w:lineRule="auto"/>
              <w:jc w:val="center"/>
            </w:pPr>
            <w:r/>
            <w:r>
              <w:rPr>
                <w:rFonts w:ascii="Calibri" w:hAnsi="Calibri"/>
                <w:b/>
                <w:color w:val="FFFFFF"/>
                <w:sz w:val="18"/>
              </w:rPr>
              <w:t>Priority</w:t>
            </w:r>
          </w:p>
        </w:tc>
        <w:tc>
          <w:tcPr>
            <w:tcW w:type="dxa" w:w="3350"/>
            <w:shd w:fill="312E81"/>
            <w:tcMar>
              <w:top w:w="90" w:type="dxa"/>
              <w:start w:w="120" w:type="dxa"/>
              <w:bottom w:w="90" w:type="dxa"/>
              <w:end w:w="120" w:type="dxa"/>
            </w:tcMar>
            <w:vAlign w:val="center"/>
          </w:tcPr>
          <w:p>
            <w:pPr>
              <w:keepNext/>
              <w:spacing w:before="0" w:after="0" w:line="259" w:lineRule="auto"/>
              <w:jc w:val="left"/>
            </w:pPr>
            <w:r/>
            <w:r>
              <w:rPr>
                <w:rFonts w:ascii="Calibri" w:hAnsi="Calibri"/>
                <w:b/>
                <w:color w:val="FFFFFF"/>
                <w:sz w:val="18"/>
              </w:rPr>
              <w:t>Acceptance summary</w:t>
            </w:r>
          </w:p>
        </w:tc>
      </w:tr>
      <w:tr>
        <w:trPr>
          <w:cantSplit/>
        </w:trPr>
        <w:tc>
          <w:tcPr>
            <w:tcW w:type="dxa" w:w="850"/>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PUB-001</w:t>
            </w:r>
          </w:p>
        </w:tc>
        <w:tc>
          <w:tcPr>
            <w:tcW w:type="dxa" w:w="416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Display School, Teacher, Student and Parent as four entry cards.</w:t>
            </w:r>
          </w:p>
        </w:tc>
        <w:tc>
          <w:tcPr>
            <w:tcW w:type="dxa" w:w="100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Must</w:t>
            </w:r>
          </w:p>
        </w:tc>
        <w:tc>
          <w:tcPr>
            <w:tcW w:type="dxa" w:w="335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All four cards are present and keyboard/touch accessible.</w:t>
            </w:r>
          </w:p>
        </w:tc>
      </w:tr>
      <w:tr>
        <w:trPr>
          <w:cantSplit/>
        </w:trPr>
        <w:tc>
          <w:tcPr>
            <w:tcW w:type="dxa" w:w="850"/>
            <w:shd w:fill="F8F7FC"/>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PUB-002</w:t>
            </w:r>
          </w:p>
        </w:tc>
        <w:tc>
          <w:tcPr>
            <w:tcW w:type="dxa" w:w="416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Provide a direct Sign in path for returning users.</w:t>
            </w:r>
          </w:p>
        </w:tc>
        <w:tc>
          <w:tcPr>
            <w:tcW w:type="dxa" w:w="100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Must</w:t>
            </w:r>
          </w:p>
        </w:tc>
        <w:tc>
          <w:tcPr>
            <w:tcW w:type="dxa" w:w="335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Sign in is reachable without starting registration.</w:t>
            </w:r>
          </w:p>
        </w:tc>
      </w:tr>
      <w:tr>
        <w:trPr>
          <w:cantSplit/>
        </w:trPr>
        <w:tc>
          <w:tcPr>
            <w:tcW w:type="dxa" w:w="850"/>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PUB-003</w:t>
            </w:r>
          </w:p>
        </w:tc>
        <w:tc>
          <w:tcPr>
            <w:tcW w:type="dxa" w:w="416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Preserve selected intent throughout account creation.</w:t>
            </w:r>
          </w:p>
        </w:tc>
        <w:tc>
          <w:tcPr>
            <w:tcW w:type="dxa" w:w="100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Should</w:t>
            </w:r>
          </w:p>
        </w:tc>
        <w:tc>
          <w:tcPr>
            <w:tcW w:type="dxa" w:w="335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User returns to the selected onboarding branch after verification.</w:t>
            </w:r>
          </w:p>
        </w:tc>
      </w:tr>
      <w:tr>
        <w:trPr>
          <w:cantSplit/>
        </w:trPr>
        <w:tc>
          <w:tcPr>
            <w:tcW w:type="dxa" w:w="850"/>
            <w:shd w:fill="F8F7FC"/>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PUB-004</w:t>
            </w:r>
          </w:p>
        </w:tc>
        <w:tc>
          <w:tcPr>
            <w:tcW w:type="dxa" w:w="416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Instrument card selection, abandonment and completion.</w:t>
            </w:r>
          </w:p>
        </w:tc>
        <w:tc>
          <w:tcPr>
            <w:tcW w:type="dxa" w:w="100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Must</w:t>
            </w:r>
          </w:p>
        </w:tc>
        <w:tc>
          <w:tcPr>
            <w:tcW w:type="dxa" w:w="335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Analytics events contain no unnecessary sensitive data.</w:t>
            </w:r>
          </w:p>
        </w:tc>
      </w:tr>
    </w:tbl>
    <w:p>
      <w:pPr>
        <w:spacing w:after="40"/>
      </w:pPr>
    </w:p>
    <w:p>
      <w:pPr>
        <w:pStyle w:val="Heading2"/>
      </w:pPr>
      <w:r>
        <w:t>15.3 School tenant creation and branding</w:t>
      </w:r>
    </w:p>
    <w:tbl>
      <w:tblPr>
        <w:tblStyle w:val="TableGrid"/>
        <w:tblW w:type="dxa" w:w="9360"/>
        <w:jc w:val="left"/>
        <w:tblLayout w:type="fixed"/>
        <w:tblLook w:firstColumn="1" w:firstRow="1" w:lastColumn="0" w:lastRow="0" w:noHBand="0" w:noVBand="1" w:val="04A0"/>
        <w:tblInd w:w="120" w:type="dxa"/>
      </w:tblPr>
      <w:tblGrid>
        <w:gridCol w:w="850"/>
        <w:gridCol w:w="4160"/>
        <w:gridCol w:w="1000"/>
        <w:gridCol w:w="3350"/>
      </w:tblGrid>
      <w:tr>
        <w:trPr>
          <w:tblHeader w:val="true"/>
          <w:cantSplit/>
        </w:trPr>
        <w:tc>
          <w:tcPr>
            <w:tcW w:type="dxa" w:w="850"/>
            <w:shd w:fill="312E81"/>
            <w:tcMar>
              <w:top w:w="90" w:type="dxa"/>
              <w:start w:w="120" w:type="dxa"/>
              <w:bottom w:w="90" w:type="dxa"/>
              <w:end w:w="120" w:type="dxa"/>
            </w:tcMar>
            <w:vAlign w:val="center"/>
          </w:tcPr>
          <w:p>
            <w:pPr>
              <w:keepNext/>
              <w:spacing w:before="0" w:after="0" w:line="259" w:lineRule="auto"/>
              <w:jc w:val="center"/>
            </w:pPr>
            <w:r/>
            <w:r>
              <w:rPr>
                <w:rFonts w:ascii="Calibri" w:hAnsi="Calibri"/>
                <w:b/>
                <w:color w:val="FFFFFF"/>
                <w:sz w:val="18"/>
              </w:rPr>
              <w:t>ID</w:t>
            </w:r>
          </w:p>
        </w:tc>
        <w:tc>
          <w:tcPr>
            <w:tcW w:type="dxa" w:w="4160"/>
            <w:shd w:fill="312E81"/>
            <w:tcMar>
              <w:top w:w="90" w:type="dxa"/>
              <w:start w:w="120" w:type="dxa"/>
              <w:bottom w:w="90" w:type="dxa"/>
              <w:end w:w="120" w:type="dxa"/>
            </w:tcMar>
            <w:vAlign w:val="center"/>
          </w:tcPr>
          <w:p>
            <w:pPr>
              <w:keepNext/>
              <w:spacing w:before="0" w:after="0" w:line="259" w:lineRule="auto"/>
              <w:jc w:val="center"/>
            </w:pPr>
            <w:r/>
            <w:r>
              <w:rPr>
                <w:rFonts w:ascii="Calibri" w:hAnsi="Calibri"/>
                <w:b/>
                <w:color w:val="FFFFFF"/>
                <w:sz w:val="18"/>
              </w:rPr>
              <w:t>Requirement</w:t>
            </w:r>
          </w:p>
        </w:tc>
        <w:tc>
          <w:tcPr>
            <w:tcW w:type="dxa" w:w="1000"/>
            <w:shd w:fill="312E81"/>
            <w:tcMar>
              <w:top w:w="90" w:type="dxa"/>
              <w:start w:w="120" w:type="dxa"/>
              <w:bottom w:w="90" w:type="dxa"/>
              <w:end w:w="120" w:type="dxa"/>
            </w:tcMar>
            <w:vAlign w:val="center"/>
          </w:tcPr>
          <w:p>
            <w:pPr>
              <w:keepNext/>
              <w:spacing w:before="0" w:after="0" w:line="259" w:lineRule="auto"/>
              <w:jc w:val="center"/>
            </w:pPr>
            <w:r/>
            <w:r>
              <w:rPr>
                <w:rFonts w:ascii="Calibri" w:hAnsi="Calibri"/>
                <w:b/>
                <w:color w:val="FFFFFF"/>
                <w:sz w:val="18"/>
              </w:rPr>
              <w:t>Priority</w:t>
            </w:r>
          </w:p>
        </w:tc>
        <w:tc>
          <w:tcPr>
            <w:tcW w:type="dxa" w:w="3350"/>
            <w:shd w:fill="312E81"/>
            <w:tcMar>
              <w:top w:w="90" w:type="dxa"/>
              <w:start w:w="120" w:type="dxa"/>
              <w:bottom w:w="90" w:type="dxa"/>
              <w:end w:w="120" w:type="dxa"/>
            </w:tcMar>
            <w:vAlign w:val="center"/>
          </w:tcPr>
          <w:p>
            <w:pPr>
              <w:keepNext/>
              <w:spacing w:before="0" w:after="0" w:line="259" w:lineRule="auto"/>
              <w:jc w:val="left"/>
            </w:pPr>
            <w:r/>
            <w:r>
              <w:rPr>
                <w:rFonts w:ascii="Calibri" w:hAnsi="Calibri"/>
                <w:b/>
                <w:color w:val="FFFFFF"/>
                <w:sz w:val="18"/>
              </w:rPr>
              <w:t>Acceptance summary</w:t>
            </w:r>
          </w:p>
        </w:tc>
      </w:tr>
      <w:tr>
        <w:trPr>
          <w:cantSplit/>
        </w:trPr>
        <w:tc>
          <w:tcPr>
            <w:tcW w:type="dxa" w:w="850"/>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SCH-001</w:t>
            </w:r>
          </w:p>
        </w:tc>
        <w:tc>
          <w:tcPr>
            <w:tcW w:type="dxa" w:w="416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Collect the minimum institutional registration fields before setup.</w:t>
            </w:r>
          </w:p>
        </w:tc>
        <w:tc>
          <w:tcPr>
            <w:tcW w:type="dxa" w:w="100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Must</w:t>
            </w:r>
          </w:p>
        </w:tc>
        <w:tc>
          <w:tcPr>
            <w:tcW w:type="dxa" w:w="335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Tenant draft is created after contact verification.</w:t>
            </w:r>
          </w:p>
        </w:tc>
      </w:tr>
      <w:tr>
        <w:trPr>
          <w:cantSplit/>
        </w:trPr>
        <w:tc>
          <w:tcPr>
            <w:tcW w:type="dxa" w:w="850"/>
            <w:shd w:fill="F8F7FC"/>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SCH-002</w:t>
            </w:r>
          </w:p>
        </w:tc>
        <w:tc>
          <w:tcPr>
            <w:tcW w:type="dxa" w:w="416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Reserve a unique, editable tenant slug.</w:t>
            </w:r>
          </w:p>
        </w:tc>
        <w:tc>
          <w:tcPr>
            <w:tcW w:type="dxa" w:w="100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Must</w:t>
            </w:r>
          </w:p>
        </w:tc>
        <w:tc>
          <w:tcPr>
            <w:tcW w:type="dxa" w:w="335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Unavailable or unsafe slugs are rejected with alternatives.</w:t>
            </w:r>
          </w:p>
        </w:tc>
      </w:tr>
      <w:tr>
        <w:trPr>
          <w:cantSplit/>
        </w:trPr>
        <w:tc>
          <w:tcPr>
            <w:tcW w:type="dxa" w:w="850"/>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SCH-003</w:t>
            </w:r>
          </w:p>
        </w:tc>
        <w:tc>
          <w:tcPr>
            <w:tcW w:type="dxa" w:w="416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Provide logo upload and configurable colour fields.</w:t>
            </w:r>
          </w:p>
        </w:tc>
        <w:tc>
          <w:tcPr>
            <w:tcW w:type="dxa" w:w="100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Must</w:t>
            </w:r>
          </w:p>
        </w:tc>
        <w:tc>
          <w:tcPr>
            <w:tcW w:type="dxa" w:w="335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Valid files save; unsafe files fail with friendly guidance.</w:t>
            </w:r>
          </w:p>
        </w:tc>
      </w:tr>
      <w:tr>
        <w:trPr>
          <w:cantSplit/>
        </w:trPr>
        <w:tc>
          <w:tcPr>
            <w:tcW w:type="dxa" w:w="850"/>
            <w:shd w:fill="F8F7FC"/>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SCH-004</w:t>
            </w:r>
          </w:p>
        </w:tc>
        <w:tc>
          <w:tcPr>
            <w:tcW w:type="dxa" w:w="416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Suggest colours from the logo without auto-publishing them.</w:t>
            </w:r>
          </w:p>
        </w:tc>
        <w:tc>
          <w:tcPr>
            <w:tcW w:type="dxa" w:w="100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Should</w:t>
            </w:r>
          </w:p>
        </w:tc>
        <w:tc>
          <w:tcPr>
            <w:tcW w:type="dxa" w:w="335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Administrator can accept, edit or ignore suggestions.</w:t>
            </w:r>
          </w:p>
        </w:tc>
      </w:tr>
      <w:tr>
        <w:trPr>
          <w:cantSplit/>
        </w:trPr>
        <w:tc>
          <w:tcPr>
            <w:tcW w:type="dxa" w:w="850"/>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SCH-005</w:t>
            </w:r>
          </w:p>
        </w:tc>
        <w:tc>
          <w:tcPr>
            <w:tcW w:type="dxa" w:w="416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Provide live responsive previews.</w:t>
            </w:r>
          </w:p>
        </w:tc>
        <w:tc>
          <w:tcPr>
            <w:tcW w:type="dxa" w:w="100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Must</w:t>
            </w:r>
          </w:p>
        </w:tc>
        <w:tc>
          <w:tcPr>
            <w:tcW w:type="dxa" w:w="335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Mobile, tablet and desktop previews reflect saved draft branding.</w:t>
            </w:r>
          </w:p>
        </w:tc>
      </w:tr>
      <w:tr>
        <w:trPr>
          <w:cantSplit/>
        </w:trPr>
        <w:tc>
          <w:tcPr>
            <w:tcW w:type="dxa" w:w="850"/>
            <w:shd w:fill="F8F7FC"/>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SCH-006</w:t>
            </w:r>
          </w:p>
        </w:tc>
        <w:tc>
          <w:tcPr>
            <w:tcW w:type="dxa" w:w="416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Maintain draft and published branding states.</w:t>
            </w:r>
          </w:p>
        </w:tc>
        <w:tc>
          <w:tcPr>
            <w:tcW w:type="dxa" w:w="100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Must</w:t>
            </w:r>
          </w:p>
        </w:tc>
        <w:tc>
          <w:tcPr>
            <w:tcW w:type="dxa" w:w="335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Public tenant surfaces use only the published version.</w:t>
            </w:r>
          </w:p>
        </w:tc>
      </w:tr>
      <w:tr>
        <w:trPr>
          <w:cantSplit/>
        </w:trPr>
        <w:tc>
          <w:tcPr>
            <w:tcW w:type="dxa" w:w="850"/>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SCH-007</w:t>
            </w:r>
          </w:p>
        </w:tc>
        <w:tc>
          <w:tcPr>
            <w:tcW w:type="dxa" w:w="416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Track onboarding progress and allow safe resume.</w:t>
            </w:r>
          </w:p>
        </w:tc>
        <w:tc>
          <w:tcPr>
            <w:tcW w:type="dxa" w:w="100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Must</w:t>
            </w:r>
          </w:p>
        </w:tc>
        <w:tc>
          <w:tcPr>
            <w:tcW w:type="dxa" w:w="335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Administrator returns to the last incomplete step.</w:t>
            </w:r>
          </w:p>
        </w:tc>
      </w:tr>
    </w:tbl>
    <w:p>
      <w:pPr>
        <w:spacing w:after="40"/>
      </w:pPr>
    </w:p>
    <w:p>
      <w:pPr>
        <w:pStyle w:val="Heading2"/>
      </w:pPr>
      <w:r>
        <w:t>15.4 Tenant welcome and login</w:t>
      </w:r>
    </w:p>
    <w:tbl>
      <w:tblPr>
        <w:tblStyle w:val="TableGrid"/>
        <w:tblW w:type="dxa" w:w="9360"/>
        <w:jc w:val="left"/>
        <w:tblLayout w:type="fixed"/>
        <w:tblLook w:firstColumn="1" w:firstRow="1" w:lastColumn="0" w:lastRow="0" w:noHBand="0" w:noVBand="1" w:val="04A0"/>
        <w:tblInd w:w="120" w:type="dxa"/>
      </w:tblPr>
      <w:tblGrid>
        <w:gridCol w:w="850"/>
        <w:gridCol w:w="4160"/>
        <w:gridCol w:w="1000"/>
        <w:gridCol w:w="3350"/>
      </w:tblGrid>
      <w:tr>
        <w:trPr>
          <w:tblHeader w:val="true"/>
          <w:cantSplit/>
        </w:trPr>
        <w:tc>
          <w:tcPr>
            <w:tcW w:type="dxa" w:w="850"/>
            <w:shd w:fill="312E81"/>
            <w:tcMar>
              <w:top w:w="90" w:type="dxa"/>
              <w:start w:w="120" w:type="dxa"/>
              <w:bottom w:w="90" w:type="dxa"/>
              <w:end w:w="120" w:type="dxa"/>
            </w:tcMar>
            <w:vAlign w:val="center"/>
          </w:tcPr>
          <w:p>
            <w:pPr>
              <w:keepNext/>
              <w:spacing w:before="0" w:after="0" w:line="259" w:lineRule="auto"/>
              <w:jc w:val="center"/>
            </w:pPr>
            <w:r/>
            <w:r>
              <w:rPr>
                <w:rFonts w:ascii="Calibri" w:hAnsi="Calibri"/>
                <w:b/>
                <w:color w:val="FFFFFF"/>
                <w:sz w:val="18"/>
              </w:rPr>
              <w:t>ID</w:t>
            </w:r>
          </w:p>
        </w:tc>
        <w:tc>
          <w:tcPr>
            <w:tcW w:type="dxa" w:w="4160"/>
            <w:shd w:fill="312E81"/>
            <w:tcMar>
              <w:top w:w="90" w:type="dxa"/>
              <w:start w:w="120" w:type="dxa"/>
              <w:bottom w:w="90" w:type="dxa"/>
              <w:end w:w="120" w:type="dxa"/>
            </w:tcMar>
            <w:vAlign w:val="center"/>
          </w:tcPr>
          <w:p>
            <w:pPr>
              <w:keepNext/>
              <w:spacing w:before="0" w:after="0" w:line="259" w:lineRule="auto"/>
              <w:jc w:val="center"/>
            </w:pPr>
            <w:r/>
            <w:r>
              <w:rPr>
                <w:rFonts w:ascii="Calibri" w:hAnsi="Calibri"/>
                <w:b/>
                <w:color w:val="FFFFFF"/>
                <w:sz w:val="18"/>
              </w:rPr>
              <w:t>Requirement</w:t>
            </w:r>
          </w:p>
        </w:tc>
        <w:tc>
          <w:tcPr>
            <w:tcW w:type="dxa" w:w="1000"/>
            <w:shd w:fill="312E81"/>
            <w:tcMar>
              <w:top w:w="90" w:type="dxa"/>
              <w:start w:w="120" w:type="dxa"/>
              <w:bottom w:w="90" w:type="dxa"/>
              <w:end w:w="120" w:type="dxa"/>
            </w:tcMar>
            <w:vAlign w:val="center"/>
          </w:tcPr>
          <w:p>
            <w:pPr>
              <w:keepNext/>
              <w:spacing w:before="0" w:after="0" w:line="259" w:lineRule="auto"/>
              <w:jc w:val="center"/>
            </w:pPr>
            <w:r/>
            <w:r>
              <w:rPr>
                <w:rFonts w:ascii="Calibri" w:hAnsi="Calibri"/>
                <w:b/>
                <w:color w:val="FFFFFF"/>
                <w:sz w:val="18"/>
              </w:rPr>
              <w:t>Priority</w:t>
            </w:r>
          </w:p>
        </w:tc>
        <w:tc>
          <w:tcPr>
            <w:tcW w:type="dxa" w:w="3350"/>
            <w:shd w:fill="312E81"/>
            <w:tcMar>
              <w:top w:w="90" w:type="dxa"/>
              <w:start w:w="120" w:type="dxa"/>
              <w:bottom w:w="90" w:type="dxa"/>
              <w:end w:w="120" w:type="dxa"/>
            </w:tcMar>
            <w:vAlign w:val="center"/>
          </w:tcPr>
          <w:p>
            <w:pPr>
              <w:keepNext/>
              <w:spacing w:before="0" w:after="0" w:line="259" w:lineRule="auto"/>
              <w:jc w:val="left"/>
            </w:pPr>
            <w:r/>
            <w:r>
              <w:rPr>
                <w:rFonts w:ascii="Calibri" w:hAnsi="Calibri"/>
                <w:b/>
                <w:color w:val="FFFFFF"/>
                <w:sz w:val="18"/>
              </w:rPr>
              <w:t>Acceptance summary</w:t>
            </w:r>
          </w:p>
        </w:tc>
      </w:tr>
      <w:tr>
        <w:trPr>
          <w:cantSplit/>
        </w:trPr>
        <w:tc>
          <w:tcPr>
            <w:tcW w:type="dxa" w:w="850"/>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TEN-001</w:t>
            </w:r>
          </w:p>
        </w:tc>
        <w:tc>
          <w:tcPr>
            <w:tcW w:type="dxa" w:w="416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Show the published tenant welcome stage before login on school URLs.</w:t>
            </w:r>
          </w:p>
        </w:tc>
        <w:tc>
          <w:tcPr>
            <w:tcW w:type="dxa" w:w="100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Must</w:t>
            </w:r>
          </w:p>
        </w:tc>
        <w:tc>
          <w:tcPr>
            <w:tcW w:type="dxa" w:w="335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School logo, name and colours appear before auth controls.</w:t>
            </w:r>
          </w:p>
        </w:tc>
      </w:tr>
      <w:tr>
        <w:trPr>
          <w:cantSplit/>
        </w:trPr>
        <w:tc>
          <w:tcPr>
            <w:tcW w:type="dxa" w:w="850"/>
            <w:shd w:fill="F8F7FC"/>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TEN-002</w:t>
            </w:r>
          </w:p>
        </w:tc>
        <w:tc>
          <w:tcPr>
            <w:tcW w:type="dxa" w:w="416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Keep the welcome stage free of navigation and module menus.</w:t>
            </w:r>
          </w:p>
        </w:tc>
        <w:tc>
          <w:tcPr>
            <w:tcW w:type="dxa" w:w="100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Must</w:t>
            </w:r>
          </w:p>
        </w:tc>
        <w:tc>
          <w:tcPr>
            <w:tcW w:type="dxa" w:w="335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Only identity, welcome content and transition controls appear.</w:t>
            </w:r>
          </w:p>
        </w:tc>
      </w:tr>
      <w:tr>
        <w:trPr>
          <w:cantSplit/>
        </w:trPr>
        <w:tc>
          <w:tcPr>
            <w:tcW w:type="dxa" w:w="850"/>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TEN-003</w:t>
            </w:r>
          </w:p>
        </w:tc>
        <w:tc>
          <w:tcPr>
            <w:tcW w:type="dxa" w:w="416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Complete the default animation in three seconds or less.</w:t>
            </w:r>
          </w:p>
        </w:tc>
        <w:tc>
          <w:tcPr>
            <w:tcW w:type="dxa" w:w="100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Must</w:t>
            </w:r>
          </w:p>
        </w:tc>
        <w:tc>
          <w:tcPr>
            <w:tcW w:type="dxa" w:w="335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Measured sequence reaches an interactive login by 3 seconds.</w:t>
            </w:r>
          </w:p>
        </w:tc>
      </w:tr>
      <w:tr>
        <w:trPr>
          <w:cantSplit/>
        </w:trPr>
        <w:tc>
          <w:tcPr>
            <w:tcW w:type="dxa" w:w="850"/>
            <w:shd w:fill="F8F7FC"/>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TEN-004</w:t>
            </w:r>
          </w:p>
        </w:tc>
        <w:tc>
          <w:tcPr>
            <w:tcW w:type="dxa" w:w="416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Support skip, keyboard control and reduced motion.</w:t>
            </w:r>
          </w:p>
        </w:tc>
        <w:tc>
          <w:tcPr>
            <w:tcW w:type="dxa" w:w="100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Must</w:t>
            </w:r>
          </w:p>
        </w:tc>
        <w:tc>
          <w:tcPr>
            <w:tcW w:type="dxa" w:w="335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All three paths reach the login without loss of context.</w:t>
            </w:r>
          </w:p>
        </w:tc>
      </w:tr>
      <w:tr>
        <w:trPr>
          <w:cantSplit/>
        </w:trPr>
        <w:tc>
          <w:tcPr>
            <w:tcW w:type="dxa" w:w="850"/>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TEN-005</w:t>
            </w:r>
          </w:p>
        </w:tc>
        <w:tc>
          <w:tcPr>
            <w:tcW w:type="dxa" w:w="416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Cache a safe tenant-branding payload for low-bandwidth repeat visits.</w:t>
            </w:r>
          </w:p>
        </w:tc>
        <w:tc>
          <w:tcPr>
            <w:tcW w:type="dxa" w:w="100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Should</w:t>
            </w:r>
          </w:p>
        </w:tc>
        <w:tc>
          <w:tcPr>
            <w:tcW w:type="dxa" w:w="335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Cached shell renders without exposing protected tenant data.</w:t>
            </w:r>
          </w:p>
        </w:tc>
      </w:tr>
      <w:tr>
        <w:trPr>
          <w:cantSplit/>
        </w:trPr>
        <w:tc>
          <w:tcPr>
            <w:tcW w:type="dxa" w:w="850"/>
            <w:shd w:fill="F8F7FC"/>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TEN-006</w:t>
            </w:r>
          </w:p>
        </w:tc>
        <w:tc>
          <w:tcPr>
            <w:tcW w:type="dxa" w:w="416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Use a shared-element transition without full-page reload.</w:t>
            </w:r>
          </w:p>
        </w:tc>
        <w:tc>
          <w:tcPr>
            <w:tcW w:type="dxa" w:w="100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Should</w:t>
            </w:r>
          </w:p>
        </w:tc>
        <w:tc>
          <w:tcPr>
            <w:tcW w:type="dxa" w:w="335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Logo position changes smoothly and route state remains valid.</w:t>
            </w:r>
          </w:p>
        </w:tc>
      </w:tr>
    </w:tbl>
    <w:p>
      <w:pPr>
        <w:spacing w:after="40"/>
      </w:pPr>
    </w:p>
    <w:p>
      <w:pPr>
        <w:pStyle w:val="Heading2"/>
      </w:pPr>
      <w:r>
        <w:t>15.5 Invitations and credentials</w:t>
      </w:r>
    </w:p>
    <w:tbl>
      <w:tblPr>
        <w:tblStyle w:val="TableGrid"/>
        <w:tblW w:type="dxa" w:w="9360"/>
        <w:jc w:val="left"/>
        <w:tblLayout w:type="fixed"/>
        <w:tblLook w:firstColumn="1" w:firstRow="1" w:lastColumn="0" w:lastRow="0" w:noHBand="0" w:noVBand="1" w:val="04A0"/>
        <w:tblInd w:w="120" w:type="dxa"/>
      </w:tblPr>
      <w:tblGrid>
        <w:gridCol w:w="850"/>
        <w:gridCol w:w="4160"/>
        <w:gridCol w:w="1000"/>
        <w:gridCol w:w="3350"/>
      </w:tblGrid>
      <w:tr>
        <w:trPr>
          <w:tblHeader w:val="true"/>
          <w:cantSplit/>
        </w:trPr>
        <w:tc>
          <w:tcPr>
            <w:tcW w:type="dxa" w:w="850"/>
            <w:shd w:fill="312E81"/>
            <w:tcMar>
              <w:top w:w="90" w:type="dxa"/>
              <w:start w:w="120" w:type="dxa"/>
              <w:bottom w:w="90" w:type="dxa"/>
              <w:end w:w="120" w:type="dxa"/>
            </w:tcMar>
            <w:vAlign w:val="center"/>
          </w:tcPr>
          <w:p>
            <w:pPr>
              <w:keepNext/>
              <w:spacing w:before="0" w:after="0" w:line="259" w:lineRule="auto"/>
              <w:jc w:val="center"/>
            </w:pPr>
            <w:r/>
            <w:r>
              <w:rPr>
                <w:rFonts w:ascii="Calibri" w:hAnsi="Calibri"/>
                <w:b/>
                <w:color w:val="FFFFFF"/>
                <w:sz w:val="18"/>
              </w:rPr>
              <w:t>ID</w:t>
            </w:r>
          </w:p>
        </w:tc>
        <w:tc>
          <w:tcPr>
            <w:tcW w:type="dxa" w:w="4160"/>
            <w:shd w:fill="312E81"/>
            <w:tcMar>
              <w:top w:w="90" w:type="dxa"/>
              <w:start w:w="120" w:type="dxa"/>
              <w:bottom w:w="90" w:type="dxa"/>
              <w:end w:w="120" w:type="dxa"/>
            </w:tcMar>
            <w:vAlign w:val="center"/>
          </w:tcPr>
          <w:p>
            <w:pPr>
              <w:keepNext/>
              <w:spacing w:before="0" w:after="0" w:line="259" w:lineRule="auto"/>
              <w:jc w:val="center"/>
            </w:pPr>
            <w:r/>
            <w:r>
              <w:rPr>
                <w:rFonts w:ascii="Calibri" w:hAnsi="Calibri"/>
                <w:b/>
                <w:color w:val="FFFFFF"/>
                <w:sz w:val="18"/>
              </w:rPr>
              <w:t>Requirement</w:t>
            </w:r>
          </w:p>
        </w:tc>
        <w:tc>
          <w:tcPr>
            <w:tcW w:type="dxa" w:w="1000"/>
            <w:shd w:fill="312E81"/>
            <w:tcMar>
              <w:top w:w="90" w:type="dxa"/>
              <w:start w:w="120" w:type="dxa"/>
              <w:bottom w:w="90" w:type="dxa"/>
              <w:end w:w="120" w:type="dxa"/>
            </w:tcMar>
            <w:vAlign w:val="center"/>
          </w:tcPr>
          <w:p>
            <w:pPr>
              <w:keepNext/>
              <w:spacing w:before="0" w:after="0" w:line="259" w:lineRule="auto"/>
              <w:jc w:val="center"/>
            </w:pPr>
            <w:r/>
            <w:r>
              <w:rPr>
                <w:rFonts w:ascii="Calibri" w:hAnsi="Calibri"/>
                <w:b/>
                <w:color w:val="FFFFFF"/>
                <w:sz w:val="18"/>
              </w:rPr>
              <w:t>Priority</w:t>
            </w:r>
          </w:p>
        </w:tc>
        <w:tc>
          <w:tcPr>
            <w:tcW w:type="dxa" w:w="3350"/>
            <w:shd w:fill="312E81"/>
            <w:tcMar>
              <w:top w:w="90" w:type="dxa"/>
              <w:start w:w="120" w:type="dxa"/>
              <w:bottom w:w="90" w:type="dxa"/>
              <w:end w:w="120" w:type="dxa"/>
            </w:tcMar>
            <w:vAlign w:val="center"/>
          </w:tcPr>
          <w:p>
            <w:pPr>
              <w:keepNext/>
              <w:spacing w:before="0" w:after="0" w:line="259" w:lineRule="auto"/>
              <w:jc w:val="left"/>
            </w:pPr>
            <w:r/>
            <w:r>
              <w:rPr>
                <w:rFonts w:ascii="Calibri" w:hAnsi="Calibri"/>
                <w:b/>
                <w:color w:val="FFFFFF"/>
                <w:sz w:val="18"/>
              </w:rPr>
              <w:t>Acceptance summary</w:t>
            </w:r>
          </w:p>
        </w:tc>
      </w:tr>
      <w:tr>
        <w:trPr>
          <w:cantSplit/>
        </w:trPr>
        <w:tc>
          <w:tcPr>
            <w:tcW w:type="dxa" w:w="850"/>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INV-001</w:t>
            </w:r>
          </w:p>
        </w:tc>
        <w:tc>
          <w:tcPr>
            <w:tcW w:type="dxa" w:w="416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Create individual invitations with role, campus and expiry.</w:t>
            </w:r>
          </w:p>
        </w:tc>
        <w:tc>
          <w:tcPr>
            <w:tcW w:type="dxa" w:w="100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Must</w:t>
            </w:r>
          </w:p>
        </w:tc>
        <w:tc>
          <w:tcPr>
            <w:tcW w:type="dxa" w:w="335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Accepted membership matches the authorised payload.</w:t>
            </w:r>
          </w:p>
        </w:tc>
      </w:tr>
      <w:tr>
        <w:trPr>
          <w:cantSplit/>
        </w:trPr>
        <w:tc>
          <w:tcPr>
            <w:tcW w:type="dxa" w:w="850"/>
            <w:shd w:fill="F8F7FC"/>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INV-002</w:t>
            </w:r>
          </w:p>
        </w:tc>
        <w:tc>
          <w:tcPr>
            <w:tcW w:type="dxa" w:w="416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Support bulk import with validation preview and downloadable errors.</w:t>
            </w:r>
          </w:p>
        </w:tc>
        <w:tc>
          <w:tcPr>
            <w:tcW w:type="dxa" w:w="100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Must</w:t>
            </w:r>
          </w:p>
        </w:tc>
        <w:tc>
          <w:tcPr>
            <w:tcW w:type="dxa" w:w="335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No records commit until the administrator confirms a valid batch.</w:t>
            </w:r>
          </w:p>
        </w:tc>
      </w:tr>
      <w:tr>
        <w:trPr>
          <w:cantSplit/>
        </w:trPr>
        <w:tc>
          <w:tcPr>
            <w:tcW w:type="dxa" w:w="850"/>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INV-003</w:t>
            </w:r>
          </w:p>
        </w:tc>
        <w:tc>
          <w:tcPr>
            <w:tcW w:type="dxa" w:w="416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Support printable login cards and QR handoff.</w:t>
            </w:r>
          </w:p>
        </w:tc>
        <w:tc>
          <w:tcPr>
            <w:tcW w:type="dxa" w:w="100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Should</w:t>
            </w:r>
          </w:p>
        </w:tc>
        <w:tc>
          <w:tcPr>
            <w:tcW w:type="dxa" w:w="335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Cards reveal only the minimum login information.</w:t>
            </w:r>
          </w:p>
        </w:tc>
      </w:tr>
      <w:tr>
        <w:trPr>
          <w:cantSplit/>
        </w:trPr>
        <w:tc>
          <w:tcPr>
            <w:tcW w:type="dxa" w:w="850"/>
            <w:shd w:fill="F8F7FC"/>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INV-004</w:t>
            </w:r>
          </w:p>
        </w:tc>
        <w:tc>
          <w:tcPr>
            <w:tcW w:type="dxa" w:w="416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Store invitation tokens hashed and enforce single use.</w:t>
            </w:r>
          </w:p>
        </w:tc>
        <w:tc>
          <w:tcPr>
            <w:tcW w:type="dxa" w:w="100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Must</w:t>
            </w:r>
          </w:p>
        </w:tc>
        <w:tc>
          <w:tcPr>
            <w:tcW w:type="dxa" w:w="335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Replayed or expired tokens fail safely.</w:t>
            </w:r>
          </w:p>
        </w:tc>
      </w:tr>
      <w:tr>
        <w:trPr>
          <w:cantSplit/>
        </w:trPr>
        <w:tc>
          <w:tcPr>
            <w:tcW w:type="dxa" w:w="850"/>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INV-005</w:t>
            </w:r>
          </w:p>
        </w:tc>
        <w:tc>
          <w:tcPr>
            <w:tcW w:type="dxa" w:w="416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Allow revoke, resend and status tracking.</w:t>
            </w:r>
          </w:p>
        </w:tc>
        <w:tc>
          <w:tcPr>
            <w:tcW w:type="dxa" w:w="100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Must</w:t>
            </w:r>
          </w:p>
        </w:tc>
        <w:tc>
          <w:tcPr>
            <w:tcW w:type="dxa" w:w="335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Admin sees Pending, Accepted, Expired or Revoked.</w:t>
            </w:r>
          </w:p>
        </w:tc>
      </w:tr>
      <w:tr>
        <w:trPr>
          <w:cantSplit/>
        </w:trPr>
        <w:tc>
          <w:tcPr>
            <w:tcW w:type="dxa" w:w="850"/>
            <w:shd w:fill="F8F7FC"/>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INV-006</w:t>
            </w:r>
          </w:p>
        </w:tc>
        <w:tc>
          <w:tcPr>
            <w:tcW w:type="dxa" w:w="416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Force temporary credential change on first login.</w:t>
            </w:r>
          </w:p>
        </w:tc>
        <w:tc>
          <w:tcPr>
            <w:tcW w:type="dxa" w:w="100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Must</w:t>
            </w:r>
          </w:p>
        </w:tc>
        <w:tc>
          <w:tcPr>
            <w:tcW w:type="dxa" w:w="335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Protected workspace is inaccessible until change completes.</w:t>
            </w:r>
          </w:p>
        </w:tc>
      </w:tr>
      <w:tr>
        <w:trPr>
          <w:cantSplit/>
        </w:trPr>
        <w:tc>
          <w:tcPr>
            <w:tcW w:type="dxa" w:w="850"/>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INV-007</w:t>
            </w:r>
          </w:p>
        </w:tc>
        <w:tc>
          <w:tcPr>
            <w:tcW w:type="dxa" w:w="416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Require secure school evidence for parent-child linking.</w:t>
            </w:r>
          </w:p>
        </w:tc>
        <w:tc>
          <w:tcPr>
            <w:tcW w:type="dxa" w:w="100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Must</w:t>
            </w:r>
          </w:p>
        </w:tc>
        <w:tc>
          <w:tcPr>
            <w:tcW w:type="dxa" w:w="335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Name search alone cannot establish a relationship.</w:t>
            </w:r>
          </w:p>
        </w:tc>
      </w:tr>
    </w:tbl>
    <w:p>
      <w:pPr>
        <w:spacing w:after="40"/>
      </w:pPr>
    </w:p>
    <w:p>
      <w:pPr>
        <w:pStyle w:val="Heading2"/>
      </w:pPr>
      <w:r>
        <w:t>15.6 Personal workspaces and membership switching</w:t>
      </w:r>
    </w:p>
    <w:tbl>
      <w:tblPr>
        <w:tblStyle w:val="TableGrid"/>
        <w:tblW w:type="dxa" w:w="9360"/>
        <w:jc w:val="left"/>
        <w:tblLayout w:type="fixed"/>
        <w:tblLook w:firstColumn="1" w:firstRow="1" w:lastColumn="0" w:lastRow="0" w:noHBand="0" w:noVBand="1" w:val="04A0"/>
        <w:tblInd w:w="120" w:type="dxa"/>
      </w:tblPr>
      <w:tblGrid>
        <w:gridCol w:w="850"/>
        <w:gridCol w:w="4160"/>
        <w:gridCol w:w="1000"/>
        <w:gridCol w:w="3350"/>
      </w:tblGrid>
      <w:tr>
        <w:trPr>
          <w:tblHeader w:val="true"/>
          <w:cantSplit/>
        </w:trPr>
        <w:tc>
          <w:tcPr>
            <w:tcW w:type="dxa" w:w="850"/>
            <w:shd w:fill="312E81"/>
            <w:tcMar>
              <w:top w:w="90" w:type="dxa"/>
              <w:start w:w="120" w:type="dxa"/>
              <w:bottom w:w="90" w:type="dxa"/>
              <w:end w:w="120" w:type="dxa"/>
            </w:tcMar>
            <w:vAlign w:val="center"/>
          </w:tcPr>
          <w:p>
            <w:pPr>
              <w:keepNext/>
              <w:spacing w:before="0" w:after="0" w:line="259" w:lineRule="auto"/>
              <w:jc w:val="center"/>
            </w:pPr>
            <w:r/>
            <w:r>
              <w:rPr>
                <w:rFonts w:ascii="Calibri" w:hAnsi="Calibri"/>
                <w:b/>
                <w:color w:val="FFFFFF"/>
                <w:sz w:val="18"/>
              </w:rPr>
              <w:t>ID</w:t>
            </w:r>
          </w:p>
        </w:tc>
        <w:tc>
          <w:tcPr>
            <w:tcW w:type="dxa" w:w="4160"/>
            <w:shd w:fill="312E81"/>
            <w:tcMar>
              <w:top w:w="90" w:type="dxa"/>
              <w:start w:w="120" w:type="dxa"/>
              <w:bottom w:w="90" w:type="dxa"/>
              <w:end w:w="120" w:type="dxa"/>
            </w:tcMar>
            <w:vAlign w:val="center"/>
          </w:tcPr>
          <w:p>
            <w:pPr>
              <w:keepNext/>
              <w:spacing w:before="0" w:after="0" w:line="259" w:lineRule="auto"/>
              <w:jc w:val="center"/>
            </w:pPr>
            <w:r/>
            <w:r>
              <w:rPr>
                <w:rFonts w:ascii="Calibri" w:hAnsi="Calibri"/>
                <w:b/>
                <w:color w:val="FFFFFF"/>
                <w:sz w:val="18"/>
              </w:rPr>
              <w:t>Requirement</w:t>
            </w:r>
          </w:p>
        </w:tc>
        <w:tc>
          <w:tcPr>
            <w:tcW w:type="dxa" w:w="1000"/>
            <w:shd w:fill="312E81"/>
            <w:tcMar>
              <w:top w:w="90" w:type="dxa"/>
              <w:start w:w="120" w:type="dxa"/>
              <w:bottom w:w="90" w:type="dxa"/>
              <w:end w:w="120" w:type="dxa"/>
            </w:tcMar>
            <w:vAlign w:val="center"/>
          </w:tcPr>
          <w:p>
            <w:pPr>
              <w:keepNext/>
              <w:spacing w:before="0" w:after="0" w:line="259" w:lineRule="auto"/>
              <w:jc w:val="center"/>
            </w:pPr>
            <w:r/>
            <w:r>
              <w:rPr>
                <w:rFonts w:ascii="Calibri" w:hAnsi="Calibri"/>
                <w:b/>
                <w:color w:val="FFFFFF"/>
                <w:sz w:val="18"/>
              </w:rPr>
              <w:t>Priority</w:t>
            </w:r>
          </w:p>
        </w:tc>
        <w:tc>
          <w:tcPr>
            <w:tcW w:type="dxa" w:w="3350"/>
            <w:shd w:fill="312E81"/>
            <w:tcMar>
              <w:top w:w="90" w:type="dxa"/>
              <w:start w:w="120" w:type="dxa"/>
              <w:bottom w:w="90" w:type="dxa"/>
              <w:end w:w="120" w:type="dxa"/>
            </w:tcMar>
            <w:vAlign w:val="center"/>
          </w:tcPr>
          <w:p>
            <w:pPr>
              <w:keepNext/>
              <w:spacing w:before="0" w:after="0" w:line="259" w:lineRule="auto"/>
              <w:jc w:val="left"/>
            </w:pPr>
            <w:r/>
            <w:r>
              <w:rPr>
                <w:rFonts w:ascii="Calibri" w:hAnsi="Calibri"/>
                <w:b/>
                <w:color w:val="FFFFFF"/>
                <w:sz w:val="18"/>
              </w:rPr>
              <w:t>Acceptance summary</w:t>
            </w:r>
          </w:p>
        </w:tc>
      </w:tr>
      <w:tr>
        <w:trPr>
          <w:cantSplit/>
        </w:trPr>
        <w:tc>
          <w:tcPr>
            <w:tcW w:type="dxa" w:w="850"/>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PER-001</w:t>
            </w:r>
          </w:p>
        </w:tc>
        <w:tc>
          <w:tcPr>
            <w:tcW w:type="dxa" w:w="416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Create Teacher, Student or Parent personal workspaces independently of a tenant.</w:t>
            </w:r>
          </w:p>
        </w:tc>
        <w:tc>
          <w:tcPr>
            <w:tcW w:type="dxa" w:w="100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Must</w:t>
            </w:r>
          </w:p>
        </w:tc>
        <w:tc>
          <w:tcPr>
            <w:tcW w:type="dxa" w:w="335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Personal workspace opens without school membership.</w:t>
            </w:r>
          </w:p>
        </w:tc>
      </w:tr>
      <w:tr>
        <w:trPr>
          <w:cantSplit/>
        </w:trPr>
        <w:tc>
          <w:tcPr>
            <w:tcW w:type="dxa" w:w="850"/>
            <w:shd w:fill="F8F7FC"/>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PER-002</w:t>
            </w:r>
          </w:p>
        </w:tc>
        <w:tc>
          <w:tcPr>
            <w:tcW w:type="dxa" w:w="416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Collect role-specific profiles progressively.</w:t>
            </w:r>
          </w:p>
        </w:tc>
        <w:tc>
          <w:tcPr>
            <w:tcW w:type="dxa" w:w="100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Must</w:t>
            </w:r>
          </w:p>
        </w:tc>
        <w:tc>
          <w:tcPr>
            <w:tcW w:type="dxa" w:w="335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Initial registration does not require the complete profile.</w:t>
            </w:r>
          </w:p>
        </w:tc>
      </w:tr>
      <w:tr>
        <w:trPr>
          <w:cantSplit/>
        </w:trPr>
        <w:tc>
          <w:tcPr>
            <w:tcW w:type="dxa" w:w="850"/>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PER-003</w:t>
            </w:r>
          </w:p>
        </w:tc>
        <w:tc>
          <w:tcPr>
            <w:tcW w:type="dxa" w:w="416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Support joining a school from an existing account.</w:t>
            </w:r>
          </w:p>
        </w:tc>
        <w:tc>
          <w:tcPr>
            <w:tcW w:type="dxa" w:w="100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Must</w:t>
            </w:r>
          </w:p>
        </w:tc>
        <w:tc>
          <w:tcPr>
            <w:tcW w:type="dxa" w:w="335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Invitation attaches a membership without duplicating identity.</w:t>
            </w:r>
          </w:p>
        </w:tc>
      </w:tr>
      <w:tr>
        <w:trPr>
          <w:cantSplit/>
        </w:trPr>
        <w:tc>
          <w:tcPr>
            <w:tcW w:type="dxa" w:w="850"/>
            <w:shd w:fill="F8F7FC"/>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PER-004</w:t>
            </w:r>
          </w:p>
        </w:tc>
        <w:tc>
          <w:tcPr>
            <w:tcW w:type="dxa" w:w="416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Provide a clear workspace switcher.</w:t>
            </w:r>
          </w:p>
        </w:tc>
        <w:tc>
          <w:tcPr>
            <w:tcW w:type="dxa" w:w="100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Must</w:t>
            </w:r>
          </w:p>
        </w:tc>
        <w:tc>
          <w:tcPr>
            <w:tcW w:type="dxa" w:w="335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Header displays personal or school name and allows permitted switching.</w:t>
            </w:r>
          </w:p>
        </w:tc>
      </w:tr>
      <w:tr>
        <w:trPr>
          <w:cantSplit/>
        </w:trPr>
        <w:tc>
          <w:tcPr>
            <w:tcW w:type="dxa" w:w="850"/>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PER-005</w:t>
            </w:r>
          </w:p>
        </w:tc>
        <w:tc>
          <w:tcPr>
            <w:tcW w:type="dxa" w:w="416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Separate personal content from school-owned records.</w:t>
            </w:r>
          </w:p>
        </w:tc>
        <w:tc>
          <w:tcPr>
            <w:tcW w:type="dxa" w:w="100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Must</w:t>
            </w:r>
          </w:p>
        </w:tc>
        <w:tc>
          <w:tcPr>
            <w:tcW w:type="dxa" w:w="335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Removing membership does not delete personal content or leak school data.</w:t>
            </w:r>
          </w:p>
        </w:tc>
      </w:tr>
      <w:tr>
        <w:trPr>
          <w:cantSplit/>
        </w:trPr>
        <w:tc>
          <w:tcPr>
            <w:tcW w:type="dxa" w:w="850"/>
            <w:shd w:fill="F8F7FC"/>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PER-006</w:t>
            </w:r>
          </w:p>
        </w:tc>
        <w:tc>
          <w:tcPr>
            <w:tcW w:type="dxa" w:w="416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Support guardian access to multiple authorised children.</w:t>
            </w:r>
          </w:p>
        </w:tc>
        <w:tc>
          <w:tcPr>
            <w:tcW w:type="dxa" w:w="100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Must</w:t>
            </w:r>
          </w:p>
        </w:tc>
        <w:tc>
          <w:tcPr>
            <w:tcW w:type="dxa" w:w="335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Parent switches children without creating another account.</w:t>
            </w:r>
          </w:p>
        </w:tc>
      </w:tr>
      <w:tr>
        <w:trPr>
          <w:cantSplit/>
        </w:trPr>
        <w:tc>
          <w:tcPr>
            <w:tcW w:type="dxa" w:w="850"/>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PER-007</w:t>
            </w:r>
          </w:p>
        </w:tc>
        <w:tc>
          <w:tcPr>
            <w:tcW w:type="dxa" w:w="416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Apply age and consent controls to student self-registration.</w:t>
            </w:r>
          </w:p>
        </w:tc>
        <w:tc>
          <w:tcPr>
            <w:tcW w:type="dxa" w:w="100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Must</w:t>
            </w:r>
          </w:p>
        </w:tc>
        <w:tc>
          <w:tcPr>
            <w:tcW w:type="dxa" w:w="335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Ineligible student flow requires parent/school approval.</w:t>
            </w:r>
          </w:p>
        </w:tc>
      </w:tr>
    </w:tbl>
    <w:p>
      <w:pPr>
        <w:spacing w:after="40"/>
      </w:pPr>
    </w:p>
    <w:p>
      <w:pPr>
        <w:pStyle w:val="Heading2"/>
      </w:pPr>
      <w:r>
        <w:t>15.7 Entitlements and subscriptions</w:t>
      </w:r>
    </w:p>
    <w:tbl>
      <w:tblPr>
        <w:tblStyle w:val="TableGrid"/>
        <w:tblW w:type="dxa" w:w="9360"/>
        <w:jc w:val="left"/>
        <w:tblLayout w:type="fixed"/>
        <w:tblLook w:firstColumn="1" w:firstRow="1" w:lastColumn="0" w:lastRow="0" w:noHBand="0" w:noVBand="1" w:val="04A0"/>
        <w:tblInd w:w="120" w:type="dxa"/>
      </w:tblPr>
      <w:tblGrid>
        <w:gridCol w:w="850"/>
        <w:gridCol w:w="4160"/>
        <w:gridCol w:w="1000"/>
        <w:gridCol w:w="3350"/>
      </w:tblGrid>
      <w:tr>
        <w:trPr>
          <w:tblHeader w:val="true"/>
          <w:cantSplit/>
        </w:trPr>
        <w:tc>
          <w:tcPr>
            <w:tcW w:type="dxa" w:w="850"/>
            <w:shd w:fill="312E81"/>
            <w:tcMar>
              <w:top w:w="90" w:type="dxa"/>
              <w:start w:w="120" w:type="dxa"/>
              <w:bottom w:w="90" w:type="dxa"/>
              <w:end w:w="120" w:type="dxa"/>
            </w:tcMar>
            <w:vAlign w:val="center"/>
          </w:tcPr>
          <w:p>
            <w:pPr>
              <w:keepNext/>
              <w:spacing w:before="0" w:after="0" w:line="259" w:lineRule="auto"/>
              <w:jc w:val="center"/>
            </w:pPr>
            <w:r/>
            <w:r>
              <w:rPr>
                <w:rFonts w:ascii="Calibri" w:hAnsi="Calibri"/>
                <w:b/>
                <w:color w:val="FFFFFF"/>
                <w:sz w:val="18"/>
              </w:rPr>
              <w:t>ID</w:t>
            </w:r>
          </w:p>
        </w:tc>
        <w:tc>
          <w:tcPr>
            <w:tcW w:type="dxa" w:w="4160"/>
            <w:shd w:fill="312E81"/>
            <w:tcMar>
              <w:top w:w="90" w:type="dxa"/>
              <w:start w:w="120" w:type="dxa"/>
              <w:bottom w:w="90" w:type="dxa"/>
              <w:end w:w="120" w:type="dxa"/>
            </w:tcMar>
            <w:vAlign w:val="center"/>
          </w:tcPr>
          <w:p>
            <w:pPr>
              <w:keepNext/>
              <w:spacing w:before="0" w:after="0" w:line="259" w:lineRule="auto"/>
              <w:jc w:val="center"/>
            </w:pPr>
            <w:r/>
            <w:r>
              <w:rPr>
                <w:rFonts w:ascii="Calibri" w:hAnsi="Calibri"/>
                <w:b/>
                <w:color w:val="FFFFFF"/>
                <w:sz w:val="18"/>
              </w:rPr>
              <w:t>Requirement</w:t>
            </w:r>
          </w:p>
        </w:tc>
        <w:tc>
          <w:tcPr>
            <w:tcW w:type="dxa" w:w="1000"/>
            <w:shd w:fill="312E81"/>
            <w:tcMar>
              <w:top w:w="90" w:type="dxa"/>
              <w:start w:w="120" w:type="dxa"/>
              <w:bottom w:w="90" w:type="dxa"/>
              <w:end w:w="120" w:type="dxa"/>
            </w:tcMar>
            <w:vAlign w:val="center"/>
          </w:tcPr>
          <w:p>
            <w:pPr>
              <w:keepNext/>
              <w:spacing w:before="0" w:after="0" w:line="259" w:lineRule="auto"/>
              <w:jc w:val="center"/>
            </w:pPr>
            <w:r/>
            <w:r>
              <w:rPr>
                <w:rFonts w:ascii="Calibri" w:hAnsi="Calibri"/>
                <w:b/>
                <w:color w:val="FFFFFF"/>
                <w:sz w:val="18"/>
              </w:rPr>
              <w:t>Priority</w:t>
            </w:r>
          </w:p>
        </w:tc>
        <w:tc>
          <w:tcPr>
            <w:tcW w:type="dxa" w:w="3350"/>
            <w:shd w:fill="312E81"/>
            <w:tcMar>
              <w:top w:w="90" w:type="dxa"/>
              <w:start w:w="120" w:type="dxa"/>
              <w:bottom w:w="90" w:type="dxa"/>
              <w:end w:w="120" w:type="dxa"/>
            </w:tcMar>
            <w:vAlign w:val="center"/>
          </w:tcPr>
          <w:p>
            <w:pPr>
              <w:keepNext/>
              <w:spacing w:before="0" w:after="0" w:line="259" w:lineRule="auto"/>
              <w:jc w:val="left"/>
            </w:pPr>
            <w:r/>
            <w:r>
              <w:rPr>
                <w:rFonts w:ascii="Calibri" w:hAnsi="Calibri"/>
                <w:b/>
                <w:color w:val="FFFFFF"/>
                <w:sz w:val="18"/>
              </w:rPr>
              <w:t>Acceptance summary</w:t>
            </w:r>
          </w:p>
        </w:tc>
      </w:tr>
      <w:tr>
        <w:trPr>
          <w:cantSplit/>
        </w:trPr>
        <w:tc>
          <w:tcPr>
            <w:tcW w:type="dxa" w:w="850"/>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ENT-001</w:t>
            </w:r>
          </w:p>
        </w:tc>
        <w:tc>
          <w:tcPr>
            <w:tcW w:type="dxa" w:w="416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Define plan entitlements as server-side capabilities and limits.</w:t>
            </w:r>
          </w:p>
        </w:tc>
        <w:tc>
          <w:tcPr>
            <w:tcW w:type="dxa" w:w="100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Must</w:t>
            </w:r>
          </w:p>
        </w:tc>
        <w:tc>
          <w:tcPr>
            <w:tcW w:type="dxa" w:w="335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API rejects over-limit actions consistently across clients.</w:t>
            </w:r>
          </w:p>
        </w:tc>
      </w:tr>
      <w:tr>
        <w:trPr>
          <w:cantSplit/>
        </w:trPr>
        <w:tc>
          <w:tcPr>
            <w:tcW w:type="dxa" w:w="850"/>
            <w:shd w:fill="F8F7FC"/>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ENT-002</w:t>
            </w:r>
          </w:p>
        </w:tc>
        <w:tc>
          <w:tcPr>
            <w:tcW w:type="dxa" w:w="416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Provide usage visibility before a user reaches a limit.</w:t>
            </w:r>
          </w:p>
        </w:tc>
        <w:tc>
          <w:tcPr>
            <w:tcW w:type="dxa" w:w="100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Must</w:t>
            </w:r>
          </w:p>
        </w:tc>
        <w:tc>
          <w:tcPr>
            <w:tcW w:type="dxa" w:w="335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Dashboard shows allowance, remaining use and renewal date.</w:t>
            </w:r>
          </w:p>
        </w:tc>
      </w:tr>
      <w:tr>
        <w:trPr>
          <w:cantSplit/>
        </w:trPr>
        <w:tc>
          <w:tcPr>
            <w:tcW w:type="dxa" w:w="850"/>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ENT-003</w:t>
            </w:r>
          </w:p>
        </w:tc>
        <w:tc>
          <w:tcPr>
            <w:tcW w:type="dxa" w:w="416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Prevent double charging for school-sponsored access.</w:t>
            </w:r>
          </w:p>
        </w:tc>
        <w:tc>
          <w:tcPr>
            <w:tcW w:type="dxa" w:w="100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Must</w:t>
            </w:r>
          </w:p>
        </w:tc>
        <w:tc>
          <w:tcPr>
            <w:tcW w:type="dxa" w:w="335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School functions remain available to linked users under school entitlement.</w:t>
            </w:r>
          </w:p>
        </w:tc>
      </w:tr>
      <w:tr>
        <w:trPr>
          <w:cantSplit/>
        </w:trPr>
        <w:tc>
          <w:tcPr>
            <w:tcW w:type="dxa" w:w="850"/>
            <w:shd w:fill="F8F7FC"/>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ENT-004</w:t>
            </w:r>
          </w:p>
        </w:tc>
        <w:tc>
          <w:tcPr>
            <w:tcW w:type="dxa" w:w="416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Apply a grace and read/export policy on downgrade.</w:t>
            </w:r>
          </w:p>
        </w:tc>
        <w:tc>
          <w:tcPr>
            <w:tcW w:type="dxa" w:w="100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Must</w:t>
            </w:r>
          </w:p>
        </w:tc>
        <w:tc>
          <w:tcPr>
            <w:tcW w:type="dxa" w:w="335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Expired plans do not silently delete or corrupt data.</w:t>
            </w:r>
          </w:p>
        </w:tc>
      </w:tr>
      <w:tr>
        <w:trPr>
          <w:cantSplit/>
        </w:trPr>
        <w:tc>
          <w:tcPr>
            <w:tcW w:type="dxa" w:w="850"/>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ENT-005</w:t>
            </w:r>
          </w:p>
        </w:tc>
        <w:tc>
          <w:tcPr>
            <w:tcW w:type="dxa" w:w="416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Meter variable-cost AI and messaging services.</w:t>
            </w:r>
          </w:p>
        </w:tc>
        <w:tc>
          <w:tcPr>
            <w:tcW w:type="dxa" w:w="100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Must</w:t>
            </w:r>
          </w:p>
        </w:tc>
        <w:tc>
          <w:tcPr>
            <w:tcW w:type="dxa" w:w="335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Usage ledger is auditable and idempotent.</w:t>
            </w:r>
          </w:p>
        </w:tc>
      </w:tr>
      <w:tr>
        <w:trPr>
          <w:cantSplit/>
        </w:trPr>
        <w:tc>
          <w:tcPr>
            <w:tcW w:type="dxa" w:w="850"/>
            <w:shd w:fill="F8F7FC"/>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ENT-006</w:t>
            </w:r>
          </w:p>
        </w:tc>
        <w:tc>
          <w:tcPr>
            <w:tcW w:type="dxa" w:w="416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Allow Platform Admin to configure plans without hardcoding UI rules.</w:t>
            </w:r>
          </w:p>
        </w:tc>
        <w:tc>
          <w:tcPr>
            <w:tcW w:type="dxa" w:w="100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Should</w:t>
            </w:r>
          </w:p>
        </w:tc>
        <w:tc>
          <w:tcPr>
            <w:tcW w:type="dxa" w:w="335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Plan changes propagate from configuration with audit history.</w:t>
            </w:r>
          </w:p>
        </w:tc>
      </w:tr>
    </w:tbl>
    <w:p>
      <w:pPr>
        <w:spacing w:after="40"/>
      </w:pPr>
    </w:p>
    <w:p>
      <w:pPr>
        <w:pStyle w:val="Heading1"/>
      </w:pPr>
      <w:r>
        <w:t>16. User Stories and Acceptance Criteria</w:t>
      </w:r>
    </w:p>
    <w:tbl>
      <w:tblPr>
        <w:tblStyle w:val="TableGrid"/>
        <w:tblW w:type="dxa" w:w="9360"/>
        <w:jc w:val="left"/>
        <w:tblLayout w:type="fixed"/>
        <w:tblLook w:firstColumn="1" w:firstRow="1" w:lastColumn="0" w:lastRow="0" w:noHBand="0" w:noVBand="1" w:val="04A0"/>
        <w:tblInd w:w="120" w:type="dxa"/>
      </w:tblPr>
      <w:tblGrid>
        <w:gridCol w:w="950"/>
        <w:gridCol w:w="5300"/>
        <w:gridCol w:w="3110"/>
      </w:tblGrid>
      <w:tr>
        <w:trPr>
          <w:tblHeader w:val="true"/>
          <w:cantSplit/>
        </w:trPr>
        <w:tc>
          <w:tcPr>
            <w:tcW w:type="dxa" w:w="950"/>
            <w:shd w:fill="312E81"/>
            <w:tcMar>
              <w:top w:w="90" w:type="dxa"/>
              <w:start w:w="120" w:type="dxa"/>
              <w:bottom w:w="90" w:type="dxa"/>
              <w:end w:w="120" w:type="dxa"/>
            </w:tcMar>
            <w:vAlign w:val="center"/>
          </w:tcPr>
          <w:p>
            <w:pPr>
              <w:spacing w:before="0" w:after="0" w:line="259" w:lineRule="auto"/>
              <w:jc w:val="center"/>
            </w:pPr>
            <w:r/>
            <w:r>
              <w:rPr>
                <w:rFonts w:ascii="Calibri" w:hAnsi="Calibri"/>
                <w:b/>
                <w:color w:val="FFFFFF"/>
                <w:sz w:val="18"/>
              </w:rPr>
              <w:t>ID</w:t>
            </w:r>
          </w:p>
        </w:tc>
        <w:tc>
          <w:tcPr>
            <w:tcW w:type="dxa" w:w="5300"/>
            <w:shd w:fill="312E81"/>
            <w:tcMar>
              <w:top w:w="90" w:type="dxa"/>
              <w:start w:w="120" w:type="dxa"/>
              <w:bottom w:w="90" w:type="dxa"/>
              <w:end w:w="120" w:type="dxa"/>
            </w:tcMar>
            <w:vAlign w:val="center"/>
          </w:tcPr>
          <w:p>
            <w:pPr>
              <w:spacing w:before="0" w:after="0" w:line="259" w:lineRule="auto"/>
              <w:jc w:val="center"/>
            </w:pPr>
            <w:r/>
            <w:r>
              <w:rPr>
                <w:rFonts w:ascii="Calibri" w:hAnsi="Calibri"/>
                <w:b/>
                <w:color w:val="FFFFFF"/>
                <w:sz w:val="18"/>
              </w:rPr>
              <w:t>User story</w:t>
            </w:r>
          </w:p>
        </w:tc>
        <w:tc>
          <w:tcPr>
            <w:tcW w:type="dxa" w:w="3110"/>
            <w:shd w:fill="312E81"/>
            <w:tcMar>
              <w:top w:w="90" w:type="dxa"/>
              <w:start w:w="120" w:type="dxa"/>
              <w:bottom w:w="90" w:type="dxa"/>
              <w:end w:w="120" w:type="dxa"/>
            </w:tcMar>
            <w:vAlign w:val="center"/>
          </w:tcPr>
          <w:p>
            <w:pPr>
              <w:spacing w:before="0" w:after="0" w:line="259" w:lineRule="auto"/>
              <w:jc w:val="left"/>
            </w:pPr>
            <w:r/>
            <w:r>
              <w:rPr>
                <w:rFonts w:ascii="Calibri" w:hAnsi="Calibri"/>
                <w:b/>
                <w:color w:val="FFFFFF"/>
                <w:sz w:val="18"/>
              </w:rPr>
              <w:t>Acceptance criterion</w:t>
            </w:r>
          </w:p>
        </w:tc>
      </w:tr>
      <w:tr>
        <w:trPr>
          <w:cantSplit/>
        </w:trPr>
        <w:tc>
          <w:tcPr>
            <w:tcW w:type="dxa" w:w="950"/>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US-01</w:t>
            </w:r>
          </w:p>
        </w:tc>
        <w:tc>
          <w:tcPr>
            <w:tcW w:type="dxa" w:w="530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As a proprietor, I want to register my school with only essential details so that I can reach setup quickly.</w:t>
            </w:r>
          </w:p>
        </w:tc>
        <w:tc>
          <w:tcPr>
            <w:tcW w:type="dxa" w:w="311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Verified contact creates an isolated draft tenant and opens Branding Studio.</w:t>
            </w:r>
          </w:p>
        </w:tc>
      </w:tr>
      <w:tr>
        <w:trPr>
          <w:cantSplit/>
        </w:trPr>
        <w:tc>
          <w:tcPr>
            <w:tcW w:type="dxa" w:w="950"/>
            <w:shd w:fill="F8F7FC"/>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US-02</w:t>
            </w:r>
          </w:p>
        </w:tc>
        <w:tc>
          <w:tcPr>
            <w:tcW w:type="dxa" w:w="530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As an administrator, I want to preview school branding before publishing so that mistakes do not reach users.</w:t>
            </w:r>
          </w:p>
        </w:tc>
        <w:tc>
          <w:tcPr>
            <w:tcW w:type="dxa" w:w="311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Draft previews do not affect the live tenant until Publish succeeds.</w:t>
            </w:r>
          </w:p>
        </w:tc>
      </w:tr>
      <w:tr>
        <w:trPr>
          <w:cantSplit/>
        </w:trPr>
        <w:tc>
          <w:tcPr>
            <w:tcW w:type="dxa" w:w="950"/>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US-03</w:t>
            </w:r>
          </w:p>
        </w:tc>
        <w:tc>
          <w:tcPr>
            <w:tcW w:type="dxa" w:w="530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As a school user, I want to see my school's identity before login so that I know I am in the correct environment.</w:t>
            </w:r>
          </w:p>
        </w:tc>
        <w:tc>
          <w:tcPr>
            <w:tcW w:type="dxa" w:w="311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Published logo, name and colours load from the tenant URL before auth.</w:t>
            </w:r>
          </w:p>
        </w:tc>
      </w:tr>
      <w:tr>
        <w:trPr>
          <w:cantSplit/>
        </w:trPr>
        <w:tc>
          <w:tcPr>
            <w:tcW w:type="dxa" w:w="950"/>
            <w:shd w:fill="F8F7FC"/>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US-04</w:t>
            </w:r>
          </w:p>
        </w:tc>
        <w:tc>
          <w:tcPr>
            <w:tcW w:type="dxa" w:w="530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As a returning user, I want to skip animation so that login remains fast.</w:t>
            </w:r>
          </w:p>
        </w:tc>
        <w:tc>
          <w:tcPr>
            <w:tcW w:type="dxa" w:w="311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Click, tap or keyboard action immediately reveals an accessible login form.</w:t>
            </w:r>
          </w:p>
        </w:tc>
      </w:tr>
      <w:tr>
        <w:trPr>
          <w:cantSplit/>
        </w:trPr>
        <w:tc>
          <w:tcPr>
            <w:tcW w:type="dxa" w:w="950"/>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US-05</w:t>
            </w:r>
          </w:p>
        </w:tc>
        <w:tc>
          <w:tcPr>
            <w:tcW w:type="dxa" w:w="530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As an administrator, I want to invite many users safely so that onboarding does not require manual account creation.</w:t>
            </w:r>
          </w:p>
        </w:tc>
        <w:tc>
          <w:tcPr>
            <w:tcW w:type="dxa" w:w="311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Validated bulk import and secure invitation status are available.</w:t>
            </w:r>
          </w:p>
        </w:tc>
      </w:tr>
      <w:tr>
        <w:trPr>
          <w:cantSplit/>
        </w:trPr>
        <w:tc>
          <w:tcPr>
            <w:tcW w:type="dxa" w:w="950"/>
            <w:shd w:fill="F8F7FC"/>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US-06</w:t>
            </w:r>
          </w:p>
        </w:tc>
        <w:tc>
          <w:tcPr>
            <w:tcW w:type="dxa" w:w="530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As a teacher, I want one account for my personal tools and school work so that I do not manage duplicate logins.</w:t>
            </w:r>
          </w:p>
        </w:tc>
        <w:tc>
          <w:tcPr>
            <w:tcW w:type="dxa" w:w="311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Accepted school invitation adds a membership to the existing account.</w:t>
            </w:r>
          </w:p>
        </w:tc>
      </w:tr>
      <w:tr>
        <w:trPr>
          <w:cantSplit/>
        </w:trPr>
        <w:tc>
          <w:tcPr>
            <w:tcW w:type="dxa" w:w="950"/>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US-07</w:t>
            </w:r>
          </w:p>
        </w:tc>
        <w:tc>
          <w:tcPr>
            <w:tcW w:type="dxa" w:w="530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As a young student, I want to sign in without an email address so that I can use the school portal.</w:t>
            </w:r>
          </w:p>
        </w:tc>
        <w:tc>
          <w:tcPr>
            <w:tcW w:type="dxa" w:w="311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Tenant username and forced temporary-password change succeed.</w:t>
            </w:r>
          </w:p>
        </w:tc>
      </w:tr>
      <w:tr>
        <w:trPr>
          <w:cantSplit/>
        </w:trPr>
        <w:tc>
          <w:tcPr>
            <w:tcW w:type="dxa" w:w="950"/>
            <w:shd w:fill="F8F7FC"/>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US-08</w:t>
            </w:r>
          </w:p>
        </w:tc>
        <w:tc>
          <w:tcPr>
            <w:tcW w:type="dxa" w:w="530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As a parent, I want one account for several children so that I can monitor my family in one place.</w:t>
            </w:r>
          </w:p>
        </w:tc>
        <w:tc>
          <w:tcPr>
            <w:tcW w:type="dxa" w:w="311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Only authorised children appear in the child switcher.</w:t>
            </w:r>
          </w:p>
        </w:tc>
      </w:tr>
      <w:tr>
        <w:trPr>
          <w:cantSplit/>
        </w:trPr>
        <w:tc>
          <w:tcPr>
            <w:tcW w:type="dxa" w:w="950"/>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US-09</w:t>
            </w:r>
          </w:p>
        </w:tc>
        <w:tc>
          <w:tcPr>
            <w:tcW w:type="dxa" w:w="530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As a user with several workspaces, I want to see my current context so that I do not act in the wrong school.</w:t>
            </w:r>
          </w:p>
        </w:tc>
        <w:tc>
          <w:tcPr>
            <w:tcW w:type="dxa" w:w="311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Persistent workspace label and switcher are visible after login.</w:t>
            </w:r>
          </w:p>
        </w:tc>
      </w:tr>
      <w:tr>
        <w:trPr>
          <w:cantSplit/>
        </w:trPr>
        <w:tc>
          <w:tcPr>
            <w:tcW w:type="dxa" w:w="950"/>
            <w:shd w:fill="F8F7FC"/>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US-10</w:t>
            </w:r>
          </w:p>
        </w:tc>
        <w:tc>
          <w:tcPr>
            <w:tcW w:type="dxa" w:w="530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As a free user, I want recurring useful tools so that Skuggle remains valuable before I pay.</w:t>
            </w:r>
          </w:p>
        </w:tc>
        <w:tc>
          <w:tcPr>
            <w:tcW w:type="dxa" w:w="311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Published free allowances enable meaningful monthly/weekly use.</w:t>
            </w:r>
          </w:p>
        </w:tc>
      </w:tr>
      <w:tr>
        <w:trPr>
          <w:cantSplit/>
        </w:trPr>
        <w:tc>
          <w:tcPr>
            <w:tcW w:type="dxa" w:w="950"/>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US-11</w:t>
            </w:r>
          </w:p>
        </w:tc>
        <w:tc>
          <w:tcPr>
            <w:tcW w:type="dxa" w:w="530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As a school subscriber, I want staff, parents and students included so that adoption is not blocked by individual charges.</w:t>
            </w:r>
          </w:p>
        </w:tc>
        <w:tc>
          <w:tcPr>
            <w:tcW w:type="dxa" w:w="311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School-linked access is governed by the school's entitlement.</w:t>
            </w:r>
          </w:p>
        </w:tc>
      </w:tr>
      <w:tr>
        <w:trPr>
          <w:cantSplit/>
        </w:trPr>
        <w:tc>
          <w:tcPr>
            <w:tcW w:type="dxa" w:w="950"/>
            <w:shd w:fill="F8F7FC"/>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US-12</w:t>
            </w:r>
          </w:p>
        </w:tc>
        <w:tc>
          <w:tcPr>
            <w:tcW w:type="dxa" w:w="530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As a Platform Admin, I want auditable entitlement configuration so that plans can evolve safely.</w:t>
            </w:r>
          </w:p>
        </w:tc>
        <w:tc>
          <w:tcPr>
            <w:tcW w:type="dxa" w:w="311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Every entitlement change records actor, old value, new value and time.</w:t>
            </w:r>
          </w:p>
        </w:tc>
      </w:tr>
    </w:tbl>
    <w:p>
      <w:pPr>
        <w:spacing w:after="40"/>
      </w:pPr>
    </w:p>
    <w:p>
      <w:pPr>
        <w:pStyle w:val="Heading1"/>
      </w:pPr>
      <w:r>
        <w:t>17. UX and Accessibility Requirements</w:t>
      </w:r>
    </w:p>
    <w:p>
      <w:pPr>
        <w:pStyle w:val="Heading2"/>
      </w:pPr>
      <w:r>
        <w:t>17.1 Visual direction</w:t>
      </w:r>
    </w:p>
    <w:p>
      <w:pPr>
        <w:pStyle w:val="ListBullet"/>
        <w:spacing w:after="100" w:line="280" w:lineRule="auto"/>
        <w:ind w:left="720" w:hanging="360"/>
      </w:pPr>
      <w:r>
        <w:rPr>
          <w:rFonts w:ascii="Calibri" w:hAnsi="Calibri"/>
          <w:color w:val="172033"/>
          <w:sz w:val="21"/>
        </w:rPr>
        <w:t>Minimal, warm, premium and institutionally credible; no busy marketing layout inside tenant experiences.</w:t>
      </w:r>
    </w:p>
    <w:p>
      <w:pPr>
        <w:pStyle w:val="ListBullet"/>
        <w:spacing w:after="100" w:line="280" w:lineRule="auto"/>
        <w:ind w:left="720" w:hanging="360"/>
      </w:pPr>
      <w:r>
        <w:rPr>
          <w:rFonts w:ascii="Calibri" w:hAnsi="Calibri"/>
          <w:color w:val="172033"/>
          <w:sz w:val="21"/>
        </w:rPr>
        <w:t>Horizontal navigation on desktop; role-limited bottom navigation may be used on mobile.</w:t>
      </w:r>
    </w:p>
    <w:p>
      <w:pPr>
        <w:pStyle w:val="ListBullet"/>
        <w:spacing w:after="100" w:line="280" w:lineRule="auto"/>
        <w:ind w:left="720" w:hanging="360"/>
      </w:pPr>
      <w:r>
        <w:rPr>
          <w:rFonts w:ascii="Calibri" w:hAnsi="Calibri"/>
          <w:color w:val="172033"/>
          <w:sz w:val="21"/>
        </w:rPr>
        <w:t>School branding enriches the experience without overriding usability, accessibility or Skuggle safety controls.</w:t>
      </w:r>
    </w:p>
    <w:p>
      <w:pPr>
        <w:pStyle w:val="ListBullet"/>
        <w:spacing w:after="100" w:line="280" w:lineRule="auto"/>
        <w:ind w:left="720" w:hanging="360"/>
      </w:pPr>
      <w:r>
        <w:rPr>
          <w:rFonts w:ascii="Calibri" w:hAnsi="Calibri"/>
          <w:color w:val="172033"/>
          <w:sz w:val="21"/>
        </w:rPr>
        <w:t>Motion is purposeful, brief and interruptible; animations never delay access to an urgent task.</w:t>
      </w:r>
    </w:p>
    <w:p>
      <w:pPr>
        <w:pStyle w:val="ListBullet"/>
        <w:spacing w:after="100" w:line="280" w:lineRule="auto"/>
        <w:ind w:left="720" w:hanging="360"/>
      </w:pPr>
      <w:r>
        <w:rPr>
          <w:rFonts w:ascii="Calibri" w:hAnsi="Calibri"/>
          <w:color w:val="172033"/>
          <w:sz w:val="21"/>
        </w:rPr>
        <w:t>Forms use progressive sections, clear validation, autosave where safe and visible completion progress.</w:t>
      </w:r>
    </w:p>
    <w:p>
      <w:pPr>
        <w:pStyle w:val="Heading2"/>
      </w:pPr>
      <w:r>
        <w:t>17.2 Accessibility</w:t>
      </w:r>
    </w:p>
    <w:p>
      <w:pPr>
        <w:pStyle w:val="ListBullet"/>
        <w:spacing w:after="100" w:line="280" w:lineRule="auto"/>
        <w:ind w:left="720" w:hanging="360"/>
      </w:pPr>
      <w:r>
        <w:rPr>
          <w:rFonts w:ascii="Calibri" w:hAnsi="Calibri"/>
          <w:color w:val="172033"/>
          <w:sz w:val="21"/>
        </w:rPr>
        <w:t>Target WCAG 2.2 AA for public onboarding, tenant login and primary home experiences.</w:t>
      </w:r>
    </w:p>
    <w:p>
      <w:pPr>
        <w:pStyle w:val="ListBullet"/>
        <w:spacing w:after="100" w:line="280" w:lineRule="auto"/>
        <w:ind w:left="720" w:hanging="360"/>
      </w:pPr>
      <w:r>
        <w:rPr>
          <w:rFonts w:ascii="Calibri" w:hAnsi="Calibri"/>
          <w:color w:val="172033"/>
          <w:sz w:val="21"/>
        </w:rPr>
        <w:t>All controls are keyboard reachable with visible focus states.</w:t>
      </w:r>
    </w:p>
    <w:p>
      <w:pPr>
        <w:pStyle w:val="ListBullet"/>
        <w:spacing w:after="100" w:line="280" w:lineRule="auto"/>
        <w:ind w:left="720" w:hanging="360"/>
      </w:pPr>
      <w:r>
        <w:rPr>
          <w:rFonts w:ascii="Calibri" w:hAnsi="Calibri"/>
          <w:color w:val="172033"/>
          <w:sz w:val="21"/>
        </w:rPr>
        <w:t>Colour is not the sole carrier of status or meaning.</w:t>
      </w:r>
    </w:p>
    <w:p>
      <w:pPr>
        <w:pStyle w:val="ListBullet"/>
        <w:spacing w:after="100" w:line="280" w:lineRule="auto"/>
        <w:ind w:left="720" w:hanging="360"/>
      </w:pPr>
      <w:r>
        <w:rPr>
          <w:rFonts w:ascii="Calibri" w:hAnsi="Calibri"/>
          <w:color w:val="172033"/>
          <w:sz w:val="21"/>
        </w:rPr>
        <w:t>Logo and decorative imagery include correct alternative-text treatment.</w:t>
      </w:r>
    </w:p>
    <w:p>
      <w:pPr>
        <w:pStyle w:val="ListBullet"/>
        <w:spacing w:after="100" w:line="280" w:lineRule="auto"/>
        <w:ind w:left="720" w:hanging="360"/>
      </w:pPr>
      <w:r>
        <w:rPr>
          <w:rFonts w:ascii="Calibri" w:hAnsi="Calibri"/>
          <w:color w:val="172033"/>
          <w:sz w:val="21"/>
        </w:rPr>
        <w:t>Touch targets are at least 44 by 44 CSS pixels where practical.</w:t>
      </w:r>
    </w:p>
    <w:p>
      <w:pPr>
        <w:pStyle w:val="ListBullet"/>
        <w:spacing w:after="100" w:line="280" w:lineRule="auto"/>
        <w:ind w:left="720" w:hanging="360"/>
      </w:pPr>
      <w:r>
        <w:rPr>
          <w:rFonts w:ascii="Calibri" w:hAnsi="Calibri"/>
          <w:color w:val="172033"/>
          <w:sz w:val="21"/>
        </w:rPr>
        <w:t>Errors are announced to assistive technology and linked to the relevant field.</w:t>
      </w:r>
    </w:p>
    <w:p>
      <w:pPr>
        <w:pStyle w:val="ListBullet"/>
        <w:spacing w:after="100" w:line="280" w:lineRule="auto"/>
        <w:ind w:left="720" w:hanging="360"/>
      </w:pPr>
      <w:r>
        <w:rPr>
          <w:rFonts w:ascii="Calibri" w:hAnsi="Calibri"/>
          <w:color w:val="172033"/>
          <w:sz w:val="21"/>
        </w:rPr>
        <w:t>Reduced-motion and high-contrast needs are respected.</w:t>
      </w:r>
    </w:p>
    <w:p>
      <w:pPr>
        <w:pStyle w:val="Heading2"/>
      </w:pPr>
      <w:r>
        <w:t>17.3 Responsive baseline</w:t>
      </w:r>
    </w:p>
    <w:p>
      <w:pPr>
        <w:keepNext w:val="0"/>
        <w:spacing w:before="0" w:after="120" w:line="264" w:lineRule="auto"/>
        <w:jc w:val="left"/>
      </w:pPr>
      <w:r>
        <w:rPr>
          <w:rFonts w:ascii="Calibri" w:hAnsi="Calibri"/>
          <w:b w:val="0"/>
          <w:i w:val="0"/>
          <w:color w:val="172033"/>
          <w:sz w:val="22"/>
        </w:rPr>
        <w:t>Test at 360, 375, 390, 414, 768, 820, 1024, 1280, 1366, 1440 and 1920 pixels. No separate TV or device-specific page is required; responsive layouts govern supported screens.</w:t>
      </w:r>
    </w:p>
    <w:p>
      <w:pPr>
        <w:pStyle w:val="Heading1"/>
      </w:pPr>
      <w:r>
        <w:t>18. Data Model Additions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312E81"/>
            <w:tcMar>
              <w:top w:w="90" w:type="dxa"/>
              <w:start w:w="120" w:type="dxa"/>
              <w:bottom w:w="90" w:type="dxa"/>
              <w:end w:w="120" w:type="dxa"/>
            </w:tcMar>
            <w:vAlign w:val="center"/>
          </w:tcPr>
          <w:p>
            <w:pPr>
              <w:spacing w:before="0" w:after="0" w:line="259" w:lineRule="auto"/>
              <w:jc w:val="center"/>
            </w:pPr>
            <w:r/>
            <w:r>
              <w:rPr>
                <w:rFonts w:ascii="Calibri" w:hAnsi="Calibri"/>
                <w:b/>
                <w:color w:val="FFFFFF"/>
                <w:sz w:val="18"/>
              </w:rPr>
              <w:t>Entity</w:t>
            </w:r>
          </w:p>
        </w:tc>
        <w:tc>
          <w:tcPr>
            <w:tcW w:type="dxa" w:w="6660"/>
            <w:shd w:fill="312E81"/>
            <w:tcMar>
              <w:top w:w="90" w:type="dxa"/>
              <w:start w:w="120" w:type="dxa"/>
              <w:bottom w:w="90" w:type="dxa"/>
              <w:end w:w="120" w:type="dxa"/>
            </w:tcMar>
            <w:vAlign w:val="center"/>
          </w:tcPr>
          <w:p>
            <w:pPr>
              <w:spacing w:before="0" w:after="0" w:line="259" w:lineRule="auto"/>
              <w:jc w:val="center"/>
            </w:pPr>
            <w:r/>
            <w:r>
              <w:rPr>
                <w:rFonts w:ascii="Calibri" w:hAnsi="Calibri"/>
                <w:b/>
                <w:color w:val="FFFFFF"/>
                <w:sz w:val="18"/>
              </w:rPr>
              <w:t>Purpose</w:t>
            </w:r>
          </w:p>
        </w:tc>
      </w:tr>
      <w:tr>
        <w:trPr>
          <w:cantSplit/>
        </w:trPr>
        <w:tc>
          <w:tcPr>
            <w:tcW w:type="dxa" w:w="2700"/>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user_accounts</w:t>
            </w:r>
          </w:p>
        </w:tc>
        <w:tc>
          <w:tcPr>
            <w:tcW w:type="dxa" w:w="666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Global identity, authentication state and verified identifiers</w:t>
            </w:r>
          </w:p>
        </w:tc>
      </w:tr>
      <w:tr>
        <w:trPr>
          <w:cantSplit/>
        </w:trPr>
        <w:tc>
          <w:tcPr>
            <w:tcW w:type="dxa" w:w="2700"/>
            <w:shd w:fill="F8F7FC"/>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user_profiles</w:t>
            </w:r>
          </w:p>
        </w:tc>
        <w:tc>
          <w:tcPr>
            <w:tcW w:type="dxa" w:w="666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Progressive person-level profile fields</w:t>
            </w:r>
          </w:p>
        </w:tc>
      </w:tr>
      <w:tr>
        <w:trPr>
          <w:cantSplit/>
        </w:trPr>
        <w:tc>
          <w:tcPr>
            <w:tcW w:type="dxa" w:w="270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personal_workspaces</w:t>
            </w:r>
          </w:p>
        </w:tc>
        <w:tc>
          <w:tcPr>
            <w:tcW w:type="dxa" w:w="666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Teacher, Student or Parent personal ownership context</w:t>
            </w:r>
          </w:p>
        </w:tc>
      </w:tr>
      <w:tr>
        <w:trPr>
          <w:cantSplit/>
        </w:trPr>
        <w:tc>
          <w:tcPr>
            <w:tcW w:type="dxa" w:w="270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tenant_memberships</w:t>
            </w:r>
          </w:p>
        </w:tc>
        <w:tc>
          <w:tcPr>
            <w:tcW w:type="dxa" w:w="666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Tenant, campus, user, role, status and validity</w:t>
            </w:r>
          </w:p>
        </w:tc>
      </w:tr>
      <w:tr>
        <w:trPr>
          <w:cantSplit/>
        </w:trPr>
        <w:tc>
          <w:tcPr>
            <w:tcW w:type="dxa" w:w="270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tenant_branding</w:t>
            </w:r>
          </w:p>
        </w:tc>
        <w:tc>
          <w:tcPr>
            <w:tcW w:type="dxa" w:w="666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Draft/published versions, colours, assets, message and animation</w:t>
            </w:r>
          </w:p>
        </w:tc>
      </w:tr>
      <w:tr>
        <w:trPr>
          <w:cantSplit/>
        </w:trPr>
        <w:tc>
          <w:tcPr>
            <w:tcW w:type="dxa" w:w="2700"/>
            <w:shd w:fill="F8F7FC"/>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tenant_slugs</w:t>
            </w:r>
          </w:p>
        </w:tc>
        <w:tc>
          <w:tcPr>
            <w:tcW w:type="dxa" w:w="666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Current and historical routes with uniqueness and redirect state</w:t>
            </w:r>
          </w:p>
        </w:tc>
      </w:tr>
      <w:tr>
        <w:trPr>
          <w:cantSplit/>
        </w:trPr>
        <w:tc>
          <w:tcPr>
            <w:tcW w:type="dxa" w:w="270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onboarding_progress</w:t>
            </w:r>
          </w:p>
        </w:tc>
        <w:tc>
          <w:tcPr>
            <w:tcW w:type="dxa" w:w="666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Flow, last completed step, state and timestamps</w:t>
            </w:r>
          </w:p>
        </w:tc>
      </w:tr>
      <w:tr>
        <w:trPr>
          <w:cantSplit/>
        </w:trPr>
        <w:tc>
          <w:tcPr>
            <w:tcW w:type="dxa" w:w="2700"/>
            <w:shd w:fill="F8F7FC"/>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invitations</w:t>
            </w:r>
          </w:p>
        </w:tc>
        <w:tc>
          <w:tcPr>
            <w:tcW w:type="dxa" w:w="666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Hashed token, intended identity, role, context, expiry and status</w:t>
            </w:r>
          </w:p>
        </w:tc>
      </w:tr>
      <w:tr>
        <w:trPr>
          <w:cantSplit/>
        </w:trPr>
        <w:tc>
          <w:tcPr>
            <w:tcW w:type="dxa" w:w="2700"/>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login_aliases</w:t>
            </w:r>
          </w:p>
        </w:tc>
        <w:tc>
          <w:tcPr>
            <w:tcW w:type="dxa" w:w="666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Tenant-scoped usernames for non-email accounts</w:t>
            </w:r>
          </w:p>
        </w:tc>
      </w:tr>
      <w:tr>
        <w:trPr>
          <w:cantSplit/>
        </w:trPr>
        <w:tc>
          <w:tcPr>
            <w:tcW w:type="dxa" w:w="270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guardian_links</w:t>
            </w:r>
          </w:p>
        </w:tc>
        <w:tc>
          <w:tcPr>
            <w:tcW w:type="dxa" w:w="666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Authorised guardian-student relationships and source</w:t>
            </w:r>
          </w:p>
        </w:tc>
      </w:tr>
      <w:tr>
        <w:trPr>
          <w:cantSplit/>
        </w:trPr>
        <w:tc>
          <w:tcPr>
            <w:tcW w:type="dxa" w:w="270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consent_records</w:t>
            </w:r>
          </w:p>
        </w:tc>
        <w:tc>
          <w:tcPr>
            <w:tcW w:type="dxa" w:w="666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Consent type, subject, guardian/user, version and evidence</w:t>
            </w:r>
          </w:p>
        </w:tc>
      </w:tr>
      <w:tr>
        <w:trPr>
          <w:cantSplit/>
        </w:trPr>
        <w:tc>
          <w:tcPr>
            <w:tcW w:type="dxa" w:w="2700"/>
            <w:shd w:fill="F8F7FC"/>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plans</w:t>
            </w:r>
          </w:p>
        </w:tc>
        <w:tc>
          <w:tcPr>
            <w:tcW w:type="dxa" w:w="666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Commercial plan definitions</w:t>
            </w:r>
          </w:p>
        </w:tc>
      </w:tr>
      <w:tr>
        <w:trPr>
          <w:cantSplit/>
        </w:trPr>
        <w:tc>
          <w:tcPr>
            <w:tcW w:type="dxa" w:w="2700"/>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entitlements</w:t>
            </w:r>
          </w:p>
        </w:tc>
        <w:tc>
          <w:tcPr>
            <w:tcW w:type="dxa" w:w="666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Feature flags, quantity limits and periods</w:t>
            </w:r>
          </w:p>
        </w:tc>
      </w:tr>
      <w:tr>
        <w:trPr>
          <w:cantSplit/>
        </w:trPr>
        <w:tc>
          <w:tcPr>
            <w:tcW w:type="dxa" w:w="2700"/>
            <w:shd w:fill="F8F7FC"/>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subscriptions</w:t>
            </w:r>
          </w:p>
        </w:tc>
        <w:tc>
          <w:tcPr>
            <w:tcW w:type="dxa" w:w="666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Customer plan, state, billing period and grace</w:t>
            </w:r>
          </w:p>
        </w:tc>
      </w:tr>
      <w:tr>
        <w:trPr>
          <w:cantSplit/>
        </w:trPr>
        <w:tc>
          <w:tcPr>
            <w:tcW w:type="dxa" w:w="2700"/>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usage_ledgers</w:t>
            </w:r>
          </w:p>
        </w:tc>
        <w:tc>
          <w:tcPr>
            <w:tcW w:type="dxa" w:w="666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Idempotent AI, messaging, storage and other metered consumption</w:t>
            </w:r>
          </w:p>
        </w:tc>
      </w:tr>
      <w:tr>
        <w:trPr>
          <w:cantSplit/>
        </w:trPr>
        <w:tc>
          <w:tcPr>
            <w:tcW w:type="dxa" w:w="2700"/>
            <w:shd w:fill="F8F7FC"/>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audit_logs</w:t>
            </w:r>
          </w:p>
        </w:tc>
        <w:tc>
          <w:tcPr>
            <w:tcW w:type="dxa" w:w="666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Immutable record of sensitive actions and changes</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FF9EB"/>
            <w:tcMar>
              <w:top w:w="90" w:type="dxa"/>
              <w:start w:w="120" w:type="dxa"/>
              <w:bottom w:w="90" w:type="dxa"/>
              <w:end w:w="120" w:type="dxa"/>
            </w:tcMar>
            <w:vAlign w:val="center"/>
          </w:tcPr>
          <w:p>
            <w:pPr>
              <w:spacing w:before="40" w:after="40" w:line="259" w:lineRule="auto"/>
            </w:pPr>
            <w:r>
              <w:rPr>
                <w:rFonts w:ascii="Calibri" w:hAnsi="Calibri"/>
                <w:b/>
                <w:color w:val="946200"/>
                <w:sz w:val="20"/>
              </w:rPr>
              <w:t xml:space="preserve">Migration constraint: </w:t>
            </w:r>
            <w:r>
              <w:rPr>
                <w:rFonts w:ascii="Calibri" w:hAnsi="Calibri"/>
                <w:color w:val="172033"/>
                <w:sz w:val="20"/>
              </w:rPr>
              <w:t>Legacy tenant users must be mapped carefully. Verified identifiers may support deduplication; unverified records require explicit claiming or review and must never be merged by name alone.</w:t>
            </w:r>
          </w:p>
        </w:tc>
      </w:tr>
    </w:tbl>
    <w:p>
      <w:pPr>
        <w:spacing w:after="40"/>
      </w:pPr>
    </w:p>
    <w:p>
      <w:pPr>
        <w:pStyle w:val="Heading1"/>
      </w:pPr>
      <w:r>
        <w:t>19. Business Rules</w:t>
      </w:r>
    </w:p>
    <w:tbl>
      <w:tblPr>
        <w:tblStyle w:val="TableGrid"/>
        <w:tblW w:type="dxa" w:w="9360"/>
        <w:jc w:val="left"/>
        <w:tblLayout w:type="fixed"/>
        <w:tblLook w:firstColumn="1" w:firstRow="1" w:lastColumn="0" w:lastRow="0" w:noHBand="0" w:noVBand="1" w:val="04A0"/>
        <w:tblInd w:w="120" w:type="dxa"/>
      </w:tblPr>
      <w:tblGrid>
        <w:gridCol w:w="1650"/>
        <w:gridCol w:w="7710"/>
      </w:tblGrid>
      <w:tr>
        <w:trPr>
          <w:tblHeader w:val="true"/>
          <w:cantSplit/>
        </w:trPr>
        <w:tc>
          <w:tcPr>
            <w:tcW w:type="dxa" w:w="1650"/>
            <w:shd w:fill="312E81"/>
            <w:tcMar>
              <w:top w:w="90" w:type="dxa"/>
              <w:start w:w="120" w:type="dxa"/>
              <w:bottom w:w="90" w:type="dxa"/>
              <w:end w:w="120" w:type="dxa"/>
            </w:tcMar>
            <w:vAlign w:val="center"/>
          </w:tcPr>
          <w:p>
            <w:pPr>
              <w:spacing w:before="0" w:after="0" w:line="259" w:lineRule="auto"/>
              <w:jc w:val="center"/>
            </w:pPr>
            <w:r/>
            <w:r>
              <w:rPr>
                <w:rFonts w:ascii="Calibri" w:hAnsi="Calibri"/>
                <w:b/>
                <w:color w:val="FFFFFF"/>
                <w:sz w:val="18"/>
              </w:rPr>
              <w:t>Rule</w:t>
            </w:r>
          </w:p>
        </w:tc>
        <w:tc>
          <w:tcPr>
            <w:tcW w:type="dxa" w:w="7710"/>
            <w:shd w:fill="312E81"/>
            <w:tcMar>
              <w:top w:w="90" w:type="dxa"/>
              <w:start w:w="120" w:type="dxa"/>
              <w:bottom w:w="90" w:type="dxa"/>
              <w:end w:w="120" w:type="dxa"/>
            </w:tcMar>
            <w:vAlign w:val="center"/>
          </w:tcPr>
          <w:p>
            <w:pPr>
              <w:spacing w:before="0" w:after="0" w:line="259" w:lineRule="auto"/>
              <w:jc w:val="center"/>
            </w:pPr>
            <w:r/>
            <w:r>
              <w:rPr>
                <w:rFonts w:ascii="Calibri" w:hAnsi="Calibri"/>
                <w:b/>
                <w:color w:val="FFFFFF"/>
                <w:sz w:val="18"/>
              </w:rPr>
              <w:t>Statement</w:t>
            </w:r>
          </w:p>
        </w:tc>
      </w:tr>
      <w:tr>
        <w:trPr>
          <w:cantSplit/>
        </w:trPr>
        <w:tc>
          <w:tcPr>
            <w:tcW w:type="dxa" w:w="1650"/>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BR-ONB-001</w:t>
            </w:r>
          </w:p>
        </w:tc>
        <w:tc>
          <w:tcPr>
            <w:tcW w:type="dxa" w:w="771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A school tenant is not active until a contact method is verified.</w:t>
            </w:r>
          </w:p>
        </w:tc>
      </w:tr>
      <w:tr>
        <w:trPr>
          <w:cantSplit/>
        </w:trPr>
        <w:tc>
          <w:tcPr>
            <w:tcW w:type="dxa" w:w="1650"/>
            <w:shd w:fill="F8F7FC"/>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BR-ONB-002</w:t>
            </w:r>
          </w:p>
        </w:tc>
        <w:tc>
          <w:tcPr>
            <w:tcW w:type="dxa" w:w="771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A person may own more than one personal workspace type but only one active workspace per type unless policy explicitly permits otherwise.</w:t>
            </w:r>
          </w:p>
        </w:tc>
      </w:tr>
      <w:tr>
        <w:trPr>
          <w:cantSplit/>
        </w:trPr>
        <w:tc>
          <w:tcPr>
            <w:tcW w:type="dxa" w:w="1650"/>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BR-ONB-003</w:t>
            </w:r>
          </w:p>
        </w:tc>
        <w:tc>
          <w:tcPr>
            <w:tcW w:type="dxa" w:w="771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Every tenant membership carries at least one authorised role and status.</w:t>
            </w:r>
          </w:p>
        </w:tc>
      </w:tr>
      <w:tr>
        <w:trPr>
          <w:cantSplit/>
        </w:trPr>
        <w:tc>
          <w:tcPr>
            <w:tcW w:type="dxa" w:w="1650"/>
            <w:shd w:fill="F8F7FC"/>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BR-ONB-004</w:t>
            </w:r>
          </w:p>
        </w:tc>
        <w:tc>
          <w:tcPr>
            <w:tcW w:type="dxa" w:w="771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Frontend tenant identifiers are never trusted as authorisation evidence.</w:t>
            </w:r>
          </w:p>
        </w:tc>
      </w:tr>
      <w:tr>
        <w:trPr>
          <w:cantSplit/>
        </w:trPr>
        <w:tc>
          <w:tcPr>
            <w:tcW w:type="dxa" w:w="1650"/>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BR-ONB-005</w:t>
            </w:r>
          </w:p>
        </w:tc>
        <w:tc>
          <w:tcPr>
            <w:tcW w:type="dxa" w:w="771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A user cannot self-assign a school role or child relationship.</w:t>
            </w:r>
          </w:p>
        </w:tc>
      </w:tr>
      <w:tr>
        <w:trPr>
          <w:cantSplit/>
        </w:trPr>
        <w:tc>
          <w:tcPr>
            <w:tcW w:type="dxa" w:w="1650"/>
            <w:shd w:fill="F8F7FC"/>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BR-ONB-006</w:t>
            </w:r>
          </w:p>
        </w:tc>
        <w:tc>
          <w:tcPr>
            <w:tcW w:type="dxa" w:w="771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Invitation tokens are hashed, expiring, revocable and single-use.</w:t>
            </w:r>
          </w:p>
        </w:tc>
      </w:tr>
      <w:tr>
        <w:trPr>
          <w:cantSplit/>
        </w:trPr>
        <w:tc>
          <w:tcPr>
            <w:tcW w:type="dxa" w:w="1650"/>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BR-ONB-007</w:t>
            </w:r>
          </w:p>
        </w:tc>
        <w:tc>
          <w:tcPr>
            <w:tcW w:type="dxa" w:w="771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Published tenant branding is versioned and auditable.</w:t>
            </w:r>
          </w:p>
        </w:tc>
      </w:tr>
      <w:tr>
        <w:trPr>
          <w:cantSplit/>
        </w:trPr>
        <w:tc>
          <w:tcPr>
            <w:tcW w:type="dxa" w:w="1650"/>
            <w:shd w:fill="F8F7FC"/>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BR-ONB-008</w:t>
            </w:r>
          </w:p>
        </w:tc>
        <w:tc>
          <w:tcPr>
            <w:tcW w:type="dxa" w:w="771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Accessibility and essential security controls apply across all plans.</w:t>
            </w:r>
          </w:p>
        </w:tc>
      </w:tr>
      <w:tr>
        <w:trPr>
          <w:cantSplit/>
        </w:trPr>
        <w:tc>
          <w:tcPr>
            <w:tcW w:type="dxa" w:w="1650"/>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BR-ONB-009</w:t>
            </w:r>
          </w:p>
        </w:tc>
        <w:tc>
          <w:tcPr>
            <w:tcW w:type="dxa" w:w="771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School-sponsored access does not require an individual paid plan.</w:t>
            </w:r>
          </w:p>
        </w:tc>
      </w:tr>
      <w:tr>
        <w:trPr>
          <w:cantSplit/>
        </w:trPr>
        <w:tc>
          <w:tcPr>
            <w:tcW w:type="dxa" w:w="1650"/>
            <w:shd w:fill="F8F7FC"/>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BR-ONB-010</w:t>
            </w:r>
          </w:p>
        </w:tc>
        <w:tc>
          <w:tcPr>
            <w:tcW w:type="dxa" w:w="771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Plan downgrade cannot silently delete customer data.</w:t>
            </w:r>
          </w:p>
        </w:tc>
      </w:tr>
      <w:tr>
        <w:trPr>
          <w:cantSplit/>
        </w:trPr>
        <w:tc>
          <w:tcPr>
            <w:tcW w:type="dxa" w:w="1650"/>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BR-ONB-011</w:t>
            </w:r>
          </w:p>
        </w:tc>
        <w:tc>
          <w:tcPr>
            <w:tcW w:type="dxa" w:w="771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AI usage cannot bypass user, tenant, role or entitlement checks.</w:t>
            </w:r>
          </w:p>
        </w:tc>
      </w:tr>
      <w:tr>
        <w:trPr>
          <w:cantSplit/>
        </w:trPr>
        <w:tc>
          <w:tcPr>
            <w:tcW w:type="dxa" w:w="1650"/>
            <w:shd w:fill="F8F7FC"/>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BR-ONB-012</w:t>
            </w:r>
          </w:p>
        </w:tc>
        <w:tc>
          <w:tcPr>
            <w:tcW w:type="dxa" w:w="771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A guardian may link to several students; a student may have several authorised guardians.</w:t>
            </w:r>
          </w:p>
        </w:tc>
      </w:tr>
      <w:tr>
        <w:trPr>
          <w:cantSplit/>
        </w:trPr>
        <w:tc>
          <w:tcPr>
            <w:tcW w:type="dxa" w:w="1650"/>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BR-ONB-013</w:t>
            </w:r>
          </w:p>
        </w:tc>
        <w:tc>
          <w:tcPr>
            <w:tcW w:type="dxa" w:w="771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Offline or delayed invitation acceptance cannot overwrite a newer membership decision.</w:t>
            </w:r>
          </w:p>
        </w:tc>
      </w:tr>
      <w:tr>
        <w:trPr>
          <w:cantSplit/>
        </w:trPr>
        <w:tc>
          <w:tcPr>
            <w:tcW w:type="dxa" w:w="1650"/>
            <w:shd w:fill="F8F7FC"/>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BR-ONB-014</w:t>
            </w:r>
          </w:p>
        </w:tc>
        <w:tc>
          <w:tcPr>
            <w:tcW w:type="dxa" w:w="771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Audit logs are not editable by ordinary school users.</w:t>
            </w:r>
          </w:p>
        </w:tc>
      </w:tr>
    </w:tbl>
    <w:p>
      <w:pPr>
        <w:spacing w:after="40"/>
      </w:pPr>
    </w:p>
    <w:p>
      <w:pPr>
        <w:pStyle w:val="Heading1"/>
      </w:pPr>
      <w:r>
        <w:t>20. Security, Privacy and Compliance</w:t>
      </w:r>
    </w:p>
    <w:p>
      <w:pPr>
        <w:pStyle w:val="Heading2"/>
      </w:pPr>
      <w:r>
        <w:t>20.1 Security controls</w:t>
      </w:r>
    </w:p>
    <w:p>
      <w:pPr>
        <w:pStyle w:val="ListBullet"/>
        <w:spacing w:after="100" w:line="280" w:lineRule="auto"/>
        <w:ind w:left="720" w:hanging="360"/>
      </w:pPr>
      <w:r>
        <w:rPr>
          <w:rFonts w:ascii="Calibri" w:hAnsi="Calibri"/>
          <w:color w:val="172033"/>
          <w:sz w:val="21"/>
        </w:rPr>
        <w:t>Server-side tenant scoping and policy checks on every tenant-owned query</w:t>
      </w:r>
    </w:p>
    <w:p>
      <w:pPr>
        <w:pStyle w:val="ListBullet"/>
        <w:spacing w:after="100" w:line="280" w:lineRule="auto"/>
        <w:ind w:left="720" w:hanging="360"/>
      </w:pPr>
      <w:r>
        <w:rPr>
          <w:rFonts w:ascii="Calibri" w:hAnsi="Calibri"/>
          <w:color w:val="172033"/>
          <w:sz w:val="21"/>
        </w:rPr>
        <w:t>Secure password hashing, HTTPS, CSRF protection where applicable and secure cookie/session configuration</w:t>
      </w:r>
    </w:p>
    <w:p>
      <w:pPr>
        <w:pStyle w:val="ListBullet"/>
        <w:spacing w:after="100" w:line="280" w:lineRule="auto"/>
        <w:ind w:left="720" w:hanging="360"/>
      </w:pPr>
      <w:r>
        <w:rPr>
          <w:rFonts w:ascii="Calibri" w:hAnsi="Calibri"/>
          <w:color w:val="172033"/>
          <w:sz w:val="21"/>
        </w:rPr>
        <w:t>Login, OTP, invitation and recovery rate limits using Redis-backed controls</w:t>
      </w:r>
    </w:p>
    <w:p>
      <w:pPr>
        <w:pStyle w:val="ListBullet"/>
        <w:spacing w:after="100" w:line="280" w:lineRule="auto"/>
        <w:ind w:left="720" w:hanging="360"/>
      </w:pPr>
      <w:r>
        <w:rPr>
          <w:rFonts w:ascii="Calibri" w:hAnsi="Calibri"/>
          <w:color w:val="172033"/>
          <w:sz w:val="21"/>
        </w:rPr>
        <w:t>MFA capability for privileged accounts and risk-based prompts</w:t>
      </w:r>
    </w:p>
    <w:p>
      <w:pPr>
        <w:pStyle w:val="ListBullet"/>
        <w:spacing w:after="100" w:line="280" w:lineRule="auto"/>
        <w:ind w:left="720" w:hanging="360"/>
      </w:pPr>
      <w:r>
        <w:rPr>
          <w:rFonts w:ascii="Calibri" w:hAnsi="Calibri"/>
          <w:color w:val="172033"/>
          <w:sz w:val="21"/>
        </w:rPr>
        <w:t>Hashed invitation/reset tokens with short, configurable expiry</w:t>
      </w:r>
    </w:p>
    <w:p>
      <w:pPr>
        <w:pStyle w:val="ListBullet"/>
        <w:spacing w:after="100" w:line="280" w:lineRule="auto"/>
        <w:ind w:left="720" w:hanging="360"/>
      </w:pPr>
      <w:r>
        <w:rPr>
          <w:rFonts w:ascii="Calibri" w:hAnsi="Calibri"/>
          <w:color w:val="172033"/>
          <w:sz w:val="21"/>
        </w:rPr>
        <w:t>Validated file type, signature, dimensions and malware-safe processing for logo/background uploads</w:t>
      </w:r>
    </w:p>
    <w:p>
      <w:pPr>
        <w:pStyle w:val="ListBullet"/>
        <w:spacing w:after="100" w:line="280" w:lineRule="auto"/>
        <w:ind w:left="720" w:hanging="360"/>
      </w:pPr>
      <w:r>
        <w:rPr>
          <w:rFonts w:ascii="Calibri" w:hAnsi="Calibri"/>
          <w:color w:val="172033"/>
          <w:sz w:val="21"/>
        </w:rPr>
        <w:t>Idempotent invite acceptance, entitlement metering and billing callbacks</w:t>
      </w:r>
    </w:p>
    <w:p>
      <w:pPr>
        <w:pStyle w:val="ListBullet"/>
        <w:spacing w:after="100" w:line="280" w:lineRule="auto"/>
        <w:ind w:left="720" w:hanging="360"/>
      </w:pPr>
      <w:r>
        <w:rPr>
          <w:rFonts w:ascii="Calibri" w:hAnsi="Calibri"/>
          <w:color w:val="172033"/>
          <w:sz w:val="21"/>
        </w:rPr>
        <w:t>Immutable audit records for tenant creation, branding publish, invitation, membership, consent, role and plan changes</w:t>
      </w:r>
    </w:p>
    <w:p>
      <w:pPr>
        <w:pStyle w:val="ListBullet"/>
        <w:spacing w:after="100" w:line="280" w:lineRule="auto"/>
        <w:ind w:left="720" w:hanging="360"/>
      </w:pPr>
      <w:r>
        <w:rPr>
          <w:rFonts w:ascii="Calibri" w:hAnsi="Calibri"/>
          <w:color w:val="172033"/>
          <w:sz w:val="21"/>
        </w:rPr>
        <w:t>Privacy-safe errors that do not expose account or child existence</w:t>
      </w:r>
    </w:p>
    <w:p>
      <w:pPr>
        <w:pStyle w:val="ListBullet"/>
        <w:spacing w:after="100" w:line="280" w:lineRule="auto"/>
        <w:ind w:left="720" w:hanging="360"/>
      </w:pPr>
      <w:r>
        <w:rPr>
          <w:rFonts w:ascii="Calibri" w:hAnsi="Calibri"/>
          <w:color w:val="172033"/>
          <w:sz w:val="21"/>
        </w:rPr>
        <w:t>Regular backups, recovery testing and controlled access to production data</w:t>
      </w:r>
    </w:p>
    <w:p>
      <w:pPr>
        <w:pStyle w:val="Heading2"/>
      </w:pPr>
      <w:r>
        <w:t>20.2 Privacy and child protection</w:t>
      </w:r>
    </w:p>
    <w:p>
      <w:pPr>
        <w:pStyle w:val="ListBullet"/>
        <w:spacing w:after="100" w:line="280" w:lineRule="auto"/>
        <w:ind w:left="720" w:hanging="360"/>
      </w:pPr>
      <w:r>
        <w:rPr>
          <w:rFonts w:ascii="Calibri" w:hAnsi="Calibri"/>
          <w:color w:val="172033"/>
          <w:sz w:val="21"/>
        </w:rPr>
        <w:t>Apply Nigeria Data Protection Act 2023 and current NDPC guidance to personal-data processing.</w:t>
      </w:r>
    </w:p>
    <w:p>
      <w:pPr>
        <w:pStyle w:val="ListBullet"/>
        <w:spacing w:after="100" w:line="280" w:lineRule="auto"/>
        <w:ind w:left="720" w:hanging="360"/>
      </w:pPr>
      <w:r>
        <w:rPr>
          <w:rFonts w:ascii="Calibri" w:hAnsi="Calibri"/>
          <w:color w:val="172033"/>
          <w:sz w:val="21"/>
        </w:rPr>
        <w:t>Collect only onboarding information needed for the immediate purpose.</w:t>
      </w:r>
    </w:p>
    <w:p>
      <w:pPr>
        <w:pStyle w:val="ListBullet"/>
        <w:spacing w:after="100" w:line="280" w:lineRule="auto"/>
        <w:ind w:left="720" w:hanging="360"/>
      </w:pPr>
      <w:r>
        <w:rPr>
          <w:rFonts w:ascii="Calibri" w:hAnsi="Calibri"/>
          <w:color w:val="172033"/>
          <w:sz w:val="21"/>
        </w:rPr>
        <w:t>Record the source and evidence for school memberships and guardian links.</w:t>
      </w:r>
    </w:p>
    <w:p>
      <w:pPr>
        <w:pStyle w:val="ListBullet"/>
        <w:spacing w:after="100" w:line="280" w:lineRule="auto"/>
        <w:ind w:left="720" w:hanging="360"/>
      </w:pPr>
      <w:r>
        <w:rPr>
          <w:rFonts w:ascii="Calibri" w:hAnsi="Calibri"/>
          <w:color w:val="172033"/>
          <w:sz w:val="21"/>
        </w:rPr>
        <w:t>Provide age-appropriate notices and verifiable parent/school approval where required.</w:t>
      </w:r>
    </w:p>
    <w:p>
      <w:pPr>
        <w:pStyle w:val="ListBullet"/>
        <w:spacing w:after="100" w:line="280" w:lineRule="auto"/>
        <w:ind w:left="720" w:hanging="360"/>
      </w:pPr>
      <w:r>
        <w:rPr>
          <w:rFonts w:ascii="Calibri" w:hAnsi="Calibri"/>
          <w:color w:val="172033"/>
          <w:sz w:val="21"/>
        </w:rPr>
        <w:t>Separate marketing consent from service terms and essential notices.</w:t>
      </w:r>
    </w:p>
    <w:p>
      <w:pPr>
        <w:pStyle w:val="ListBullet"/>
        <w:spacing w:after="100" w:line="280" w:lineRule="auto"/>
        <w:ind w:left="720" w:hanging="360"/>
      </w:pPr>
      <w:r>
        <w:rPr>
          <w:rFonts w:ascii="Calibri" w:hAnsi="Calibri"/>
          <w:color w:val="172033"/>
          <w:sz w:val="21"/>
        </w:rPr>
        <w:t>Define retention, export, correction and deletion workflows consistent with legal and school-record obligations.</w:t>
      </w:r>
    </w:p>
    <w:p>
      <w:pPr>
        <w:pStyle w:val="ListBullet"/>
        <w:spacing w:after="100" w:line="280" w:lineRule="auto"/>
        <w:ind w:left="720" w:hanging="360"/>
      </w:pPr>
      <w:r>
        <w:rPr>
          <w:rFonts w:ascii="Calibri" w:hAnsi="Calibri"/>
          <w:color w:val="172033"/>
          <w:sz w:val="21"/>
        </w:rPr>
        <w:t>Do not use student data for model training or unrelated advertising without a separately approved lawful basis and policy.</w:t>
      </w:r>
    </w:p>
    <w:p>
      <w:pPr>
        <w:pStyle w:val="Heading1"/>
      </w:pPr>
      <w:r>
        <w:t>21. Non-Functional Requirements</w:t>
      </w:r>
    </w:p>
    <w:tbl>
      <w:tblPr>
        <w:tblStyle w:val="TableGrid"/>
        <w:tblW w:type="dxa" w:w="9360"/>
        <w:jc w:val="left"/>
        <w:tblLayout w:type="fixed"/>
        <w:tblLook w:firstColumn="1" w:firstRow="1" w:lastColumn="0" w:lastRow="0" w:noHBand="0" w:noVBand="1" w:val="04A0"/>
        <w:tblInd w:w="120" w:type="dxa"/>
      </w:tblPr>
      <w:tblGrid>
        <w:gridCol w:w="2000"/>
        <w:gridCol w:w="7360"/>
      </w:tblGrid>
      <w:tr>
        <w:trPr>
          <w:tblHeader w:val="true"/>
          <w:cantSplit/>
        </w:trPr>
        <w:tc>
          <w:tcPr>
            <w:tcW w:type="dxa" w:w="2000"/>
            <w:shd w:fill="312E81"/>
            <w:tcMar>
              <w:top w:w="90" w:type="dxa"/>
              <w:start w:w="120" w:type="dxa"/>
              <w:bottom w:w="90" w:type="dxa"/>
              <w:end w:w="120" w:type="dxa"/>
            </w:tcMar>
            <w:vAlign w:val="center"/>
          </w:tcPr>
          <w:p>
            <w:pPr>
              <w:spacing w:before="0" w:after="0" w:line="259" w:lineRule="auto"/>
              <w:jc w:val="left"/>
            </w:pPr>
            <w:r/>
            <w:r>
              <w:rPr>
                <w:rFonts w:ascii="Calibri" w:hAnsi="Calibri"/>
                <w:b/>
                <w:color w:val="FFFFFF"/>
                <w:sz w:val="18"/>
              </w:rPr>
              <w:t>Quality attribute</w:t>
            </w:r>
          </w:p>
        </w:tc>
        <w:tc>
          <w:tcPr>
            <w:tcW w:type="dxa" w:w="7360"/>
            <w:shd w:fill="312E81"/>
            <w:tcMar>
              <w:top w:w="90" w:type="dxa"/>
              <w:start w:w="120" w:type="dxa"/>
              <w:bottom w:w="90" w:type="dxa"/>
              <w:end w:w="120" w:type="dxa"/>
            </w:tcMar>
            <w:vAlign w:val="center"/>
          </w:tcPr>
          <w:p>
            <w:pPr>
              <w:spacing w:before="0" w:after="0" w:line="259" w:lineRule="auto"/>
              <w:jc w:val="center"/>
            </w:pPr>
            <w:r/>
            <w:r>
              <w:rPr>
                <w:rFonts w:ascii="Calibri" w:hAnsi="Calibri"/>
                <w:b/>
                <w:color w:val="FFFFFF"/>
                <w:sz w:val="18"/>
              </w:rPr>
              <w:t>Requirement</w:t>
            </w:r>
          </w:p>
        </w:tc>
      </w:tr>
      <w:tr>
        <w:trPr>
          <w:cantSplit/>
        </w:trPr>
        <w:tc>
          <w:tcPr>
            <w:tcW w:type="dxa" w:w="2000"/>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Performance</w:t>
            </w:r>
          </w:p>
        </w:tc>
        <w:tc>
          <w:tcPr>
            <w:tcW w:type="dxa" w:w="736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Ordinary interactions under 2 seconds in normal conditions; interactive tenant login by 3 seconds including default animation.</w:t>
            </w:r>
          </w:p>
        </w:tc>
      </w:tr>
      <w:tr>
        <w:trPr>
          <w:cantSplit/>
        </w:trPr>
        <w:tc>
          <w:tcPr>
            <w:tcW w:type="dxa" w:w="2000"/>
            <w:shd w:fill="F8F7FC"/>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Availability</w:t>
            </w:r>
          </w:p>
        </w:tc>
        <w:tc>
          <w:tcPr>
            <w:tcW w:type="dxa" w:w="736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Authentication and tenant entry designed for production monitoring, graceful degradation and recoverable failures.</w:t>
            </w:r>
          </w:p>
        </w:tc>
      </w:tr>
      <w:tr>
        <w:trPr>
          <w:cantSplit/>
        </w:trPr>
        <w:tc>
          <w:tcPr>
            <w:tcW w:type="dxa" w:w="2000"/>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Scalability</w:t>
            </w:r>
          </w:p>
        </w:tc>
        <w:tc>
          <w:tcPr>
            <w:tcW w:type="dxa" w:w="736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Paginated APIs, cached branding payloads, queues for mail/imports, CDN-friendly public assets and horizontally scalable stateless API patterns.</w:t>
            </w:r>
          </w:p>
        </w:tc>
      </w:tr>
      <w:tr>
        <w:trPr>
          <w:cantSplit/>
        </w:trPr>
        <w:tc>
          <w:tcPr>
            <w:tcW w:type="dxa" w:w="2000"/>
            <w:shd w:fill="F8F7FC"/>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Low bandwidth</w:t>
            </w:r>
          </w:p>
        </w:tc>
        <w:tc>
          <w:tcPr>
            <w:tcW w:type="dxa" w:w="736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Optimised logo/background assets, small public payloads, lazy-loaded nonessential scripts and offline shell caching.</w:t>
            </w:r>
          </w:p>
        </w:tc>
      </w:tr>
      <w:tr>
        <w:trPr>
          <w:cantSplit/>
        </w:trPr>
        <w:tc>
          <w:tcPr>
            <w:tcW w:type="dxa" w:w="2000"/>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Reliability</w:t>
            </w:r>
          </w:p>
        </w:tc>
        <w:tc>
          <w:tcPr>
            <w:tcW w:type="dxa" w:w="736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Idempotent registration, invitation acceptance, import commit and entitlement usage.</w:t>
            </w:r>
          </w:p>
        </w:tc>
      </w:tr>
      <w:tr>
        <w:trPr>
          <w:cantSplit/>
        </w:trPr>
        <w:tc>
          <w:tcPr>
            <w:tcW w:type="dxa" w:w="2000"/>
            <w:shd w:fill="F8F7FC"/>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Accessibility</w:t>
            </w:r>
          </w:p>
        </w:tc>
        <w:tc>
          <w:tcPr>
            <w:tcW w:type="dxa" w:w="736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WCAG 2.2 AA target for critical flows.</w:t>
            </w:r>
          </w:p>
        </w:tc>
      </w:tr>
      <w:tr>
        <w:trPr>
          <w:cantSplit/>
        </w:trPr>
        <w:tc>
          <w:tcPr>
            <w:tcW w:type="dxa" w:w="2000"/>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Observability</w:t>
            </w:r>
          </w:p>
        </w:tc>
        <w:tc>
          <w:tcPr>
            <w:tcW w:type="dxa" w:w="736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Structured logs, trace IDs, metrics and alerts for registration, login, invite, import, billing and entitlement failures.</w:t>
            </w:r>
          </w:p>
        </w:tc>
      </w:tr>
      <w:tr>
        <w:trPr>
          <w:cantSplit/>
        </w:trPr>
        <w:tc>
          <w:tcPr>
            <w:tcW w:type="dxa" w:w="200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Maintainability</w:t>
            </w:r>
          </w:p>
        </w:tc>
        <w:tc>
          <w:tcPr>
            <w:tcW w:type="dxa" w:w="736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React/TypeScript feature modules; Laravel Form Requests, Policies, Services, API Resources and Jobs; configuration over hardcoding.</w:t>
            </w:r>
          </w:p>
        </w:tc>
      </w:tr>
      <w:tr>
        <w:trPr>
          <w:cantSplit/>
        </w:trPr>
        <w:tc>
          <w:tcPr>
            <w:tcW w:type="dxa" w:w="2000"/>
            <w:tcMar>
              <w:top w:w="90" w:type="dxa"/>
              <w:start w:w="120" w:type="dxa"/>
              <w:bottom w:w="90" w:type="dxa"/>
              <w:end w:w="120" w:type="dxa"/>
            </w:tcMar>
            <w:vAlign w:val="center"/>
          </w:tcPr>
          <w:p>
            <w:pPr>
              <w:spacing w:before="0" w:after="0" w:line="259" w:lineRule="auto"/>
              <w:jc w:val="center"/>
            </w:pPr>
            <w:r/>
            <w:r>
              <w:rPr>
                <w:rFonts w:ascii="Calibri" w:hAnsi="Calibri"/>
                <w:b w:val="0"/>
                <w:color w:val="172033"/>
                <w:sz w:val="17"/>
              </w:rPr>
              <w:t>Compatibility</w:t>
            </w:r>
          </w:p>
        </w:tc>
        <w:tc>
          <w:tcPr>
            <w:tcW w:type="dxa" w:w="736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Responsive web/PWA across current supported Chrome, Edge, Firefox and Safari families; strong Android browser support.</w:t>
            </w:r>
          </w:p>
        </w:tc>
      </w:tr>
    </w:tbl>
    <w:p>
      <w:pPr>
        <w:spacing w:after="40"/>
      </w:pPr>
    </w:p>
    <w:p>
      <w:pPr>
        <w:pStyle w:val="Heading1"/>
      </w:pPr>
      <w:r>
        <w:t>22. Analytics and Success Metrics</w:t>
      </w:r>
    </w:p>
    <w:p>
      <w:pPr>
        <w:pStyle w:val="Heading2"/>
      </w:pPr>
      <w:r>
        <w:t>22.1 Event taxonomy</w:t>
      </w:r>
    </w:p>
    <w:p>
      <w:pPr>
        <w:pStyle w:val="ListBullet"/>
        <w:spacing w:after="100" w:line="280" w:lineRule="auto"/>
        <w:ind w:left="720" w:hanging="360"/>
      </w:pPr>
      <w:r>
        <w:rPr>
          <w:rFonts w:ascii="Calibri" w:hAnsi="Calibri"/>
          <w:color w:val="172033"/>
          <w:sz w:val="21"/>
        </w:rPr>
        <w:t>get_started_viewed and entry_card_selected</w:t>
      </w:r>
    </w:p>
    <w:p>
      <w:pPr>
        <w:pStyle w:val="ListBullet"/>
        <w:spacing w:after="100" w:line="280" w:lineRule="auto"/>
        <w:ind w:left="720" w:hanging="360"/>
      </w:pPr>
      <w:r>
        <w:rPr>
          <w:rFonts w:ascii="Calibri" w:hAnsi="Calibri"/>
          <w:color w:val="172033"/>
          <w:sz w:val="21"/>
        </w:rPr>
        <w:t>account_started, verification_sent, verification_completed and account_created</w:t>
      </w:r>
    </w:p>
    <w:p>
      <w:pPr>
        <w:pStyle w:val="ListBullet"/>
        <w:spacing w:after="100" w:line="280" w:lineRule="auto"/>
        <w:ind w:left="720" w:hanging="360"/>
      </w:pPr>
      <w:r>
        <w:rPr>
          <w:rFonts w:ascii="Calibri" w:hAnsi="Calibri"/>
          <w:color w:val="172033"/>
          <w:sz w:val="21"/>
        </w:rPr>
        <w:t>school_registration_started/completed</w:t>
      </w:r>
    </w:p>
    <w:p>
      <w:pPr>
        <w:pStyle w:val="ListBullet"/>
        <w:spacing w:after="100" w:line="280" w:lineRule="auto"/>
        <w:ind w:left="720" w:hanging="360"/>
      </w:pPr>
      <w:r>
        <w:rPr>
          <w:rFonts w:ascii="Calibri" w:hAnsi="Calibri"/>
          <w:color w:val="172033"/>
          <w:sz w:val="21"/>
        </w:rPr>
        <w:t>branding_started, branding_previewed and branding_published</w:t>
      </w:r>
    </w:p>
    <w:p>
      <w:pPr>
        <w:pStyle w:val="ListBullet"/>
        <w:spacing w:after="100" w:line="280" w:lineRule="auto"/>
        <w:ind w:left="720" w:hanging="360"/>
      </w:pPr>
      <w:r>
        <w:rPr>
          <w:rFonts w:ascii="Calibri" w:hAnsi="Calibri"/>
          <w:color w:val="172033"/>
          <w:sz w:val="21"/>
        </w:rPr>
        <w:t>onboarding_step_completed and school_launched</w:t>
      </w:r>
    </w:p>
    <w:p>
      <w:pPr>
        <w:pStyle w:val="ListBullet"/>
        <w:spacing w:after="100" w:line="280" w:lineRule="auto"/>
        <w:ind w:left="720" w:hanging="360"/>
      </w:pPr>
      <w:r>
        <w:rPr>
          <w:rFonts w:ascii="Calibri" w:hAnsi="Calibri"/>
          <w:color w:val="172033"/>
          <w:sz w:val="21"/>
        </w:rPr>
        <w:t>invitation_created, delivered/shared, accepted, expired and revoked</w:t>
      </w:r>
    </w:p>
    <w:p>
      <w:pPr>
        <w:pStyle w:val="ListBullet"/>
        <w:spacing w:after="100" w:line="280" w:lineRule="auto"/>
        <w:ind w:left="720" w:hanging="360"/>
      </w:pPr>
      <w:r>
        <w:rPr>
          <w:rFonts w:ascii="Calibri" w:hAnsi="Calibri"/>
          <w:color w:val="172033"/>
          <w:sz w:val="21"/>
        </w:rPr>
        <w:t>personal_workspace_created and school_membership_added</w:t>
      </w:r>
    </w:p>
    <w:p>
      <w:pPr>
        <w:pStyle w:val="ListBullet"/>
        <w:spacing w:after="100" w:line="280" w:lineRule="auto"/>
        <w:ind w:left="720" w:hanging="360"/>
      </w:pPr>
      <w:r>
        <w:rPr>
          <w:rFonts w:ascii="Calibri" w:hAnsi="Calibri"/>
          <w:color w:val="172033"/>
          <w:sz w:val="21"/>
        </w:rPr>
        <w:t>workspace_switched</w:t>
      </w:r>
    </w:p>
    <w:p>
      <w:pPr>
        <w:pStyle w:val="ListBullet"/>
        <w:spacing w:after="100" w:line="280" w:lineRule="auto"/>
        <w:ind w:left="720" w:hanging="360"/>
      </w:pPr>
      <w:r>
        <w:rPr>
          <w:rFonts w:ascii="Calibri" w:hAnsi="Calibri"/>
          <w:color w:val="172033"/>
          <w:sz w:val="21"/>
        </w:rPr>
        <w:t>free_limit_warning, paywall_viewed, trial_started and subscription_activated</w:t>
      </w:r>
    </w:p>
    <w:p>
      <w:pPr>
        <w:pStyle w:val="Heading2"/>
      </w:pPr>
      <w:r>
        <w:t>22.2 Launch targets</w:t>
      </w:r>
    </w:p>
    <w:tbl>
      <w:tblPr>
        <w:tblStyle w:val="TableGrid"/>
        <w:tblW w:type="dxa" w:w="9360"/>
        <w:jc w:val="left"/>
        <w:tblLayout w:type="fixed"/>
        <w:tblLook w:firstColumn="1" w:firstRow="1" w:lastColumn="0" w:lastRow="0" w:noHBand="0" w:noVBand="1" w:val="04A0"/>
        <w:tblInd w:w="120" w:type="dxa"/>
      </w:tblPr>
      <w:tblGrid>
        <w:gridCol w:w="2500"/>
        <w:gridCol w:w="4200"/>
        <w:gridCol w:w="2660"/>
      </w:tblGrid>
      <w:tr>
        <w:trPr>
          <w:tblHeader w:val="true"/>
          <w:cantSplit/>
        </w:trPr>
        <w:tc>
          <w:tcPr>
            <w:tcW w:type="dxa" w:w="2500"/>
            <w:shd w:fill="312E81"/>
            <w:tcMar>
              <w:top w:w="90" w:type="dxa"/>
              <w:start w:w="120" w:type="dxa"/>
              <w:bottom w:w="90" w:type="dxa"/>
              <w:end w:w="120" w:type="dxa"/>
            </w:tcMar>
            <w:vAlign w:val="center"/>
          </w:tcPr>
          <w:p>
            <w:pPr>
              <w:spacing w:before="0" w:after="0" w:line="259" w:lineRule="auto"/>
              <w:jc w:val="center"/>
            </w:pPr>
            <w:r/>
            <w:r>
              <w:rPr>
                <w:rFonts w:ascii="Calibri" w:hAnsi="Calibri"/>
                <w:b/>
                <w:color w:val="FFFFFF"/>
                <w:sz w:val="18"/>
              </w:rPr>
              <w:t>Metric</w:t>
            </w:r>
          </w:p>
        </w:tc>
        <w:tc>
          <w:tcPr>
            <w:tcW w:type="dxa" w:w="4200"/>
            <w:shd w:fill="312E81"/>
            <w:tcMar>
              <w:top w:w="90" w:type="dxa"/>
              <w:start w:w="120" w:type="dxa"/>
              <w:bottom w:w="90" w:type="dxa"/>
              <w:end w:w="120" w:type="dxa"/>
            </w:tcMar>
            <w:vAlign w:val="center"/>
          </w:tcPr>
          <w:p>
            <w:pPr>
              <w:spacing w:before="0" w:after="0" w:line="259" w:lineRule="auto"/>
              <w:jc w:val="left"/>
            </w:pPr>
            <w:r/>
            <w:r>
              <w:rPr>
                <w:rFonts w:ascii="Calibri" w:hAnsi="Calibri"/>
                <w:b/>
                <w:color w:val="FFFFFF"/>
                <w:sz w:val="18"/>
              </w:rPr>
              <w:t>Initial target</w:t>
            </w:r>
          </w:p>
        </w:tc>
        <w:tc>
          <w:tcPr>
            <w:tcW w:type="dxa" w:w="2660"/>
            <w:shd w:fill="312E81"/>
            <w:tcMar>
              <w:top w:w="90" w:type="dxa"/>
              <w:start w:w="120" w:type="dxa"/>
              <w:bottom w:w="90" w:type="dxa"/>
              <w:end w:w="120" w:type="dxa"/>
            </w:tcMar>
            <w:vAlign w:val="center"/>
          </w:tcPr>
          <w:p>
            <w:pPr>
              <w:spacing w:before="0" w:after="0" w:line="259" w:lineRule="auto"/>
              <w:jc w:val="center"/>
            </w:pPr>
            <w:r/>
            <w:r>
              <w:rPr>
                <w:rFonts w:ascii="Calibri" w:hAnsi="Calibri"/>
                <w:b/>
                <w:color w:val="FFFFFF"/>
                <w:sz w:val="18"/>
              </w:rPr>
              <w:t>Measurement</w:t>
            </w:r>
          </w:p>
        </w:tc>
      </w:tr>
      <w:tr>
        <w:trPr>
          <w:cantSplit/>
        </w:trPr>
        <w:tc>
          <w:tcPr>
            <w:tcW w:type="dxa" w:w="250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Account completion</w:t>
            </w:r>
          </w:p>
        </w:tc>
        <w:tc>
          <w:tcPr>
            <w:tcW w:type="dxa" w:w="420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&gt;= 70% of users who begin verified registration</w:t>
            </w:r>
          </w:p>
        </w:tc>
        <w:tc>
          <w:tcPr>
            <w:tcW w:type="dxa" w:w="266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Funnel analytics</w:t>
            </w:r>
          </w:p>
        </w:tc>
      </w:tr>
      <w:tr>
        <w:trPr>
          <w:cantSplit/>
        </w:trPr>
        <w:tc>
          <w:tcPr>
            <w:tcW w:type="dxa" w:w="250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School registration completion</w:t>
            </w:r>
          </w:p>
        </w:tc>
        <w:tc>
          <w:tcPr>
            <w:tcW w:type="dxa" w:w="420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&gt;= 60% of verified school starts</w:t>
            </w:r>
          </w:p>
        </w:tc>
        <w:tc>
          <w:tcPr>
            <w:tcW w:type="dxa" w:w="266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Tenant onboarding events</w:t>
            </w:r>
          </w:p>
        </w:tc>
      </w:tr>
      <w:tr>
        <w:trPr>
          <w:cantSplit/>
        </w:trPr>
        <w:tc>
          <w:tcPr>
            <w:tcW w:type="dxa" w:w="250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Time to tenant draft</w:t>
            </w:r>
          </w:p>
        </w:tc>
        <w:tc>
          <w:tcPr>
            <w:tcW w:type="dxa" w:w="420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Median &lt;= 5 minutes</w:t>
            </w:r>
          </w:p>
        </w:tc>
        <w:tc>
          <w:tcPr>
            <w:tcW w:type="dxa" w:w="266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Registration timestamps</w:t>
            </w:r>
          </w:p>
        </w:tc>
      </w:tr>
      <w:tr>
        <w:trPr>
          <w:cantSplit/>
        </w:trPr>
        <w:tc>
          <w:tcPr>
            <w:tcW w:type="dxa" w:w="250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Time to first value</w:t>
            </w:r>
          </w:p>
        </w:tc>
        <w:tc>
          <w:tcPr>
            <w:tcW w:type="dxa" w:w="420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Median &lt;= 10 minutes for personal users</w:t>
            </w:r>
          </w:p>
        </w:tc>
        <w:tc>
          <w:tcPr>
            <w:tcW w:type="dxa" w:w="266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First meaningful action</w:t>
            </w:r>
          </w:p>
        </w:tc>
      </w:tr>
      <w:tr>
        <w:trPr>
          <w:cantSplit/>
        </w:trPr>
        <w:tc>
          <w:tcPr>
            <w:tcW w:type="dxa" w:w="250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Invitation acceptance</w:t>
            </w:r>
          </w:p>
        </w:tc>
        <w:tc>
          <w:tcPr>
            <w:tcW w:type="dxa" w:w="420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&gt;= 60% within seven days for delivered invites</w:t>
            </w:r>
          </w:p>
        </w:tc>
        <w:tc>
          <w:tcPr>
            <w:tcW w:type="dxa" w:w="266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Invitation lifecycle</w:t>
            </w:r>
          </w:p>
        </w:tc>
      </w:tr>
      <w:tr>
        <w:trPr>
          <w:cantSplit/>
        </w:trPr>
        <w:tc>
          <w:tcPr>
            <w:tcW w:type="dxa" w:w="250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Welcome/login performance</w:t>
            </w:r>
          </w:p>
        </w:tc>
        <w:tc>
          <w:tcPr>
            <w:tcW w:type="dxa" w:w="420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95th percentile interactive within 3 seconds on target mobile network</w:t>
            </w:r>
          </w:p>
        </w:tc>
        <w:tc>
          <w:tcPr>
            <w:tcW w:type="dxa" w:w="266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Real-user monitoring</w:t>
            </w:r>
          </w:p>
        </w:tc>
      </w:tr>
      <w:tr>
        <w:trPr>
          <w:cantSplit/>
        </w:trPr>
        <w:tc>
          <w:tcPr>
            <w:tcW w:type="dxa" w:w="250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Seven-day activated schools</w:t>
            </w:r>
          </w:p>
        </w:tc>
        <w:tc>
          <w:tcPr>
            <w:tcW w:type="dxa" w:w="420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&gt;= 50% complete branding plus students/staff</w:t>
            </w:r>
          </w:p>
        </w:tc>
        <w:tc>
          <w:tcPr>
            <w:tcW w:type="dxa" w:w="266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Activation cohort</w:t>
            </w:r>
          </w:p>
        </w:tc>
      </w:tr>
      <w:tr>
        <w:trPr>
          <w:cantSplit/>
        </w:trPr>
        <w:tc>
          <w:tcPr>
            <w:tcW w:type="dxa" w:w="250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Free-to-paid conversion</w:t>
            </w:r>
          </w:p>
        </w:tc>
        <w:tc>
          <w:tcPr>
            <w:tcW w:type="dxa" w:w="420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Baseline during pilot; improve by cohort without dark patterns</w:t>
            </w:r>
          </w:p>
        </w:tc>
        <w:tc>
          <w:tcPr>
            <w:tcW w:type="dxa" w:w="266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Subscription cohort</w:t>
            </w:r>
          </w:p>
        </w:tc>
      </w:tr>
      <w:tr>
        <w:trPr>
          <w:cantSplit/>
        </w:trPr>
        <w:tc>
          <w:tcPr>
            <w:tcW w:type="dxa" w:w="250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Tenant isolation incidents</w:t>
            </w:r>
          </w:p>
        </w:tc>
        <w:tc>
          <w:tcPr>
            <w:tcW w:type="dxa" w:w="420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Zero confirmed cross-tenant disclosures</w:t>
            </w:r>
          </w:p>
        </w:tc>
        <w:tc>
          <w:tcPr>
            <w:tcW w:type="dxa" w:w="266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Security monitoring</w:t>
            </w:r>
          </w:p>
        </w:tc>
      </w:tr>
    </w:tbl>
    <w:p>
      <w:pPr>
        <w:spacing w:after="40"/>
      </w:pPr>
    </w:p>
    <w:p>
      <w:pPr>
        <w:keepNext w:val="0"/>
        <w:spacing w:before="0" w:after="120" w:line="264" w:lineRule="auto"/>
        <w:jc w:val="left"/>
      </w:pPr>
      <w:r>
        <w:rPr>
          <w:rFonts w:ascii="Calibri" w:hAnsi="Calibri"/>
          <w:b w:val="0"/>
          <w:i/>
          <w:color w:val="667085"/>
          <w:sz w:val="22"/>
        </w:rPr>
        <w:t>Targets are launch hypotheses and must be recalibrated after pilot evidence without weakening security, privacy or accessibility requirements.</w:t>
      </w:r>
    </w:p>
    <w:p>
      <w:pPr>
        <w:pStyle w:val="Heading1"/>
      </w:pPr>
      <w:r>
        <w:t>23. Edge Cases and Error Handling</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cantSplit/>
        </w:trPr>
        <w:tc>
          <w:tcPr>
            <w:tcW w:type="dxa" w:w="2500"/>
            <w:shd w:fill="312E81"/>
            <w:tcMar>
              <w:top w:w="90" w:type="dxa"/>
              <w:start w:w="120" w:type="dxa"/>
              <w:bottom w:w="90" w:type="dxa"/>
              <w:end w:w="120" w:type="dxa"/>
            </w:tcMar>
            <w:vAlign w:val="center"/>
          </w:tcPr>
          <w:p>
            <w:pPr>
              <w:spacing w:before="0" w:after="0" w:line="259" w:lineRule="auto"/>
              <w:jc w:val="center"/>
            </w:pPr>
            <w:r/>
            <w:r>
              <w:rPr>
                <w:rFonts w:ascii="Calibri" w:hAnsi="Calibri"/>
                <w:b/>
                <w:color w:val="FFFFFF"/>
                <w:sz w:val="18"/>
              </w:rPr>
              <w:t>Scenario</w:t>
            </w:r>
          </w:p>
        </w:tc>
        <w:tc>
          <w:tcPr>
            <w:tcW w:type="dxa" w:w="6860"/>
            <w:shd w:fill="312E81"/>
            <w:tcMar>
              <w:top w:w="90" w:type="dxa"/>
              <w:start w:w="120" w:type="dxa"/>
              <w:bottom w:w="90" w:type="dxa"/>
              <w:end w:w="120" w:type="dxa"/>
            </w:tcMar>
            <w:vAlign w:val="center"/>
          </w:tcPr>
          <w:p>
            <w:pPr>
              <w:spacing w:before="0" w:after="0" w:line="259" w:lineRule="auto"/>
              <w:jc w:val="left"/>
            </w:pPr>
            <w:r/>
            <w:r>
              <w:rPr>
                <w:rFonts w:ascii="Calibri" w:hAnsi="Calibri"/>
                <w:b/>
                <w:color w:val="FFFFFF"/>
                <w:sz w:val="18"/>
              </w:rPr>
              <w:t>Required behaviour</w:t>
            </w:r>
          </w:p>
        </w:tc>
      </w:tr>
      <w:tr>
        <w:trPr>
          <w:cantSplit/>
        </w:trPr>
        <w:tc>
          <w:tcPr>
            <w:tcW w:type="dxa" w:w="250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Email already exists</w:t>
            </w:r>
          </w:p>
        </w:tc>
        <w:tc>
          <w:tcPr>
            <w:tcW w:type="dxa" w:w="686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Authenticate or recover the existing account, then continue the selected onboarding intent.</w:t>
            </w:r>
          </w:p>
        </w:tc>
      </w:tr>
      <w:tr>
        <w:trPr>
          <w:cantSplit/>
        </w:trPr>
        <w:tc>
          <w:tcPr>
            <w:tcW w:type="dxa" w:w="250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Phone shared by family</w:t>
            </w:r>
          </w:p>
        </w:tc>
        <w:tc>
          <w:tcPr>
            <w:tcW w:type="dxa" w:w="686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Do not auto-merge users; require explicit identity verification and support-assisted resolution where necessary.</w:t>
            </w:r>
          </w:p>
        </w:tc>
      </w:tr>
      <w:tr>
        <w:trPr>
          <w:cantSplit/>
        </w:trPr>
        <w:tc>
          <w:tcPr>
            <w:tcW w:type="dxa" w:w="250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Invitation accepted by wrong account</w:t>
            </w:r>
          </w:p>
        </w:tc>
        <w:tc>
          <w:tcPr>
            <w:tcW w:type="dxa" w:w="686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Stop when the intended verified destination does not match; offer safe account switching.</w:t>
            </w:r>
          </w:p>
        </w:tc>
      </w:tr>
      <w:tr>
        <w:trPr>
          <w:cantSplit/>
        </w:trPr>
        <w:tc>
          <w:tcPr>
            <w:tcW w:type="dxa" w:w="250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Expired/revoked invitation</w:t>
            </w:r>
          </w:p>
        </w:tc>
        <w:tc>
          <w:tcPr>
            <w:tcW w:type="dxa" w:w="686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Explain that the link is no longer valid without revealing protected membership data; allow authorised resend request.</w:t>
            </w:r>
          </w:p>
        </w:tc>
      </w:tr>
      <w:tr>
        <w:trPr>
          <w:cantSplit/>
        </w:trPr>
        <w:tc>
          <w:tcPr>
            <w:tcW w:type="dxa" w:w="250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School slug changed</w:t>
            </w:r>
          </w:p>
        </w:tc>
        <w:tc>
          <w:tcPr>
            <w:tcW w:type="dxa" w:w="686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Preserve a controlled redirect from the old slug and audit the change.</w:t>
            </w:r>
          </w:p>
        </w:tc>
      </w:tr>
      <w:tr>
        <w:trPr>
          <w:cantSplit/>
        </w:trPr>
        <w:tc>
          <w:tcPr>
            <w:tcW w:type="dxa" w:w="250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Logo/background fails</w:t>
            </w:r>
          </w:p>
        </w:tc>
        <w:tc>
          <w:tcPr>
            <w:tcW w:type="dxa" w:w="686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Keep the draft, show exact safe remediation and preserve previously published branding.</w:t>
            </w:r>
          </w:p>
        </w:tc>
      </w:tr>
      <w:tr>
        <w:trPr>
          <w:cantSplit/>
        </w:trPr>
        <w:tc>
          <w:tcPr>
            <w:tcW w:type="dxa" w:w="250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Network drops during setup</w:t>
            </w:r>
          </w:p>
        </w:tc>
        <w:tc>
          <w:tcPr>
            <w:tcW w:type="dxa" w:w="686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Autosave safe draft fields locally/server-side and resume without duplicate tenant creation.</w:t>
            </w:r>
          </w:p>
        </w:tc>
      </w:tr>
      <w:tr>
        <w:trPr>
          <w:cantSplit/>
        </w:trPr>
        <w:tc>
          <w:tcPr>
            <w:tcW w:type="dxa" w:w="250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Membership suspended</w:t>
            </w:r>
          </w:p>
        </w:tc>
        <w:tc>
          <w:tcPr>
            <w:tcW w:type="dxa" w:w="686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Retain the global account and personal workspace; block only the suspended school destination.</w:t>
            </w:r>
          </w:p>
        </w:tc>
      </w:tr>
      <w:tr>
        <w:trPr>
          <w:cantSplit/>
        </w:trPr>
        <w:tc>
          <w:tcPr>
            <w:tcW w:type="dxa" w:w="250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School subscription expires</w:t>
            </w:r>
          </w:p>
        </w:tc>
        <w:tc>
          <w:tcPr>
            <w:tcW w:type="dxa" w:w="686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Apply grace/read/export policy; do not delete records or charge individual school users.</w:t>
            </w:r>
          </w:p>
        </w:tc>
      </w:tr>
      <w:tr>
        <w:trPr>
          <w:cantSplit/>
        </w:trPr>
        <w:tc>
          <w:tcPr>
            <w:tcW w:type="dxa" w:w="250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Student reaches consent age threshold</w:t>
            </w:r>
          </w:p>
        </w:tc>
        <w:tc>
          <w:tcPr>
            <w:tcW w:type="dxa" w:w="686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Trigger the configured consent/notice transition without losing school access improperly.</w:t>
            </w:r>
          </w:p>
        </w:tc>
      </w:tr>
      <w:tr>
        <w:trPr>
          <w:cantSplit/>
        </w:trPr>
        <w:tc>
          <w:tcPr>
            <w:tcW w:type="dxa" w:w="250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Duplicate legacy records</w:t>
            </w:r>
          </w:p>
        </w:tc>
        <w:tc>
          <w:tcPr>
            <w:tcW w:type="dxa" w:w="686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Queue for verified claim/review; never merge on name similarity alone.</w:t>
            </w:r>
          </w:p>
        </w:tc>
      </w:tr>
    </w:tbl>
    <w:p>
      <w:pPr>
        <w:spacing w:after="40"/>
      </w:pPr>
    </w:p>
    <w:p>
      <w:pPr>
        <w:pStyle w:val="Heading1"/>
      </w:pPr>
      <w:r>
        <w:t>24. Dependencies and Assumptions</w:t>
      </w:r>
    </w:p>
    <w:p>
      <w:pPr>
        <w:pStyle w:val="Heading2"/>
      </w:pPr>
      <w:r>
        <w:t>24.1 Dependencies</w:t>
      </w:r>
    </w:p>
    <w:p>
      <w:pPr>
        <w:pStyle w:val="ListBullet"/>
        <w:spacing w:after="100" w:line="280" w:lineRule="auto"/>
        <w:ind w:left="720" w:hanging="360"/>
      </w:pPr>
      <w:r>
        <w:rPr>
          <w:rFonts w:ascii="Calibri" w:hAnsi="Calibri"/>
          <w:color w:val="172033"/>
          <w:sz w:val="21"/>
        </w:rPr>
        <w:t>Existing Laravel authentication, policy and tenant-isolation foundation</w:t>
      </w:r>
    </w:p>
    <w:p>
      <w:pPr>
        <w:pStyle w:val="ListBullet"/>
        <w:spacing w:after="100" w:line="280" w:lineRule="auto"/>
        <w:ind w:left="720" w:hanging="360"/>
      </w:pPr>
      <w:r>
        <w:rPr>
          <w:rFonts w:ascii="Calibri" w:hAnsi="Calibri"/>
          <w:color w:val="172033"/>
          <w:sz w:val="21"/>
        </w:rPr>
        <w:t>Email/OTP delivery provider and queue workers</w:t>
      </w:r>
    </w:p>
    <w:p>
      <w:pPr>
        <w:pStyle w:val="ListBullet"/>
        <w:spacing w:after="100" w:line="280" w:lineRule="auto"/>
        <w:ind w:left="720" w:hanging="360"/>
      </w:pPr>
      <w:r>
        <w:rPr>
          <w:rFonts w:ascii="Calibri" w:hAnsi="Calibri"/>
          <w:color w:val="172033"/>
          <w:sz w:val="21"/>
        </w:rPr>
        <w:t>Object/file storage for tenant logos and backgrounds</w:t>
      </w:r>
    </w:p>
    <w:p>
      <w:pPr>
        <w:pStyle w:val="ListBullet"/>
        <w:spacing w:after="100" w:line="280" w:lineRule="auto"/>
        <w:ind w:left="720" w:hanging="360"/>
      </w:pPr>
      <w:r>
        <w:rPr>
          <w:rFonts w:ascii="Calibri" w:hAnsi="Calibri"/>
          <w:color w:val="172033"/>
          <w:sz w:val="21"/>
        </w:rPr>
        <w:t>Redis for rate limits, queues and safe short-lived caches</w:t>
      </w:r>
    </w:p>
    <w:p>
      <w:pPr>
        <w:pStyle w:val="ListBullet"/>
        <w:spacing w:after="100" w:line="280" w:lineRule="auto"/>
        <w:ind w:left="720" w:hanging="360"/>
      </w:pPr>
      <w:r>
        <w:rPr>
          <w:rFonts w:ascii="Calibri" w:hAnsi="Calibri"/>
          <w:color w:val="172033"/>
          <w:sz w:val="21"/>
        </w:rPr>
        <w:t>Billing/payment provider for paid plans and idempotent callbacks</w:t>
      </w:r>
    </w:p>
    <w:p>
      <w:pPr>
        <w:pStyle w:val="ListBullet"/>
        <w:spacing w:after="100" w:line="280" w:lineRule="auto"/>
        <w:ind w:left="720" w:hanging="360"/>
      </w:pPr>
      <w:r>
        <w:rPr>
          <w:rFonts w:ascii="Calibri" w:hAnsi="Calibri"/>
          <w:color w:val="172033"/>
          <w:sz w:val="21"/>
        </w:rPr>
        <w:t>Analytics and observability pipeline</w:t>
      </w:r>
    </w:p>
    <w:p>
      <w:pPr>
        <w:pStyle w:val="ListBullet"/>
        <w:spacing w:after="100" w:line="280" w:lineRule="auto"/>
        <w:ind w:left="720" w:hanging="360"/>
      </w:pPr>
      <w:r>
        <w:rPr>
          <w:rFonts w:ascii="Calibri" w:hAnsi="Calibri"/>
          <w:color w:val="172033"/>
          <w:sz w:val="21"/>
        </w:rPr>
        <w:t>Curriculum, assessment and school-core modules defined in the baseline specification</w:t>
      </w:r>
    </w:p>
    <w:p>
      <w:pPr>
        <w:pStyle w:val="Heading2"/>
      </w:pPr>
      <w:r>
        <w:t>24.2 Assumptions</w:t>
      </w:r>
    </w:p>
    <w:p>
      <w:pPr>
        <w:pStyle w:val="ListBullet"/>
        <w:spacing w:after="100" w:line="280" w:lineRule="auto"/>
        <w:ind w:left="720" w:hanging="360"/>
      </w:pPr>
      <w:r>
        <w:rPr>
          <w:rFonts w:ascii="Calibri" w:hAnsi="Calibri"/>
          <w:color w:val="172033"/>
          <w:sz w:val="21"/>
        </w:rPr>
        <w:t>The initial production target remains Hostinger-compatible, but architecture must not depend on shared-hosting limitations as permanent constraints.</w:t>
      </w:r>
    </w:p>
    <w:p>
      <w:pPr>
        <w:pStyle w:val="ListBullet"/>
        <w:spacing w:after="100" w:line="280" w:lineRule="auto"/>
        <w:ind w:left="720" w:hanging="360"/>
      </w:pPr>
      <w:r>
        <w:rPr>
          <w:rFonts w:ascii="Calibri" w:hAnsi="Calibri"/>
          <w:color w:val="172033"/>
          <w:sz w:val="21"/>
        </w:rPr>
        <w:t>Google is an optional convenience provider, not the only sign-in method.</w:t>
      </w:r>
    </w:p>
    <w:p>
      <w:pPr>
        <w:pStyle w:val="ListBullet"/>
        <w:spacing w:after="100" w:line="280" w:lineRule="auto"/>
        <w:ind w:left="720" w:hanging="360"/>
      </w:pPr>
      <w:r>
        <w:rPr>
          <w:rFonts w:ascii="Calibri" w:hAnsi="Calibri"/>
          <w:color w:val="172033"/>
          <w:sz w:val="21"/>
        </w:rPr>
        <w:t>Most school users will first access Skuggle through Android phones, shared links or school-issued credentials.</w:t>
      </w:r>
    </w:p>
    <w:p>
      <w:pPr>
        <w:pStyle w:val="ListBullet"/>
        <w:spacing w:after="100" w:line="280" w:lineRule="auto"/>
        <w:ind w:left="720" w:hanging="360"/>
      </w:pPr>
      <w:r>
        <w:rPr>
          <w:rFonts w:ascii="Calibri" w:hAnsi="Calibri"/>
          <w:color w:val="172033"/>
          <w:sz w:val="21"/>
        </w:rPr>
        <w:t>Email is available to most administrators and teachers; telephone/OTP and printed credentials remain necessary for parents and students.</w:t>
      </w:r>
    </w:p>
    <w:p>
      <w:pPr>
        <w:pStyle w:val="ListBullet"/>
        <w:spacing w:after="100" w:line="280" w:lineRule="auto"/>
        <w:ind w:left="720" w:hanging="360"/>
      </w:pPr>
      <w:r>
        <w:rPr>
          <w:rFonts w:ascii="Calibri" w:hAnsi="Calibri"/>
          <w:color w:val="172033"/>
          <w:sz w:val="21"/>
        </w:rPr>
        <w:t>Exact paid prices will be approved after pilot usage and support costs are measured.</w:t>
      </w:r>
    </w:p>
    <w:p>
      <w:pPr>
        <w:pStyle w:val="Heading1"/>
      </w:pPr>
      <w:r>
        <w:t>25. Risks and Mitigations</w:t>
      </w:r>
    </w:p>
    <w:tbl>
      <w:tblPr>
        <w:tblStyle w:val="TableGrid"/>
        <w:tblW w:type="dxa" w:w="9360"/>
        <w:jc w:val="left"/>
        <w:tblLayout w:type="fixed"/>
        <w:tblLook w:firstColumn="1" w:firstRow="1" w:lastColumn="0" w:lastRow="0" w:noHBand="0" w:noVBand="1" w:val="04A0"/>
        <w:tblInd w:w="120" w:type="dxa"/>
      </w:tblPr>
      <w:tblGrid>
        <w:gridCol w:w="2450"/>
        <w:gridCol w:w="1100"/>
        <w:gridCol w:w="5810"/>
      </w:tblGrid>
      <w:tr>
        <w:trPr>
          <w:tblHeader w:val="true"/>
          <w:cantSplit/>
        </w:trPr>
        <w:tc>
          <w:tcPr>
            <w:tcW w:type="dxa" w:w="2450"/>
            <w:shd w:fill="312E81"/>
            <w:tcMar>
              <w:top w:w="90" w:type="dxa"/>
              <w:start w:w="120" w:type="dxa"/>
              <w:bottom w:w="90" w:type="dxa"/>
              <w:end w:w="120" w:type="dxa"/>
            </w:tcMar>
            <w:vAlign w:val="center"/>
          </w:tcPr>
          <w:p>
            <w:pPr>
              <w:spacing w:before="0" w:after="0" w:line="259" w:lineRule="auto"/>
              <w:jc w:val="center"/>
            </w:pPr>
            <w:r/>
            <w:r>
              <w:rPr>
                <w:rFonts w:ascii="Calibri" w:hAnsi="Calibri"/>
                <w:b/>
                <w:color w:val="FFFFFF"/>
                <w:sz w:val="18"/>
              </w:rPr>
              <w:t>Risk</w:t>
            </w:r>
          </w:p>
        </w:tc>
        <w:tc>
          <w:tcPr>
            <w:tcW w:type="dxa" w:w="1100"/>
            <w:shd w:fill="312E81"/>
            <w:tcMar>
              <w:top w:w="90" w:type="dxa"/>
              <w:start w:w="120" w:type="dxa"/>
              <w:bottom w:w="90" w:type="dxa"/>
              <w:end w:w="120" w:type="dxa"/>
            </w:tcMar>
            <w:vAlign w:val="center"/>
          </w:tcPr>
          <w:p>
            <w:pPr>
              <w:spacing w:before="0" w:after="0" w:line="259" w:lineRule="auto"/>
              <w:jc w:val="center"/>
            </w:pPr>
            <w:r/>
            <w:r>
              <w:rPr>
                <w:rFonts w:ascii="Calibri" w:hAnsi="Calibri"/>
                <w:b/>
                <w:color w:val="FFFFFF"/>
                <w:sz w:val="18"/>
              </w:rPr>
              <w:t>Severity</w:t>
            </w:r>
          </w:p>
        </w:tc>
        <w:tc>
          <w:tcPr>
            <w:tcW w:type="dxa" w:w="5810"/>
            <w:shd w:fill="312E81"/>
            <w:tcMar>
              <w:top w:w="90" w:type="dxa"/>
              <w:start w:w="120" w:type="dxa"/>
              <w:bottom w:w="90" w:type="dxa"/>
              <w:end w:w="120" w:type="dxa"/>
            </w:tcMar>
            <w:vAlign w:val="center"/>
          </w:tcPr>
          <w:p>
            <w:pPr>
              <w:spacing w:before="0" w:after="0" w:line="259" w:lineRule="auto"/>
              <w:jc w:val="center"/>
            </w:pPr>
            <w:r/>
            <w:r>
              <w:rPr>
                <w:rFonts w:ascii="Calibri" w:hAnsi="Calibri"/>
                <w:b/>
                <w:color w:val="FFFFFF"/>
                <w:sz w:val="18"/>
              </w:rPr>
              <w:t>Mitigation</w:t>
            </w:r>
          </w:p>
        </w:tc>
      </w:tr>
      <w:tr>
        <w:trPr>
          <w:cantSplit/>
        </w:trPr>
        <w:tc>
          <w:tcPr>
            <w:tcW w:type="dxa" w:w="245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Duplicate identities</w:t>
            </w:r>
          </w:p>
        </w:tc>
        <w:tc>
          <w:tcPr>
            <w:tcW w:type="dxa" w:w="110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High</w:t>
            </w:r>
          </w:p>
        </w:tc>
        <w:tc>
          <w:tcPr>
            <w:tcW w:type="dxa" w:w="581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Global identity plus verified identifier matching; no name-only merge.</w:t>
            </w:r>
          </w:p>
        </w:tc>
      </w:tr>
      <w:tr>
        <w:trPr>
          <w:cantSplit/>
        </w:trPr>
        <w:tc>
          <w:tcPr>
            <w:tcW w:type="dxa" w:w="245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Cross-tenant leakage</w:t>
            </w:r>
          </w:p>
        </w:tc>
        <w:tc>
          <w:tcPr>
            <w:tcW w:type="dxa" w:w="110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Critical</w:t>
            </w:r>
          </w:p>
        </w:tc>
        <w:tc>
          <w:tcPr>
            <w:tcW w:type="dxa" w:w="581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Server-side scoping, policies, automated isolation tests and security monitoring.</w:t>
            </w:r>
          </w:p>
        </w:tc>
      </w:tr>
      <w:tr>
        <w:trPr>
          <w:cantSplit/>
        </w:trPr>
        <w:tc>
          <w:tcPr>
            <w:tcW w:type="dxa" w:w="245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Unsafe child claiming</w:t>
            </w:r>
          </w:p>
        </w:tc>
        <w:tc>
          <w:tcPr>
            <w:tcW w:type="dxa" w:w="110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Critical</w:t>
            </w:r>
          </w:p>
        </w:tc>
        <w:tc>
          <w:tcPr>
            <w:tcW w:type="dxa" w:w="581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School invitation/linking evidence and privacy-safe discovery rules.</w:t>
            </w:r>
          </w:p>
        </w:tc>
      </w:tr>
      <w:tr>
        <w:trPr>
          <w:cantSplit/>
        </w:trPr>
        <w:tc>
          <w:tcPr>
            <w:tcW w:type="dxa" w:w="245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Animation harms speed/accessibility</w:t>
            </w:r>
          </w:p>
        </w:tc>
        <w:tc>
          <w:tcPr>
            <w:tcW w:type="dxa" w:w="110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Medium</w:t>
            </w:r>
          </w:p>
        </w:tc>
        <w:tc>
          <w:tcPr>
            <w:tcW w:type="dxa" w:w="581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Three-second cap, skip, reduced motion and lightweight cached assets.</w:t>
            </w:r>
          </w:p>
        </w:tc>
      </w:tr>
      <w:tr>
        <w:trPr>
          <w:cantSplit/>
        </w:trPr>
        <w:tc>
          <w:tcPr>
            <w:tcW w:type="dxa" w:w="245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Free-plan abuse or high AI cost</w:t>
            </w:r>
          </w:p>
        </w:tc>
        <w:tc>
          <w:tcPr>
            <w:tcW w:type="dxa" w:w="110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High</w:t>
            </w:r>
          </w:p>
        </w:tc>
        <w:tc>
          <w:tcPr>
            <w:tcW w:type="dxa" w:w="581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Verified accounts, fair-use allowances, rate limits and metered usage.</w:t>
            </w:r>
          </w:p>
        </w:tc>
      </w:tr>
      <w:tr>
        <w:trPr>
          <w:cantSplit/>
        </w:trPr>
        <w:tc>
          <w:tcPr>
            <w:tcW w:type="dxa" w:w="245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Free tier reduces conversion</w:t>
            </w:r>
          </w:p>
        </w:tc>
        <w:tc>
          <w:tcPr>
            <w:tcW w:type="dxa" w:w="110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Medium</w:t>
            </w:r>
          </w:p>
        </w:tc>
        <w:tc>
          <w:tcPr>
            <w:tcW w:type="dxa" w:w="581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Gate scale, automation, intelligence and institutional history; test thresholds by cohort.</w:t>
            </w:r>
          </w:p>
        </w:tc>
      </w:tr>
      <w:tr>
        <w:trPr>
          <w:cantSplit/>
        </w:trPr>
        <w:tc>
          <w:tcPr>
            <w:tcW w:type="dxa" w:w="245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School setup abandonment</w:t>
            </w:r>
          </w:p>
        </w:tc>
        <w:tc>
          <w:tcPr>
            <w:tcW w:type="dxa" w:w="110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High</w:t>
            </w:r>
          </w:p>
        </w:tc>
        <w:tc>
          <w:tcPr>
            <w:tcW w:type="dxa" w:w="581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Minimum first form, autosave, guided checklist, sample configuration and resume.</w:t>
            </w:r>
          </w:p>
        </w:tc>
      </w:tr>
      <w:tr>
        <w:trPr>
          <w:cantSplit/>
        </w:trPr>
        <w:tc>
          <w:tcPr>
            <w:tcW w:type="dxa" w:w="245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Notification delivery cost</w:t>
            </w:r>
          </w:p>
        </w:tc>
        <w:tc>
          <w:tcPr>
            <w:tcW w:type="dxa" w:w="110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Medium</w:t>
            </w:r>
          </w:p>
        </w:tc>
        <w:tc>
          <w:tcPr>
            <w:tcW w:type="dxa" w:w="581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In-app/email defaults; device share links; metered SMS/WhatsApp integrations.</w:t>
            </w:r>
          </w:p>
        </w:tc>
      </w:tr>
      <w:tr>
        <w:trPr>
          <w:cantSplit/>
        </w:trPr>
        <w:tc>
          <w:tcPr>
            <w:tcW w:type="dxa" w:w="245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Legacy user migration errors</w:t>
            </w:r>
          </w:p>
        </w:tc>
        <w:tc>
          <w:tcPr>
            <w:tcW w:type="dxa" w:w="110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High</w:t>
            </w:r>
          </w:p>
        </w:tc>
        <w:tc>
          <w:tcPr>
            <w:tcW w:type="dxa" w:w="581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Staged migration, claim flow, reversible mapping and exception review.</w:t>
            </w:r>
          </w:p>
        </w:tc>
      </w:tr>
      <w:tr>
        <w:trPr>
          <w:cantSplit/>
        </w:trPr>
        <w:tc>
          <w:tcPr>
            <w:tcW w:type="dxa" w:w="245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Brand colour creates unreadable UI</w:t>
            </w:r>
          </w:p>
        </w:tc>
        <w:tc>
          <w:tcPr>
            <w:tcW w:type="dxa" w:w="110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Medium</w:t>
            </w:r>
          </w:p>
        </w:tc>
        <w:tc>
          <w:tcPr>
            <w:tcW w:type="dxa" w:w="581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Contrast validation and protected system-semantic colours.</w:t>
            </w:r>
          </w:p>
        </w:tc>
      </w:tr>
    </w:tbl>
    <w:p>
      <w:pPr>
        <w:spacing w:after="40"/>
      </w:pPr>
    </w:p>
    <w:p>
      <w:pPr>
        <w:pStyle w:val="Heading1"/>
      </w:pPr>
      <w:r>
        <w:t>26. Delivery and Rollout</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cantSplit/>
        </w:trPr>
        <w:tc>
          <w:tcPr>
            <w:tcW w:type="dxa" w:w="2600"/>
            <w:shd w:fill="312E81"/>
            <w:tcMar>
              <w:top w:w="90" w:type="dxa"/>
              <w:start w:w="120" w:type="dxa"/>
              <w:bottom w:w="90" w:type="dxa"/>
              <w:end w:w="120" w:type="dxa"/>
            </w:tcMar>
            <w:vAlign w:val="center"/>
          </w:tcPr>
          <w:p>
            <w:pPr>
              <w:keepNext/>
              <w:spacing w:before="0" w:after="0" w:line="259" w:lineRule="auto"/>
              <w:jc w:val="center"/>
            </w:pPr>
            <w:r/>
            <w:r>
              <w:rPr>
                <w:rFonts w:ascii="Calibri" w:hAnsi="Calibri"/>
                <w:b/>
                <w:color w:val="FFFFFF"/>
                <w:sz w:val="18"/>
              </w:rPr>
              <w:t>Phase</w:t>
            </w:r>
          </w:p>
        </w:tc>
        <w:tc>
          <w:tcPr>
            <w:tcW w:type="dxa" w:w="6760"/>
            <w:shd w:fill="312E81"/>
            <w:tcMar>
              <w:top w:w="90" w:type="dxa"/>
              <w:start w:w="120" w:type="dxa"/>
              <w:bottom w:w="90" w:type="dxa"/>
              <w:end w:w="120" w:type="dxa"/>
            </w:tcMar>
            <w:vAlign w:val="center"/>
          </w:tcPr>
          <w:p>
            <w:pPr>
              <w:keepNext/>
              <w:spacing w:before="0" w:after="0" w:line="259" w:lineRule="auto"/>
              <w:jc w:val="center"/>
            </w:pPr>
            <w:r/>
            <w:r>
              <w:rPr>
                <w:rFonts w:ascii="Calibri" w:hAnsi="Calibri"/>
                <w:b/>
                <w:color w:val="FFFFFF"/>
                <w:sz w:val="18"/>
              </w:rPr>
              <w:t>Deliverable</w:t>
            </w:r>
          </w:p>
        </w:tc>
      </w:tr>
      <w:tr>
        <w:trPr>
          <w:cantSplit/>
        </w:trPr>
        <w:tc>
          <w:tcPr>
            <w:tcW w:type="dxa" w:w="260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Phase 1 - Identity foundation</w:t>
            </w:r>
          </w:p>
        </w:tc>
        <w:tc>
          <w:tcPr>
            <w:tcW w:type="dxa" w:w="676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Global accounts, memberships, tenant usernames, account recovery, audit and migration proof.</w:t>
            </w:r>
          </w:p>
        </w:tc>
      </w:tr>
      <w:tr>
        <w:trPr>
          <w:cantSplit/>
        </w:trPr>
        <w:tc>
          <w:tcPr>
            <w:tcW w:type="dxa" w:w="260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Phase 2 - Public entry</w:t>
            </w:r>
          </w:p>
        </w:tc>
        <w:tc>
          <w:tcPr>
            <w:tcW w:type="dxa" w:w="676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Four Get Started cards, intent persistence, verification and personal workspace shell.</w:t>
            </w:r>
          </w:p>
        </w:tc>
      </w:tr>
      <w:tr>
        <w:trPr>
          <w:cantSplit/>
        </w:trPr>
        <w:tc>
          <w:tcPr>
            <w:tcW w:type="dxa" w:w="260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Phase 3 - School launch</w:t>
            </w:r>
          </w:p>
        </w:tc>
        <w:tc>
          <w:tcPr>
            <w:tcW w:type="dxa" w:w="676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Minimum registration, Branding Studio, slug, preview and guided setup progress.</w:t>
            </w:r>
          </w:p>
        </w:tc>
      </w:tr>
      <w:tr>
        <w:trPr>
          <w:cantSplit/>
        </w:trPr>
        <w:tc>
          <w:tcPr>
            <w:tcW w:type="dxa" w:w="260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Phase 4 - Tenant experience</w:t>
            </w:r>
          </w:p>
        </w:tc>
        <w:tc>
          <w:tcPr>
            <w:tcW w:type="dxa" w:w="676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Welcome animation, reduced motion, tenant login, destination resolution and workspace switcher.</w:t>
            </w:r>
          </w:p>
        </w:tc>
      </w:tr>
      <w:tr>
        <w:trPr>
          <w:cantSplit/>
        </w:trPr>
        <w:tc>
          <w:tcPr>
            <w:tcW w:type="dxa" w:w="260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Phase 5 - User onboarding</w:t>
            </w:r>
          </w:p>
        </w:tc>
        <w:tc>
          <w:tcPr>
            <w:tcW w:type="dxa" w:w="676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Invitations, bulk import, temporary credentials, parent-child linking and consent.</w:t>
            </w:r>
          </w:p>
        </w:tc>
      </w:tr>
      <w:tr>
        <w:trPr>
          <w:cantSplit/>
        </w:trPr>
        <w:tc>
          <w:tcPr>
            <w:tcW w:type="dxa" w:w="260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Phase 6 - Freemium and billing</w:t>
            </w:r>
          </w:p>
        </w:tc>
        <w:tc>
          <w:tcPr>
            <w:tcW w:type="dxa" w:w="676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Plans, entitlements, usage ledger, limits, trials, grace and upgrade journeys.</w:t>
            </w:r>
          </w:p>
        </w:tc>
      </w:tr>
      <w:tr>
        <w:trPr>
          <w:cantSplit/>
        </w:trPr>
        <w:tc>
          <w:tcPr>
            <w:tcW w:type="dxa" w:w="260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Phase 7 - Pilot and optimisation</w:t>
            </w:r>
          </w:p>
        </w:tc>
        <w:tc>
          <w:tcPr>
            <w:tcW w:type="dxa" w:w="676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Selected schools and personal users; funnel analysis, support observation, security testing and threshold refinement.</w:t>
            </w:r>
          </w:p>
        </w:tc>
      </w:tr>
    </w:tbl>
    <w:p>
      <w:pPr>
        <w:spacing w:after="40"/>
      </w:pPr>
    </w:p>
    <w:p>
      <w:pPr>
        <w:pStyle w:val="Heading2"/>
      </w:pPr>
      <w:r>
        <w:t>26.1 Release gates</w:t>
      </w:r>
    </w:p>
    <w:p>
      <w:pPr>
        <w:pStyle w:val="ListBullet"/>
        <w:spacing w:after="100" w:line="280" w:lineRule="auto"/>
        <w:ind w:left="720" w:hanging="360"/>
      </w:pPr>
      <w:r>
        <w:rPr>
          <w:rFonts w:ascii="Calibri" w:hAnsi="Calibri"/>
          <w:color w:val="172033"/>
          <w:sz w:val="21"/>
        </w:rPr>
        <w:t>No unresolved critical or high-severity tenant-isolation defect</w:t>
      </w:r>
    </w:p>
    <w:p>
      <w:pPr>
        <w:pStyle w:val="ListBullet"/>
        <w:spacing w:after="100" w:line="280" w:lineRule="auto"/>
        <w:ind w:left="720" w:hanging="360"/>
      </w:pPr>
      <w:r>
        <w:rPr>
          <w:rFonts w:ascii="Calibri" w:hAnsi="Calibri"/>
          <w:color w:val="172033"/>
          <w:sz w:val="21"/>
        </w:rPr>
        <w:t>Account and invitation abuse tests pass</w:t>
      </w:r>
    </w:p>
    <w:p>
      <w:pPr>
        <w:pStyle w:val="ListBullet"/>
        <w:spacing w:after="100" w:line="280" w:lineRule="auto"/>
        <w:ind w:left="720" w:hanging="360"/>
      </w:pPr>
      <w:r>
        <w:rPr>
          <w:rFonts w:ascii="Calibri" w:hAnsi="Calibri"/>
          <w:color w:val="172033"/>
          <w:sz w:val="21"/>
        </w:rPr>
        <w:t>Student/guardian linking privacy tests pass</w:t>
      </w:r>
    </w:p>
    <w:p>
      <w:pPr>
        <w:pStyle w:val="ListBullet"/>
        <w:spacing w:after="100" w:line="280" w:lineRule="auto"/>
        <w:ind w:left="720" w:hanging="360"/>
      </w:pPr>
      <w:r>
        <w:rPr>
          <w:rFonts w:ascii="Calibri" w:hAnsi="Calibri"/>
          <w:color w:val="172033"/>
          <w:sz w:val="21"/>
        </w:rPr>
        <w:t>All critical paths pass keyboard, reduced-motion and target-width tests</w:t>
      </w:r>
    </w:p>
    <w:p>
      <w:pPr>
        <w:pStyle w:val="ListBullet"/>
        <w:spacing w:after="100" w:line="280" w:lineRule="auto"/>
        <w:ind w:left="720" w:hanging="360"/>
      </w:pPr>
      <w:r>
        <w:rPr>
          <w:rFonts w:ascii="Calibri" w:hAnsi="Calibri"/>
          <w:color w:val="172033"/>
          <w:sz w:val="21"/>
        </w:rPr>
        <w:t>Tenant login is interactive within the performance budget</w:t>
      </w:r>
    </w:p>
    <w:p>
      <w:pPr>
        <w:pStyle w:val="ListBullet"/>
        <w:spacing w:after="100" w:line="280" w:lineRule="auto"/>
        <w:ind w:left="720" w:hanging="360"/>
      </w:pPr>
      <w:r>
        <w:rPr>
          <w:rFonts w:ascii="Calibri" w:hAnsi="Calibri"/>
          <w:color w:val="172033"/>
          <w:sz w:val="21"/>
        </w:rPr>
        <w:t>Plan enforcement is consistent between frontend and API</w:t>
      </w:r>
    </w:p>
    <w:p>
      <w:pPr>
        <w:pStyle w:val="ListBullet"/>
        <w:spacing w:after="100" w:line="280" w:lineRule="auto"/>
        <w:ind w:left="720" w:hanging="360"/>
      </w:pPr>
      <w:r>
        <w:rPr>
          <w:rFonts w:ascii="Calibri" w:hAnsi="Calibri"/>
          <w:color w:val="172033"/>
          <w:sz w:val="21"/>
        </w:rPr>
        <w:t>Downgrade and recovery scenarios are verified with no data loss</w:t>
      </w:r>
    </w:p>
    <w:p>
      <w:pPr>
        <w:pStyle w:val="ListBullet"/>
        <w:spacing w:after="100" w:line="280" w:lineRule="auto"/>
        <w:ind w:left="720" w:hanging="360"/>
      </w:pPr>
      <w:r>
        <w:rPr>
          <w:rFonts w:ascii="Calibri" w:hAnsi="Calibri"/>
          <w:color w:val="172033"/>
          <w:sz w:val="21"/>
        </w:rPr>
        <w:t>Support and Platform Admin runbooks are available</w:t>
      </w:r>
    </w:p>
    <w:p>
      <w:pPr>
        <w:pStyle w:val="Heading1"/>
      </w:pPr>
      <w:r>
        <w:t>27. Definition of Done</w:t>
      </w:r>
    </w:p>
    <w:p>
      <w:pPr>
        <w:pStyle w:val="ListBullet"/>
        <w:spacing w:after="100" w:line="280" w:lineRule="auto"/>
        <w:ind w:left="720" w:hanging="360"/>
      </w:pPr>
      <w:r>
        <w:rPr>
          <w:rFonts w:ascii="Calibri" w:hAnsi="Calibri"/>
          <w:color w:val="172033"/>
          <w:sz w:val="21"/>
        </w:rPr>
        <w:t>Four public entry paths are production-ready and instrumented.</w:t>
      </w:r>
    </w:p>
    <w:p>
      <w:pPr>
        <w:pStyle w:val="ListBullet"/>
        <w:spacing w:after="100" w:line="280" w:lineRule="auto"/>
        <w:ind w:left="720" w:hanging="360"/>
      </w:pPr>
      <w:r>
        <w:rPr>
          <w:rFonts w:ascii="Calibri" w:hAnsi="Calibri"/>
          <w:color w:val="172033"/>
          <w:sz w:val="21"/>
        </w:rPr>
        <w:t>One user can own a personal workspace and join multiple test tenants without duplicate identity.</w:t>
      </w:r>
    </w:p>
    <w:p>
      <w:pPr>
        <w:pStyle w:val="ListBullet"/>
        <w:spacing w:after="100" w:line="280" w:lineRule="auto"/>
        <w:ind w:left="720" w:hanging="360"/>
      </w:pPr>
      <w:r>
        <w:rPr>
          <w:rFonts w:ascii="Calibri" w:hAnsi="Calibri"/>
          <w:color w:val="172033"/>
          <w:sz w:val="21"/>
        </w:rPr>
        <w:t>A school can register, verify contact, configure branding, preview and publish its tenant experience.</w:t>
      </w:r>
    </w:p>
    <w:p>
      <w:pPr>
        <w:pStyle w:val="ListBullet"/>
        <w:spacing w:after="100" w:line="280" w:lineRule="auto"/>
        <w:ind w:left="720" w:hanging="360"/>
      </w:pPr>
      <w:r>
        <w:rPr>
          <w:rFonts w:ascii="Calibri" w:hAnsi="Calibri"/>
          <w:color w:val="172033"/>
          <w:sz w:val="21"/>
        </w:rPr>
        <w:t>The welcome stage appears before login, respects reduced motion and reaches login within the defined budget.</w:t>
      </w:r>
    </w:p>
    <w:p>
      <w:pPr>
        <w:pStyle w:val="ListBullet"/>
        <w:spacing w:after="100" w:line="280" w:lineRule="auto"/>
        <w:ind w:left="720" w:hanging="360"/>
      </w:pPr>
      <w:r>
        <w:rPr>
          <w:rFonts w:ascii="Calibri" w:hAnsi="Calibri"/>
          <w:color w:val="172033"/>
          <w:sz w:val="21"/>
        </w:rPr>
        <w:t>Administrator invitation, bulk import, temporary credential and revocation workflows pass acceptance tests.</w:t>
      </w:r>
    </w:p>
    <w:p>
      <w:pPr>
        <w:pStyle w:val="ListBullet"/>
        <w:spacing w:after="100" w:line="280" w:lineRule="auto"/>
        <w:ind w:left="720" w:hanging="360"/>
      </w:pPr>
      <w:r>
        <w:rPr>
          <w:rFonts w:ascii="Calibri" w:hAnsi="Calibri"/>
          <w:color w:val="172033"/>
          <w:sz w:val="21"/>
        </w:rPr>
        <w:t>Parent-child and student onboarding rules prevent unauthorised claiming.</w:t>
      </w:r>
    </w:p>
    <w:p>
      <w:pPr>
        <w:pStyle w:val="ListBullet"/>
        <w:spacing w:after="100" w:line="280" w:lineRule="auto"/>
        <w:ind w:left="720" w:hanging="360"/>
      </w:pPr>
      <w:r>
        <w:rPr>
          <w:rFonts w:ascii="Calibri" w:hAnsi="Calibri"/>
          <w:color w:val="172033"/>
          <w:sz w:val="21"/>
        </w:rPr>
        <w:t>Role-specific home experiences show relevant information and immediate next actions.</w:t>
      </w:r>
    </w:p>
    <w:p>
      <w:pPr>
        <w:pStyle w:val="ListBullet"/>
        <w:spacing w:after="100" w:line="280" w:lineRule="auto"/>
        <w:ind w:left="720" w:hanging="360"/>
      </w:pPr>
      <w:r>
        <w:rPr>
          <w:rFonts w:ascii="Calibri" w:hAnsi="Calibri"/>
          <w:color w:val="172033"/>
          <w:sz w:val="21"/>
        </w:rPr>
        <w:t>Free and paid entitlements are enforced server-side with visible usage and safe downgrade behaviour.</w:t>
      </w:r>
    </w:p>
    <w:p>
      <w:pPr>
        <w:pStyle w:val="ListBullet"/>
        <w:spacing w:after="100" w:line="280" w:lineRule="auto"/>
        <w:ind w:left="720" w:hanging="360"/>
      </w:pPr>
      <w:r>
        <w:rPr>
          <w:rFonts w:ascii="Calibri" w:hAnsi="Calibri"/>
          <w:color w:val="172033"/>
          <w:sz w:val="21"/>
        </w:rPr>
        <w:t>Tenant isolation, audit logging, rate limiting, recovery, accessibility and privacy tests pass.</w:t>
      </w:r>
    </w:p>
    <w:p>
      <w:pPr>
        <w:pStyle w:val="ListBullet"/>
        <w:spacing w:after="100" w:line="280" w:lineRule="auto"/>
        <w:ind w:left="720" w:hanging="360"/>
      </w:pPr>
      <w:r>
        <w:rPr>
          <w:rFonts w:ascii="Calibri" w:hAnsi="Calibri"/>
          <w:color w:val="172033"/>
          <w:sz w:val="21"/>
        </w:rPr>
        <w:t>Product analytics dashboards and operational alerts are available for the pilot.</w:t>
      </w:r>
    </w:p>
    <w:p>
      <w:pPr>
        <w:pStyle w:val="ListBullet"/>
        <w:spacing w:after="100" w:line="280" w:lineRule="auto"/>
        <w:ind w:left="720" w:hanging="360"/>
      </w:pPr>
      <w:r>
        <w:rPr>
          <w:rFonts w:ascii="Calibri" w:hAnsi="Calibri"/>
          <w:color w:val="172033"/>
          <w:sz w:val="21"/>
        </w:rPr>
        <w:t>Documentation, migration plan, support runbook and administrator guidance are approved.</w:t>
      </w:r>
    </w:p>
    <w:p>
      <w:pPr>
        <w:pStyle w:val="Heading1"/>
      </w:pPr>
      <w:r>
        <w:t>28. Open Product Decisions</w:t>
      </w:r>
    </w:p>
    <w:tbl>
      <w:tblPr>
        <w:tblStyle w:val="TableGrid"/>
        <w:tblW w:type="dxa" w:w="9360"/>
        <w:jc w:val="left"/>
        <w:tblLayout w:type="fixed"/>
        <w:tblLook w:firstColumn="1" w:firstRow="1" w:lastColumn="0" w:lastRow="0" w:noHBand="0" w:noVBand="1" w:val="04A0"/>
        <w:tblInd w:w="120" w:type="dxa"/>
      </w:tblPr>
      <w:tblGrid>
        <w:gridCol w:w="3100"/>
        <w:gridCol w:w="3860"/>
        <w:gridCol w:w="2400"/>
      </w:tblGrid>
      <w:tr>
        <w:trPr>
          <w:tblHeader w:val="true"/>
          <w:cantSplit/>
        </w:trPr>
        <w:tc>
          <w:tcPr>
            <w:tcW w:type="dxa" w:w="3100"/>
            <w:shd w:fill="312E81"/>
            <w:tcMar>
              <w:top w:w="90" w:type="dxa"/>
              <w:start w:w="120" w:type="dxa"/>
              <w:bottom w:w="90" w:type="dxa"/>
              <w:end w:w="120" w:type="dxa"/>
            </w:tcMar>
            <w:vAlign w:val="center"/>
          </w:tcPr>
          <w:p>
            <w:pPr>
              <w:keepNext/>
              <w:spacing w:before="0" w:after="0" w:line="259" w:lineRule="auto"/>
              <w:jc w:val="center"/>
            </w:pPr>
            <w:r/>
            <w:r>
              <w:rPr>
                <w:rFonts w:ascii="Calibri" w:hAnsi="Calibri"/>
                <w:b/>
                <w:color w:val="FFFFFF"/>
                <w:sz w:val="18"/>
              </w:rPr>
              <w:t>Decision</w:t>
            </w:r>
          </w:p>
        </w:tc>
        <w:tc>
          <w:tcPr>
            <w:tcW w:type="dxa" w:w="3860"/>
            <w:shd w:fill="312E81"/>
            <w:tcMar>
              <w:top w:w="90" w:type="dxa"/>
              <w:start w:w="120" w:type="dxa"/>
              <w:bottom w:w="90" w:type="dxa"/>
              <w:end w:w="120" w:type="dxa"/>
            </w:tcMar>
            <w:vAlign w:val="center"/>
          </w:tcPr>
          <w:p>
            <w:pPr>
              <w:keepNext/>
              <w:spacing w:before="0" w:after="0" w:line="259" w:lineRule="auto"/>
              <w:jc w:val="left"/>
            </w:pPr>
            <w:r/>
            <w:r>
              <w:rPr>
                <w:rFonts w:ascii="Calibri" w:hAnsi="Calibri"/>
                <w:b/>
                <w:color w:val="FFFFFF"/>
                <w:sz w:val="18"/>
              </w:rPr>
              <w:t>Evidence required</w:t>
            </w:r>
          </w:p>
        </w:tc>
        <w:tc>
          <w:tcPr>
            <w:tcW w:type="dxa" w:w="2400"/>
            <w:shd w:fill="312E81"/>
            <w:tcMar>
              <w:top w:w="90" w:type="dxa"/>
              <w:start w:w="120" w:type="dxa"/>
              <w:bottom w:w="90" w:type="dxa"/>
              <w:end w:w="120" w:type="dxa"/>
            </w:tcMar>
            <w:vAlign w:val="center"/>
          </w:tcPr>
          <w:p>
            <w:pPr>
              <w:keepNext/>
              <w:spacing w:before="0" w:after="0" w:line="259" w:lineRule="auto"/>
              <w:jc w:val="left"/>
            </w:pPr>
            <w:r/>
            <w:r>
              <w:rPr>
                <w:rFonts w:ascii="Calibri" w:hAnsi="Calibri"/>
                <w:b/>
                <w:color w:val="FFFFFF"/>
                <w:sz w:val="18"/>
              </w:rPr>
              <w:t>Decision point</w:t>
            </w:r>
          </w:p>
        </w:tc>
      </w:tr>
      <w:tr>
        <w:trPr>
          <w:cantSplit/>
        </w:trPr>
        <w:tc>
          <w:tcPr>
            <w:tcW w:type="dxa" w:w="310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Exact School Starter storage limit</w:t>
            </w:r>
          </w:p>
        </w:tc>
        <w:tc>
          <w:tcPr>
            <w:tcW w:type="dxa" w:w="386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Pilot infrastructure measurements</w:t>
            </w:r>
          </w:p>
        </w:tc>
        <w:tc>
          <w:tcPr>
            <w:tcW w:type="dxa" w:w="240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Before public free launch</w:t>
            </w:r>
          </w:p>
        </w:tc>
      </w:tr>
      <w:tr>
        <w:trPr>
          <w:cantSplit/>
        </w:trPr>
        <w:tc>
          <w:tcPr>
            <w:tcW w:type="dxa" w:w="310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Exact monthly AI allowances per personal role</w:t>
            </w:r>
          </w:p>
        </w:tc>
        <w:tc>
          <w:tcPr>
            <w:tcW w:type="dxa" w:w="386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Provider cost and observed value</w:t>
            </w:r>
          </w:p>
        </w:tc>
        <w:tc>
          <w:tcPr>
            <w:tcW w:type="dxa" w:w="240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Before billing integration</w:t>
            </w:r>
          </w:p>
        </w:tc>
      </w:tr>
      <w:tr>
        <w:trPr>
          <w:cantSplit/>
        </w:trPr>
        <w:tc>
          <w:tcPr>
            <w:tcW w:type="dxa" w:w="310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Personal Student minimum self-signup age</w:t>
            </w:r>
          </w:p>
        </w:tc>
        <w:tc>
          <w:tcPr>
            <w:tcW w:type="dxa" w:w="386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Legal review and consent implementation</w:t>
            </w:r>
          </w:p>
        </w:tc>
        <w:tc>
          <w:tcPr>
            <w:tcW w:type="dxa" w:w="240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Before student public registration</w:t>
            </w:r>
          </w:p>
        </w:tc>
      </w:tr>
      <w:tr>
        <w:trPr>
          <w:cantSplit/>
        </w:trPr>
        <w:tc>
          <w:tcPr>
            <w:tcW w:type="dxa" w:w="310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Tenant welcome replay frequency</w:t>
            </w:r>
          </w:p>
        </w:tc>
        <w:tc>
          <w:tcPr>
            <w:tcW w:type="dxa" w:w="386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User testing and performance data</w:t>
            </w:r>
          </w:p>
        </w:tc>
        <w:tc>
          <w:tcPr>
            <w:tcW w:type="dxa" w:w="240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Pilot</w:t>
            </w:r>
          </w:p>
        </w:tc>
      </w:tr>
      <w:tr>
        <w:trPr>
          <w:cantSplit/>
        </w:trPr>
        <w:tc>
          <w:tcPr>
            <w:tcW w:type="dxa" w:w="310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Custom-domain plan eligibility</w:t>
            </w:r>
          </w:p>
        </w:tc>
        <w:tc>
          <w:tcPr>
            <w:tcW w:type="dxa" w:w="386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Support/security cost</w:t>
            </w:r>
          </w:p>
        </w:tc>
        <w:tc>
          <w:tcPr>
            <w:tcW w:type="dxa" w:w="240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Before Enterprise launch</w:t>
            </w:r>
          </w:p>
        </w:tc>
      </w:tr>
      <w:tr>
        <w:trPr>
          <w:cantSplit/>
        </w:trPr>
        <w:tc>
          <w:tcPr>
            <w:tcW w:type="dxa" w:w="310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Free report-card history period</w:t>
            </w:r>
          </w:p>
        </w:tc>
        <w:tc>
          <w:tcPr>
            <w:tcW w:type="dxa" w:w="386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Conversion and school-value research</w:t>
            </w:r>
          </w:p>
        </w:tc>
        <w:tc>
          <w:tcPr>
            <w:tcW w:type="dxa" w:w="240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Pilot</w:t>
            </w:r>
          </w:p>
        </w:tc>
      </w:tr>
      <w:tr>
        <w:trPr>
          <w:cantSplit/>
        </w:trPr>
        <w:tc>
          <w:tcPr>
            <w:tcW w:type="dxa" w:w="310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School plan Naira amounts and minimum commitment</w:t>
            </w:r>
          </w:p>
        </w:tc>
        <w:tc>
          <w:tcPr>
            <w:tcW w:type="dxa" w:w="386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Unit economics and market validation</w:t>
            </w:r>
          </w:p>
        </w:tc>
        <w:tc>
          <w:tcPr>
            <w:tcW w:type="dxa" w:w="2400"/>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After pilot</w:t>
            </w:r>
          </w:p>
        </w:tc>
      </w:tr>
    </w:tbl>
    <w:p>
      <w:pPr>
        <w:spacing w:after="40"/>
      </w:pPr>
    </w:p>
    <w:p>
      <w:pPr>
        <w:pStyle w:val="Heading1"/>
      </w:pPr>
      <w:r>
        <w:t>29. Traceability and Source Baseline</w:t>
      </w:r>
    </w:p>
    <w:p>
      <w:pPr>
        <w:keepNext w:val="0"/>
        <w:spacing w:before="0" w:after="120" w:line="264" w:lineRule="auto"/>
        <w:jc w:val="left"/>
      </w:pPr>
      <w:r>
        <w:rPr>
          <w:rFonts w:ascii="Calibri" w:hAnsi="Calibri"/>
          <w:b w:val="0"/>
          <w:i w:val="0"/>
          <w:color w:val="172033"/>
          <w:sz w:val="22"/>
        </w:rPr>
        <w:t>This PRD was derived from and must remain compatible with:</w:t>
      </w:r>
    </w:p>
    <w:p>
      <w:pPr>
        <w:pStyle w:val="ListBullet"/>
        <w:spacing w:after="100" w:line="280" w:lineRule="auto"/>
        <w:ind w:left="720" w:hanging="360"/>
      </w:pPr>
      <w:r>
        <w:rPr>
          <w:rFonts w:ascii="Calibri" w:hAnsi="Calibri"/>
          <w:color w:val="172033"/>
          <w:sz w:val="21"/>
        </w:rPr>
        <w:t>Skuggle Product &amp; Technical Specification - School Operating and Learning Intelligence Platform, Version 1.0.</w:t>
      </w:r>
    </w:p>
    <w:p>
      <w:pPr>
        <w:pStyle w:val="ListBullet"/>
        <w:spacing w:after="100" w:line="280" w:lineRule="auto"/>
        <w:ind w:left="720" w:hanging="360"/>
      </w:pPr>
      <w:r>
        <w:rPr>
          <w:rFonts w:ascii="Calibri" w:hAnsi="Calibri"/>
          <w:color w:val="172033"/>
          <w:sz w:val="21"/>
        </w:rPr>
        <w:t>Previously approved Skuggle experience direction: minimal, institutional, warm and premium; horizontal navigation; no ERP-style permanent sidebar; tenant welcome before login.</w:t>
      </w:r>
    </w:p>
    <w:p>
      <w:pPr>
        <w:pStyle w:val="ListBullet"/>
        <w:spacing w:after="100" w:line="280" w:lineRule="auto"/>
        <w:ind w:left="720" w:hanging="360"/>
      </w:pPr>
      <w:r>
        <w:rPr>
          <w:rFonts w:ascii="Calibri" w:hAnsi="Calibri"/>
          <w:color w:val="172033"/>
          <w:sz w:val="21"/>
        </w:rPr>
        <w:t>Nigeria Data Protection Act 2023 and applicable current NDPC guidance.</w:t>
      </w:r>
    </w:p>
    <w:p>
      <w:pPr>
        <w:pStyle w:val="ListBullet"/>
        <w:spacing w:after="100" w:line="280" w:lineRule="auto"/>
        <w:ind w:left="720" w:hanging="360"/>
      </w:pPr>
      <w:r>
        <w:rPr>
          <w:rFonts w:ascii="Calibri" w:hAnsi="Calibri"/>
          <w:color w:val="172033"/>
          <w:sz w:val="21"/>
        </w:rPr>
        <w:t>Market-reference pages reviewed for freemium and per-student commercial positioning: SchoolsFocus plans, Schoolcube pricing and Edves Nigeria product positioning (accessed August 2026).</w:t>
      </w:r>
    </w:p>
    <w:p>
      <w:pPr>
        <w:keepNext w:val="0"/>
        <w:spacing w:before="0" w:after="80" w:line="264" w:lineRule="auto"/>
        <w:jc w:val="left"/>
      </w:pPr>
      <w:r>
        <w:rPr>
          <w:rFonts w:ascii="Calibri" w:hAnsi="Calibri"/>
          <w:b/>
          <w:i w:val="0"/>
          <w:color w:val="172033"/>
          <w:sz w:val="22"/>
        </w:rPr>
        <w:t>Reference URLs:</w:t>
      </w:r>
    </w:p>
    <w:p>
      <w:pPr>
        <w:pStyle w:val="ListBullet"/>
        <w:spacing w:after="100" w:line="280" w:lineRule="auto"/>
        <w:ind w:left="720" w:hanging="360"/>
      </w:pPr>
      <w:r>
        <w:rPr>
          <w:rFonts w:ascii="Calibri" w:hAnsi="Calibri"/>
          <w:color w:val="172033"/>
          <w:sz w:val="21"/>
        </w:rPr>
        <w:t>https://schoolsfocus.net/home/plans/school-management-software-that-is-efficient-and-affordable</w:t>
      </w:r>
    </w:p>
    <w:p>
      <w:pPr>
        <w:pStyle w:val="ListBullet"/>
        <w:spacing w:after="100" w:line="280" w:lineRule="auto"/>
        <w:ind w:left="720" w:hanging="360"/>
      </w:pPr>
      <w:r>
        <w:rPr>
          <w:rFonts w:ascii="Calibri" w:hAnsi="Calibri"/>
          <w:color w:val="172033"/>
          <w:sz w:val="21"/>
        </w:rPr>
        <w:t>https://schoolcube.net/pricing</w:t>
      </w:r>
    </w:p>
    <w:p>
      <w:pPr>
        <w:pStyle w:val="ListBullet"/>
        <w:spacing w:after="100" w:line="280" w:lineRule="auto"/>
        <w:ind w:left="720" w:hanging="360"/>
      </w:pPr>
      <w:r>
        <w:rPr>
          <w:rFonts w:ascii="Calibri" w:hAnsi="Calibri"/>
          <w:color w:val="172033"/>
          <w:sz w:val="21"/>
        </w:rPr>
        <w:t>https://edves.ng/</w:t>
      </w:r>
    </w:p>
    <w:p>
      <w:pPr>
        <w:pStyle w:val="Heading1"/>
      </w:pPr>
      <w:r>
        <w:t>30. Approval Standard</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1F8F4"/>
            <w:tcMar>
              <w:top w:w="90" w:type="dxa"/>
              <w:start w:w="120" w:type="dxa"/>
              <w:bottom w:w="90" w:type="dxa"/>
              <w:end w:w="120" w:type="dxa"/>
            </w:tcMar>
            <w:vAlign w:val="center"/>
          </w:tcPr>
          <w:p>
            <w:pPr>
              <w:spacing w:before="40" w:after="40" w:line="259" w:lineRule="auto"/>
            </w:pPr>
            <w:r>
              <w:rPr>
                <w:rFonts w:ascii="Calibri" w:hAnsi="Calibri"/>
                <w:b/>
                <w:color w:val="157F3D"/>
                <w:sz w:val="20"/>
              </w:rPr>
              <w:t xml:space="preserve">Approval statement: </w:t>
            </w:r>
            <w:r>
              <w:rPr>
                <w:rFonts w:ascii="Calibri" w:hAnsi="Calibri"/>
                <w:color w:val="172033"/>
                <w:sz w:val="20"/>
              </w:rPr>
              <w:t>This PRD is ready for implementation planning when Product, Engineering, UX, Security/Privacy, Commercial and School Operations owners approve the product decisions, requirement priorities and open-decision timetable.</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2100"/>
        <w:gridCol w:w="2100"/>
        <w:gridCol w:w="3500"/>
        <w:gridCol w:w="1660"/>
      </w:tblGrid>
      <w:tr>
        <w:trPr>
          <w:tblHeader w:val="true"/>
          <w:cantSplit/>
        </w:trPr>
        <w:tc>
          <w:tcPr>
            <w:tcW w:type="dxa" w:w="2100"/>
            <w:shd w:fill="312E81"/>
            <w:tcMar>
              <w:top w:w="90" w:type="dxa"/>
              <w:start w:w="120" w:type="dxa"/>
              <w:bottom w:w="90" w:type="dxa"/>
              <w:end w:w="120" w:type="dxa"/>
            </w:tcMar>
            <w:vAlign w:val="center"/>
          </w:tcPr>
          <w:p>
            <w:pPr>
              <w:keepNext/>
              <w:spacing w:before="0" w:after="0" w:line="259" w:lineRule="auto"/>
              <w:jc w:val="left"/>
            </w:pPr>
            <w:r/>
            <w:r>
              <w:rPr>
                <w:rFonts w:ascii="Calibri" w:hAnsi="Calibri"/>
                <w:b/>
                <w:color w:val="FFFFFF"/>
                <w:sz w:val="18"/>
              </w:rPr>
              <w:t>Approval area</w:t>
            </w:r>
          </w:p>
        </w:tc>
        <w:tc>
          <w:tcPr>
            <w:tcW w:type="dxa" w:w="2100"/>
            <w:shd w:fill="312E81"/>
            <w:tcMar>
              <w:top w:w="90" w:type="dxa"/>
              <w:start w:w="120" w:type="dxa"/>
              <w:bottom w:w="90" w:type="dxa"/>
              <w:end w:w="120" w:type="dxa"/>
            </w:tcMar>
            <w:vAlign w:val="center"/>
          </w:tcPr>
          <w:p>
            <w:pPr>
              <w:keepNext/>
              <w:spacing w:before="0" w:after="0" w:line="259" w:lineRule="auto"/>
              <w:jc w:val="center"/>
            </w:pPr>
            <w:r/>
            <w:r>
              <w:rPr>
                <w:rFonts w:ascii="Calibri" w:hAnsi="Calibri"/>
                <w:b/>
                <w:color w:val="FFFFFF"/>
                <w:sz w:val="18"/>
              </w:rPr>
              <w:t>Owner</w:t>
            </w:r>
          </w:p>
        </w:tc>
        <w:tc>
          <w:tcPr>
            <w:tcW w:type="dxa" w:w="3500"/>
            <w:shd w:fill="312E81"/>
            <w:tcMar>
              <w:top w:w="90" w:type="dxa"/>
              <w:start w:w="120" w:type="dxa"/>
              <w:bottom w:w="90" w:type="dxa"/>
              <w:end w:w="120" w:type="dxa"/>
            </w:tcMar>
            <w:vAlign w:val="center"/>
          </w:tcPr>
          <w:p>
            <w:pPr>
              <w:keepNext/>
              <w:spacing w:before="0" w:after="0" w:line="259" w:lineRule="auto"/>
              <w:jc w:val="center"/>
            </w:pPr>
            <w:r/>
            <w:r>
              <w:rPr>
                <w:rFonts w:ascii="Calibri" w:hAnsi="Calibri"/>
                <w:b/>
                <w:color w:val="FFFFFF"/>
                <w:sz w:val="18"/>
              </w:rPr>
              <w:t>Decision</w:t>
            </w:r>
          </w:p>
        </w:tc>
        <w:tc>
          <w:tcPr>
            <w:tcW w:type="dxa" w:w="1660"/>
            <w:shd w:fill="312E81"/>
            <w:tcMar>
              <w:top w:w="90" w:type="dxa"/>
              <w:start w:w="120" w:type="dxa"/>
              <w:bottom w:w="90" w:type="dxa"/>
              <w:end w:w="120" w:type="dxa"/>
            </w:tcMar>
            <w:vAlign w:val="center"/>
          </w:tcPr>
          <w:p>
            <w:pPr>
              <w:keepNext/>
              <w:spacing w:before="0" w:after="0" w:line="259" w:lineRule="auto"/>
              <w:jc w:val="center"/>
            </w:pPr>
            <w:r/>
            <w:r>
              <w:rPr>
                <w:rFonts w:ascii="Calibri" w:hAnsi="Calibri"/>
                <w:b/>
                <w:color w:val="FFFFFF"/>
                <w:sz w:val="18"/>
              </w:rPr>
              <w:t>Date</w:t>
            </w:r>
          </w:p>
        </w:tc>
      </w:tr>
      <w:tr>
        <w:trPr>
          <w:cantSplit/>
        </w:trPr>
        <w:tc>
          <w:tcPr>
            <w:tcW w:type="dxa" w:w="2100"/>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Product</w:t>
            </w:r>
          </w:p>
        </w:tc>
        <w:tc>
          <w:tcPr>
            <w:tcW w:type="dxa" w:w="210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r>
          </w:p>
        </w:tc>
        <w:tc>
          <w:tcPr>
            <w:tcW w:type="dxa" w:w="350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Approved / Changes required</w:t>
            </w:r>
          </w:p>
        </w:tc>
        <w:tc>
          <w:tcPr>
            <w:tcW w:type="dxa" w:w="166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r>
          </w:p>
        </w:tc>
      </w:tr>
      <w:tr>
        <w:trPr>
          <w:cantSplit/>
        </w:trPr>
        <w:tc>
          <w:tcPr>
            <w:tcW w:type="dxa" w:w="2100"/>
            <w:shd w:fill="F8F7FC"/>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Engineering</w:t>
            </w:r>
          </w:p>
        </w:tc>
        <w:tc>
          <w:tcPr>
            <w:tcW w:type="dxa" w:w="210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r>
          </w:p>
        </w:tc>
        <w:tc>
          <w:tcPr>
            <w:tcW w:type="dxa" w:w="350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Approved / Changes required</w:t>
            </w:r>
          </w:p>
        </w:tc>
        <w:tc>
          <w:tcPr>
            <w:tcW w:type="dxa" w:w="166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r>
          </w:p>
        </w:tc>
      </w:tr>
      <w:tr>
        <w:trPr>
          <w:cantSplit/>
        </w:trPr>
        <w:tc>
          <w:tcPr>
            <w:tcW w:type="dxa" w:w="210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UX and Accessibility</w:t>
            </w:r>
          </w:p>
        </w:tc>
        <w:tc>
          <w:tcPr>
            <w:tcW w:type="dxa" w:w="210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r>
          </w:p>
        </w:tc>
        <w:tc>
          <w:tcPr>
            <w:tcW w:type="dxa" w:w="350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Approved / Changes required</w:t>
            </w:r>
          </w:p>
        </w:tc>
        <w:tc>
          <w:tcPr>
            <w:tcW w:type="dxa" w:w="166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r>
          </w:p>
        </w:tc>
      </w:tr>
      <w:tr>
        <w:trPr>
          <w:cantSplit/>
        </w:trPr>
        <w:tc>
          <w:tcPr>
            <w:tcW w:type="dxa" w:w="210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Security and Privacy</w:t>
            </w:r>
          </w:p>
        </w:tc>
        <w:tc>
          <w:tcPr>
            <w:tcW w:type="dxa" w:w="210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r>
          </w:p>
        </w:tc>
        <w:tc>
          <w:tcPr>
            <w:tcW w:type="dxa" w:w="350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Approved / Changes required</w:t>
            </w:r>
          </w:p>
        </w:tc>
        <w:tc>
          <w:tcPr>
            <w:tcW w:type="dxa" w:w="1660"/>
            <w:shd w:fill="F8F7FC"/>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r>
          </w:p>
        </w:tc>
      </w:tr>
      <w:tr>
        <w:trPr>
          <w:cantSplit/>
        </w:trPr>
        <w:tc>
          <w:tcPr>
            <w:tcW w:type="dxa" w:w="2100"/>
            <w:tcMar>
              <w:top w:w="90" w:type="dxa"/>
              <w:start w:w="120" w:type="dxa"/>
              <w:bottom w:w="90" w:type="dxa"/>
              <w:end w:w="120" w:type="dxa"/>
            </w:tcMar>
            <w:vAlign w:val="center"/>
          </w:tcPr>
          <w:p>
            <w:pPr>
              <w:keepNext/>
              <w:spacing w:before="0" w:after="0" w:line="259" w:lineRule="auto"/>
              <w:jc w:val="center"/>
            </w:pPr>
            <w:r/>
            <w:r>
              <w:rPr>
                <w:rFonts w:ascii="Calibri" w:hAnsi="Calibri"/>
                <w:b w:val="0"/>
                <w:color w:val="172033"/>
                <w:sz w:val="17"/>
              </w:rPr>
              <w:t>Commercial</w:t>
            </w:r>
          </w:p>
        </w:tc>
        <w:tc>
          <w:tcPr>
            <w:tcW w:type="dxa" w:w="210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r>
          </w:p>
        </w:tc>
        <w:tc>
          <w:tcPr>
            <w:tcW w:type="dxa" w:w="350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t>Approved / Changes required</w:t>
            </w:r>
          </w:p>
        </w:tc>
        <w:tc>
          <w:tcPr>
            <w:tcW w:type="dxa" w:w="1660"/>
            <w:tcMar>
              <w:top w:w="90" w:type="dxa"/>
              <w:start w:w="120" w:type="dxa"/>
              <w:bottom w:w="90" w:type="dxa"/>
              <w:end w:w="120" w:type="dxa"/>
            </w:tcMar>
            <w:vAlign w:val="center"/>
          </w:tcPr>
          <w:p>
            <w:pPr>
              <w:keepNext/>
              <w:spacing w:before="0" w:after="0" w:line="259" w:lineRule="auto"/>
              <w:jc w:val="left"/>
            </w:pPr>
            <w:r/>
            <w:r>
              <w:rPr>
                <w:rFonts w:ascii="Calibri" w:hAnsi="Calibri"/>
                <w:b w:val="0"/>
                <w:color w:val="172033"/>
                <w:sz w:val="17"/>
              </w:rPr>
            </w:r>
          </w:p>
        </w:tc>
      </w:tr>
      <w:tr>
        <w:trPr>
          <w:cantSplit/>
        </w:trPr>
        <w:tc>
          <w:tcPr>
            <w:tcW w:type="dxa" w:w="210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School Operations</w:t>
            </w:r>
          </w:p>
        </w:tc>
        <w:tc>
          <w:tcPr>
            <w:tcW w:type="dxa" w:w="210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r>
          </w:p>
        </w:tc>
        <w:tc>
          <w:tcPr>
            <w:tcW w:type="dxa" w:w="350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t>Approved / Changes required</w:t>
            </w:r>
          </w:p>
        </w:tc>
        <w:tc>
          <w:tcPr>
            <w:tcW w:type="dxa" w:w="1660"/>
            <w:shd w:fill="F8F7FC"/>
            <w:tcMar>
              <w:top w:w="90" w:type="dxa"/>
              <w:start w:w="120" w:type="dxa"/>
              <w:bottom w:w="90" w:type="dxa"/>
              <w:end w:w="120" w:type="dxa"/>
            </w:tcMar>
            <w:vAlign w:val="center"/>
          </w:tcPr>
          <w:p>
            <w:pPr>
              <w:spacing w:before="0" w:after="0" w:line="259" w:lineRule="auto"/>
              <w:jc w:val="left"/>
            </w:pPr>
            <w:r/>
            <w:r>
              <w:rPr>
                <w:rFonts w:ascii="Calibri" w:hAnsi="Calibri"/>
                <w:b w:val="0"/>
                <w:color w:val="172033"/>
                <w:sz w:val="17"/>
              </w:rPr>
            </w:r>
          </w:p>
        </w:tc>
      </w:tr>
    </w:tbl>
    <w:p>
      <w:pPr>
        <w:spacing w:after="40"/>
      </w:pP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4F46E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4F46E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312E8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312E81"/>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80" w:lineRule="auto"/>
      <w:contextualSpacing/>
    </w:pPr>
    <w:rPr>
      <w:rFonts w:ascii="Calibri" w:hAnsi="Calibri"/>
      <w:sz w:val="21"/>
    </w:rPr>
  </w:style>
  <w:style w:type="paragraph" w:styleId="ListBullet2">
    <w:name w:val="List Bullet 2"/>
    <w:basedOn w:val="Normal"/>
    <w:uiPriority w:val="99"/>
    <w:unhideWhenUsed/>
    <w:rsid w:val="00326F90"/>
    <w:pPr>
      <w:numPr>
        <w:numId w:val="2"/>
      </w:numPr>
      <w:spacing w:after="100" w:line="280" w:lineRule="auto"/>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80" w:lineRule="auto"/>
      <w:contextualSpacing/>
    </w:pPr>
    <w:rPr>
      <w:rFonts w:ascii="Calibri" w:hAnsi="Calibri"/>
      <w:sz w:val="21"/>
    </w:rPr>
  </w:style>
  <w:style w:type="paragraph" w:styleId="ListNumber2">
    <w:name w:val="List Number 2"/>
    <w:basedOn w:val="Normal"/>
    <w:uiPriority w:val="99"/>
    <w:unhideWhenUsed/>
    <w:rsid w:val="0029639D"/>
    <w:pPr>
      <w:numPr>
        <w:numId w:val="6"/>
      </w:numPr>
      <w:spacing w:after="100" w:line="280" w:lineRule="auto"/>
      <w:contextualSpacing/>
    </w:pPr>
    <w:rPr>
      <w:rFonts w:ascii="Calibri" w:hAnsi="Calibri"/>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Skuggle Public Onboarding, Personal Workspaces &amp; Tenant Experience PRD</dc:title>
  <dc:subject>Product requirements for Skuggle onboarding, tenant branding, identity and subscription entitlements</dc:subject>
  <dc:creator>python-docx</dc:creator>
  <cp:keywords>Skuggle, PRD, onboarding, multi-tenant, school, teacher, student, parent, freemium</cp:keywords>
  <dc:description>Implementation baseline generated 26 August 2026</dc:description>
  <cp:lastModifiedBy/>
  <cp:revision>1</cp:revision>
  <dcterms:created xsi:type="dcterms:W3CDTF">2013-12-23T23:15:00Z</dcterms:created>
  <dcterms:modified xsi:type="dcterms:W3CDTF">2013-12-23T23:15:00Z</dcterms:modified>
  <cp:category/>
</cp:coreProperties>
</file>