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Course"/>
        <w:keepNext/>
        <w:keepLines/>
        <w:spacing w:before="520" w:after="440" w:line="240" w:lineRule="auto"/>
        <w:ind w:left="0" w:right="0" w:firstLine="0"/>
        <w:jc w:val="center"/>
      </w:pPr>
      <w:r>
        <w:rPr>
          <w:rFonts w:ascii="Times New Roman" w:hAnsi="Times New Roman" w:eastAsia="Times New Roman" w:cs="Times New Roman"/>
          <w:b w:val="0"/>
          <w:i w:val="0"/>
          <w:color w:val="000000"/>
          <w:sz w:val="21"/>
          <w:spacing w:val="12"/>
        </w:rPr>
        <w:t>ELEC5622  ·  PROJECT 1</w:t>
      </w:r>
    </w:p>
    <w:p>
      <w:pPr>
        <w:pStyle w:val="Title"/>
        <w:keepNext/>
        <w:keepLines/>
        <w:spacing w:before="0" w:after="240" w:line="480" w:lineRule="exact"/>
        <w:ind w:left="0" w:right="0" w:firstLine="0"/>
        <w:jc w:val="center"/>
      </w:pPr>
      <w:r>
        <w:rPr>
          <w:rFonts w:ascii="Times New Roman" w:hAnsi="Times New Roman" w:eastAsia="Times New Roman" w:cs="Times New Roman"/>
          <w:b/>
          <w:i w:val="0"/>
          <w:color w:val="000000"/>
          <w:sz w:val="40"/>
        </w:rPr>
        <w:t>Classifying AD Patients and</w:t>
        <w:br/>
        <w:t>Normal Controls from Brain Images</w:t>
      </w:r>
    </w:p>
    <w:p>
      <w:pPr>
        <w:pStyle w:val="PaperFrontSubtitle"/>
        <w:keepNext/>
        <w:keepLines/>
        <w:spacing w:before="0" w:after="440" w:line="264" w:lineRule="auto"/>
        <w:ind w:left="0" w:right="0" w:firstLine="0"/>
        <w:jc w:val="center"/>
      </w:pPr>
      <w:r>
        <w:rPr>
          <w:rFonts w:ascii="Times New Roman" w:hAnsi="Times New Roman" w:eastAsia="Times New Roman" w:cs="Times New Roman"/>
          <w:b w:val="0"/>
          <w:i/>
          <w:color w:val="000000"/>
          <w:sz w:val="23"/>
        </w:rPr>
        <w:t>Regional Grey Matter Volumes and Support Vector Machines</w:t>
      </w:r>
    </w:p>
    <w:p>
      <w:pPr>
        <w:pStyle w:val="PaperAuthor"/>
        <w:keepNext/>
        <w:keepLines/>
        <w:spacing w:before="0" w:after="680" w:line="312" w:lineRule="auto"/>
        <w:ind w:left="0" w:right="0" w:firstLine="0"/>
        <w:jc w:val="center"/>
      </w:pPr>
      <w:r>
        <w:rPr>
          <w:rFonts w:ascii="Times New Roman" w:hAnsi="Times New Roman" w:eastAsia="Times New Roman" w:cs="Times New Roman"/>
          <w:b/>
          <w:i w:val="0"/>
          <w:color w:val="000000"/>
          <w:sz w:val="23"/>
        </w:rPr>
        <w:t>Xinsheng Liu</w:t>
      </w:r>
      <w:r>
        <w:rPr>
          <w:rFonts w:ascii="Times New Roman" w:hAnsi="Times New Roman" w:eastAsia="Times New Roman" w:cs="Times New Roman"/>
          <w:b w:val="0"/>
          <w:i w:val="0"/>
          <w:color w:val="000000"/>
          <w:sz w:val="22"/>
        </w:rPr>
        <w:t xml:space="preserve"> (550314295)</w:t>
        <w:br/>
      </w:r>
      <w:r>
        <w:rPr>
          <w:rFonts w:ascii="Times New Roman" w:hAnsi="Times New Roman" w:eastAsia="Times New Roman" w:cs="Times New Roman"/>
          <w:b/>
          <w:i w:val="0"/>
          <w:color w:val="000000"/>
          <w:sz w:val="23"/>
        </w:rPr>
        <w:t>Yue Xia</w:t>
      </w:r>
      <w:r>
        <w:rPr>
          <w:rFonts w:ascii="Times New Roman" w:hAnsi="Times New Roman" w:eastAsia="Times New Roman" w:cs="Times New Roman"/>
          <w:b w:val="0"/>
          <w:i w:val="0"/>
          <w:color w:val="000000"/>
          <w:sz w:val="22"/>
        </w:rPr>
        <w:t xml:space="preserve"> (550500315)</w:t>
      </w:r>
    </w:p>
    <w:p>
      <w:pPr>
        <w:pStyle w:val="PaperFrontAbstractHeading"/>
        <w:keepNext/>
        <w:keepLines/>
        <w:spacing w:before="0" w:after="180" w:line="240" w:lineRule="auto"/>
        <w:ind w:left="0" w:right="0" w:firstLine="0"/>
        <w:jc w:val="center"/>
      </w:pPr>
      <w:r>
        <w:rPr>
          <w:rFonts w:ascii="Times New Roman" w:hAnsi="Times New Roman" w:eastAsia="Times New Roman" w:cs="Times New Roman"/>
          <w:b/>
          <w:i w:val="0"/>
          <w:color w:val="000000"/>
          <w:sz w:val="24"/>
        </w:rPr>
        <w:t>Abstract</w:t>
      </w:r>
    </w:p>
    <w:p>
      <w:pPr>
        <w:pStyle w:val="PaperAbstract"/>
        <w:keepNext w:val="0"/>
        <w:keepLines/>
        <w:spacing w:before="0" w:after="240" w:line="288" w:lineRule="auto"/>
        <w:ind w:left="360" w:right="360" w:firstLine="0"/>
        <w:jc w:val="both"/>
      </w:pPr>
      <w:r>
        <w:rPr>
          <w:rFonts w:ascii="Times New Roman" w:hAnsi="Times New Roman" w:eastAsia="Times New Roman" w:cs="Times New Roman"/>
          <w:b w:val="0"/>
          <w:i w:val="0"/>
          <w:color w:val="000000"/>
          <w:sz w:val="22"/>
        </w:rPr>
        <w:t>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A post hoc training-only analysis identified differences in overall GM volume and class-associated image geometry. These observations, the small test set and residual preprocessing limitations restrict disease-specific interpretation and motivate independent validation with acquisition controls.</w:t>
      </w:r>
    </w:p>
    <w:p>
      <w:pPr>
        <w:pStyle w:val="PaperFrontKeywords"/>
        <w:keepNext w:val="0"/>
        <w:keepLines/>
        <w:spacing w:before="0" w:after="0" w:line="276" w:lineRule="auto"/>
        <w:ind w:left="360" w:right="360" w:firstLine="0"/>
        <w:jc w:val="left"/>
      </w:pPr>
      <w:r>
        <w:rPr>
          <w:rFonts w:ascii="Times New Roman" w:hAnsi="Times New Roman" w:eastAsia="Times New Roman" w:cs="Times New Roman"/>
          <w:b/>
          <w:i w:val="0"/>
          <w:color w:val="000000"/>
          <w:sz w:val="21"/>
        </w:rPr>
        <w:t xml:space="preserve">Keywords: </w:t>
      </w:r>
      <w:r>
        <w:rPr>
          <w:rFonts w:ascii="Times New Roman" w:hAnsi="Times New Roman" w:eastAsia="Times New Roman" w:cs="Times New Roman"/>
          <w:b w:val="0"/>
          <w:i w:val="0"/>
          <w:color w:val="000000"/>
          <w:sz w:val="21"/>
        </w:rPr>
        <w:t>Alzheimer’s disease; structural MRI; grey matter volume; support vector machine.</w:t>
      </w:r>
    </w:p>
    <w:p>
      <w:pPr>
        <w:pStyle w:val="PaperFrontAvailability"/>
        <w:keepNext w:val="0"/>
        <w:keepLines/>
        <w:spacing w:before="240" w:after="0" w:line="276" w:lineRule="auto"/>
        <w:ind w:left="360" w:right="360" w:firstLine="0"/>
        <w:jc w:val="left"/>
      </w:pPr>
      <w:r>
        <w:rPr>
          <w:b/>
        </w:rPr>
        <w:t xml:space="preserve">Code and data availability: </w:t>
      </w:r>
      <w:r>
        <w:t>Preprocessing scripts, the SVM notebook, ROI volume tables and verification records.</w:t>
        <w:br/>
      </w:r>
      <w:hyperlink r:id="rId37">
        <w:r>
          <w:rPr>
            <w:rFonts w:ascii="Times New Roman" w:hAnsi="Times New Roman" w:eastAsia="Times New Roman" w:cs="Times New Roman"/>
            <w:color w:val="000000"/>
            <w:sz w:val="21"/>
            <w:u w:val="single"/>
          </w:rPr>
          <w:t>https://github.com/Babe153/Project01_5622</w:t>
        </w:r>
      </w:hyperlink>
    </w:p>
    <w:p>
      <w:pPr>
        <w:pStyle w:val="TOCHeading"/>
      </w:pPr>
      <w:r>
        <w:t>Contents</w:t>
      </w:r>
    </w:p>
    <w:p>
      <w:pPr>
        <w:pStyle w:val="TOC1"/>
      </w:pPr>
      <w:r>
        <w:fldChar w:fldCharType="begin"/>
      </w:r>
      <w:r>
        <w:instrText xml:space="preserve"> TOC \o "1-2" \h \z </w:instrText>
      </w:r>
      <w:r>
        <w:fldChar w:fldCharType="separate"/>
      </w:r>
      <w:hyperlink w:anchor="report_toc_001" w:history="1">
        <w:r>
          <w:rPr>
            <w:color w:val="000000"/>
            <w:u w:val="none"/>
          </w:rPr>
          <w:t xml:space="preserve">1. Aims and Background</w:t>
        </w:r>
      </w:hyperlink>
      <w:r>
        <w:tab/>
      </w:r>
      <w:r>
        <w:fldChar w:fldCharType="begin"/>
      </w:r>
      <w:r>
        <w:instrText xml:space="preserve"> PAGEREF report_toc_001 \h </w:instrText>
      </w:r>
      <w:r>
        <w:fldChar w:fldCharType="separate"/>
      </w:r>
      <w:r>
        <w:t xml:space="preserve">3</w:t>
      </w:r>
      <w:r>
        <w:fldChar w:fldCharType="end"/>
      </w:r>
    </w:p>
    <w:p>
      <w:pPr>
        <w:pStyle w:val="TOC2"/>
      </w:pPr>
      <w:hyperlink w:anchor="report_toc_002" w:history="1">
        <w:r>
          <w:rPr>
            <w:color w:val="000000"/>
            <w:u w:val="none"/>
          </w:rPr>
          <w:t xml:space="preserve">1.1 Background and Rationale</w:t>
        </w:r>
      </w:hyperlink>
      <w:r>
        <w:tab/>
      </w:r>
      <w:r>
        <w:fldChar w:fldCharType="begin"/>
      </w:r>
      <w:r>
        <w:instrText xml:space="preserve"> PAGEREF report_toc_002 \h </w:instrText>
      </w:r>
      <w:r>
        <w:fldChar w:fldCharType="separate"/>
      </w:r>
      <w:r>
        <w:t xml:space="preserve">3</w:t>
      </w:r>
      <w:r>
        <w:fldChar w:fldCharType="end"/>
      </w:r>
    </w:p>
    <w:p>
      <w:pPr>
        <w:pStyle w:val="TOC2"/>
      </w:pPr>
      <w:hyperlink w:anchor="report_toc_003" w:history="1">
        <w:r>
          <w:rPr>
            <w:color w:val="000000"/>
            <w:u w:val="none"/>
          </w:rPr>
          <w:t xml:space="preserve">1.2 Project Aims</w:t>
        </w:r>
      </w:hyperlink>
      <w:r>
        <w:tab/>
      </w:r>
      <w:r>
        <w:fldChar w:fldCharType="begin"/>
      </w:r>
      <w:r>
        <w:instrText xml:space="preserve"> PAGEREF report_toc_003 \h </w:instrText>
      </w:r>
      <w:r>
        <w:fldChar w:fldCharType="separate"/>
      </w:r>
      <w:r>
        <w:t xml:space="preserve">3</w:t>
      </w:r>
      <w:r>
        <w:fldChar w:fldCharType="end"/>
      </w:r>
    </w:p>
    <w:p>
      <w:pPr>
        <w:pStyle w:val="TOC1"/>
      </w:pPr>
      <w:hyperlink w:anchor="report_toc_004" w:history="1">
        <w:r>
          <w:rPr>
            <w:color w:val="000000"/>
            <w:u w:val="none"/>
          </w:rPr>
          <w:t xml:space="preserve">2. Contributions of Team Members</w:t>
        </w:r>
      </w:hyperlink>
      <w:r>
        <w:tab/>
      </w:r>
      <w:r>
        <w:fldChar w:fldCharType="begin"/>
      </w:r>
      <w:r>
        <w:instrText xml:space="preserve"> PAGEREF report_toc_004 \h </w:instrText>
      </w:r>
      <w:r>
        <w:fldChar w:fldCharType="separate"/>
      </w:r>
      <w:r>
        <w:t xml:space="preserve">4</w:t>
      </w:r>
      <w:r>
        <w:fldChar w:fldCharType="end"/>
      </w:r>
    </w:p>
    <w:p>
      <w:pPr>
        <w:pStyle w:val="TOC1"/>
      </w:pPr>
      <w:hyperlink w:anchor="report_toc_005" w:history="1">
        <w:r>
          <w:rPr>
            <w:color w:val="000000"/>
            <w:u w:val="none"/>
          </w:rPr>
          <w:t xml:space="preserve">3. Methodology</w:t>
        </w:r>
      </w:hyperlink>
      <w:r>
        <w:tab/>
      </w:r>
      <w:r>
        <w:fldChar w:fldCharType="begin"/>
      </w:r>
      <w:r>
        <w:instrText xml:space="preserve"> PAGEREF report_toc_005 \h </w:instrText>
      </w:r>
      <w:r>
        <w:fldChar w:fldCharType="separate"/>
      </w:r>
      <w:r>
        <w:t xml:space="preserve">4</w:t>
      </w:r>
      <w:r>
        <w:fldChar w:fldCharType="end"/>
      </w:r>
    </w:p>
    <w:p>
      <w:pPr>
        <w:pStyle w:val="TOC2"/>
      </w:pPr>
      <w:hyperlink w:anchor="report_toc_006" w:history="1">
        <w:r>
          <w:rPr>
            <w:color w:val="000000"/>
            <w:u w:val="none"/>
          </w:rPr>
          <w:t xml:space="preserve">3.1 Dataset and Experimental Design</w:t>
        </w:r>
      </w:hyperlink>
      <w:r>
        <w:tab/>
      </w:r>
      <w:r>
        <w:fldChar w:fldCharType="begin"/>
      </w:r>
      <w:r>
        <w:instrText xml:space="preserve"> PAGEREF report_toc_006 \h </w:instrText>
      </w:r>
      <w:r>
        <w:fldChar w:fldCharType="separate"/>
      </w:r>
      <w:r>
        <w:t xml:space="preserve">4</w:t>
      </w:r>
      <w:r>
        <w:fldChar w:fldCharType="end"/>
      </w:r>
    </w:p>
    <w:p>
      <w:pPr>
        <w:pStyle w:val="TOC2"/>
      </w:pPr>
      <w:hyperlink w:anchor="report_toc_007" w:history="1">
        <w:r>
          <w:rPr>
            <w:color w:val="000000"/>
            <w:u w:val="none"/>
          </w:rPr>
          <w:t xml:space="preserve">3.2 Overview of the Processing Pipeline</w:t>
        </w:r>
      </w:hyperlink>
      <w:r>
        <w:tab/>
      </w:r>
      <w:r>
        <w:fldChar w:fldCharType="begin"/>
      </w:r>
      <w:r>
        <w:instrText xml:space="preserve"> PAGEREF report_toc_007 \h </w:instrText>
      </w:r>
      <w:r>
        <w:fldChar w:fldCharType="separate"/>
      </w:r>
      <w:r>
        <w:t xml:space="preserve">4</w:t>
      </w:r>
      <w:r>
        <w:fldChar w:fldCharType="end"/>
      </w:r>
    </w:p>
    <w:p>
      <w:pPr>
        <w:pStyle w:val="TOC2"/>
      </w:pPr>
      <w:hyperlink w:anchor="report_toc_008" w:history="1">
        <w:r>
          <w:rPr>
            <w:color w:val="000000"/>
            <w:u w:val="none"/>
          </w:rPr>
          <w:t xml:space="preserve">3.3 Brain Extraction</w:t>
        </w:r>
      </w:hyperlink>
      <w:r>
        <w:tab/>
      </w:r>
      <w:r>
        <w:fldChar w:fldCharType="begin"/>
      </w:r>
      <w:r>
        <w:instrText xml:space="preserve"> PAGEREF report_toc_008 \h </w:instrText>
      </w:r>
      <w:r>
        <w:fldChar w:fldCharType="separate"/>
      </w:r>
      <w:r>
        <w:t xml:space="preserve">5</w:t>
      </w:r>
      <w:r>
        <w:fldChar w:fldCharType="end"/>
      </w:r>
    </w:p>
    <w:p>
      <w:pPr>
        <w:pStyle w:val="TOC2"/>
      </w:pPr>
      <w:hyperlink w:anchor="report_toc_009" w:history="1">
        <w:r>
          <w:rPr>
            <w:color w:val="000000"/>
            <w:u w:val="none"/>
          </w:rPr>
          <w:t xml:space="preserve">3.4 Tissue Segmentation and Grey Matter Image Generation</w:t>
        </w:r>
      </w:hyperlink>
      <w:r>
        <w:tab/>
      </w:r>
      <w:r>
        <w:fldChar w:fldCharType="begin"/>
      </w:r>
      <w:r>
        <w:instrText xml:space="preserve"> PAGEREF report_toc_009 \h </w:instrText>
      </w:r>
      <w:r>
        <w:fldChar w:fldCharType="separate"/>
      </w:r>
      <w:r>
        <w:t xml:space="preserve">6</w:t>
      </w:r>
      <w:r>
        <w:fldChar w:fldCharType="end"/>
      </w:r>
    </w:p>
    <w:p>
      <w:pPr>
        <w:pStyle w:val="TOC2"/>
      </w:pPr>
      <w:hyperlink w:anchor="report_toc_010" w:history="1">
        <w:r>
          <w:rPr>
            <w:color w:val="000000"/>
            <w:u w:val="none"/>
          </w:rPr>
          <w:t xml:space="preserve">3.5 Image Registration and AAL Atlas Transformation</w:t>
        </w:r>
      </w:hyperlink>
      <w:r>
        <w:tab/>
      </w:r>
      <w:r>
        <w:fldChar w:fldCharType="begin"/>
      </w:r>
      <w:r>
        <w:instrText xml:space="preserve"> PAGEREF report_toc_010 \h </w:instrText>
      </w:r>
      <w:r>
        <w:fldChar w:fldCharType="separate"/>
      </w:r>
      <w:r>
        <w:t xml:space="preserve">6</w:t>
      </w:r>
      <w:r>
        <w:fldChar w:fldCharType="end"/>
      </w:r>
    </w:p>
    <w:p>
      <w:pPr>
        <w:pStyle w:val="TOC2"/>
      </w:pPr>
      <w:hyperlink w:anchor="report_toc_011" w:history="1">
        <w:r>
          <w:rPr>
            <w:color w:val="000000"/>
            <w:u w:val="none"/>
          </w:rPr>
          <w:t xml:space="preserve">3.6 Regional Grey Matter Volume Extraction</w:t>
        </w:r>
      </w:hyperlink>
      <w:r>
        <w:tab/>
      </w:r>
      <w:r>
        <w:fldChar w:fldCharType="begin"/>
      </w:r>
      <w:r>
        <w:instrText xml:space="preserve"> PAGEREF report_toc_011 \h </w:instrText>
      </w:r>
      <w:r>
        <w:fldChar w:fldCharType="separate"/>
      </w:r>
      <w:r>
        <w:t xml:space="preserve">7</w:t>
      </w:r>
      <w:r>
        <w:fldChar w:fldCharType="end"/>
      </w:r>
    </w:p>
    <w:p>
      <w:pPr>
        <w:pStyle w:val="TOC2"/>
      </w:pPr>
      <w:hyperlink w:anchor="report_toc_012" w:history="1">
        <w:r>
          <w:rPr>
            <w:color w:val="000000"/>
            <w:u w:val="none"/>
          </w:rPr>
          <w:t xml:space="preserve">3.7 Feature Standardization and SVM Classification</w:t>
        </w:r>
      </w:hyperlink>
      <w:r>
        <w:tab/>
      </w:r>
      <w:r>
        <w:fldChar w:fldCharType="begin"/>
      </w:r>
      <w:r>
        <w:instrText xml:space="preserve"> PAGEREF report_toc_012 \h </w:instrText>
      </w:r>
      <w:r>
        <w:fldChar w:fldCharType="separate"/>
      </w:r>
      <w:r>
        <w:t xml:space="preserve">8</w:t>
      </w:r>
      <w:r>
        <w:fldChar w:fldCharType="end"/>
      </w:r>
    </w:p>
    <w:p>
      <w:pPr>
        <w:pStyle w:val="TOC2"/>
      </w:pPr>
      <w:hyperlink w:anchor="report_toc_013" w:history="1">
        <w:r>
          <w:rPr>
            <w:color w:val="000000"/>
            <w:u w:val="none"/>
          </w:rPr>
          <w:t xml:space="preserve">3.8 Descriptive Analysis of Training Features</w:t>
        </w:r>
      </w:hyperlink>
      <w:r>
        <w:tab/>
      </w:r>
      <w:r>
        <w:fldChar w:fldCharType="begin"/>
      </w:r>
      <w:r>
        <w:instrText xml:space="preserve"> PAGEREF report_toc_013 \h </w:instrText>
      </w:r>
      <w:r>
        <w:fldChar w:fldCharType="separate"/>
      </w:r>
      <w:r>
        <w:t xml:space="preserve">8</w:t>
      </w:r>
      <w:r>
        <w:fldChar w:fldCharType="end"/>
      </w:r>
    </w:p>
    <w:p>
      <w:pPr>
        <w:pStyle w:val="TOC1"/>
      </w:pPr>
      <w:hyperlink w:anchor="report_toc_014" w:history="1">
        <w:r>
          <w:rPr>
            <w:color w:val="000000"/>
            <w:u w:val="none"/>
          </w:rPr>
          <w:t xml:space="preserve">4. Results</w:t>
        </w:r>
      </w:hyperlink>
      <w:r>
        <w:tab/>
      </w:r>
      <w:r>
        <w:fldChar w:fldCharType="begin"/>
      </w:r>
      <w:r>
        <w:instrText xml:space="preserve"> PAGEREF report_toc_014 \h </w:instrText>
      </w:r>
      <w:r>
        <w:fldChar w:fldCharType="separate"/>
      </w:r>
      <w:r>
        <w:t xml:space="preserve">9</w:t>
      </w:r>
      <w:r>
        <w:fldChar w:fldCharType="end"/>
      </w:r>
    </w:p>
    <w:p>
      <w:pPr>
        <w:pStyle w:val="TOC2"/>
      </w:pPr>
      <w:hyperlink w:anchor="report_toc_015" w:history="1">
        <w:r>
          <w:rPr>
            <w:color w:val="000000"/>
            <w:u w:val="none"/>
          </w:rPr>
          <w:t xml:space="preserve">4.1 Brain Extraction Results</w:t>
        </w:r>
      </w:hyperlink>
      <w:r>
        <w:tab/>
      </w:r>
      <w:r>
        <w:fldChar w:fldCharType="begin"/>
      </w:r>
      <w:r>
        <w:instrText xml:space="preserve"> PAGEREF report_toc_015 \h </w:instrText>
      </w:r>
      <w:r>
        <w:fldChar w:fldCharType="separate"/>
      </w:r>
      <w:r>
        <w:t xml:space="preserve">9</w:t>
      </w:r>
      <w:r>
        <w:fldChar w:fldCharType="end"/>
      </w:r>
    </w:p>
    <w:p>
      <w:pPr>
        <w:pStyle w:val="TOC2"/>
      </w:pPr>
      <w:hyperlink w:anchor="report_toc_016" w:history="1">
        <w:r>
          <w:rPr>
            <w:color w:val="000000"/>
            <w:u w:val="none"/>
          </w:rPr>
          <w:t xml:space="preserve">4.2 Tissue Segmentation and Grey Matter Images</w:t>
        </w:r>
      </w:hyperlink>
      <w:r>
        <w:tab/>
      </w:r>
      <w:r>
        <w:fldChar w:fldCharType="begin"/>
      </w:r>
      <w:r>
        <w:instrText xml:space="preserve"> PAGEREF report_toc_016 \h </w:instrText>
      </w:r>
      <w:r>
        <w:fldChar w:fldCharType="separate"/>
      </w:r>
      <w:r>
        <w:t xml:space="preserve">9</w:t>
      </w:r>
      <w:r>
        <w:fldChar w:fldCharType="end"/>
      </w:r>
    </w:p>
    <w:p>
      <w:pPr>
        <w:pStyle w:val="TOC2"/>
      </w:pPr>
      <w:hyperlink w:anchor="report_toc_017" w:history="1">
        <w:r>
          <w:rPr>
            <w:color w:val="000000"/>
            <w:u w:val="none"/>
          </w:rPr>
          <w:t xml:space="preserve">4.3 Registration and Atlas Alignment Results</w:t>
        </w:r>
      </w:hyperlink>
      <w:r>
        <w:tab/>
      </w:r>
      <w:r>
        <w:fldChar w:fldCharType="begin"/>
      </w:r>
      <w:r>
        <w:instrText xml:space="preserve"> PAGEREF report_toc_017 \h </w:instrText>
      </w:r>
      <w:r>
        <w:fldChar w:fldCharType="separate"/>
      </w:r>
      <w:r>
        <w:t xml:space="preserve">10</w:t>
      </w:r>
      <w:r>
        <w:fldChar w:fldCharType="end"/>
      </w:r>
    </w:p>
    <w:p>
      <w:pPr>
        <w:pStyle w:val="TOC2"/>
      </w:pPr>
      <w:hyperlink w:anchor="report_toc_018" w:history="1">
        <w:r>
          <w:rPr>
            <w:color w:val="000000"/>
            <w:u w:val="none"/>
          </w:rPr>
          <w:t xml:space="preserve">4.4 Regional Grey Matter Volume Features</w:t>
        </w:r>
      </w:hyperlink>
      <w:r>
        <w:tab/>
      </w:r>
      <w:r>
        <w:fldChar w:fldCharType="begin"/>
      </w:r>
      <w:r>
        <w:instrText xml:space="preserve"> PAGEREF report_toc_018 \h </w:instrText>
      </w:r>
      <w:r>
        <w:fldChar w:fldCharType="separate"/>
      </w:r>
      <w:r>
        <w:t xml:space="preserve">11</w:t>
      </w:r>
      <w:r>
        <w:fldChar w:fldCharType="end"/>
      </w:r>
    </w:p>
    <w:p>
      <w:pPr>
        <w:pStyle w:val="TOC2"/>
      </w:pPr>
      <w:hyperlink w:anchor="report_toc_019" w:history="1">
        <w:r>
          <w:rPr>
            <w:color w:val="000000"/>
            <w:u w:val="none"/>
          </w:rPr>
          <w:t xml:space="preserve">4.5 Cross-Validation Performance</w:t>
        </w:r>
      </w:hyperlink>
      <w:r>
        <w:tab/>
      </w:r>
      <w:r>
        <w:fldChar w:fldCharType="begin"/>
      </w:r>
      <w:r>
        <w:instrText xml:space="preserve"> PAGEREF report_toc_019 \h </w:instrText>
      </w:r>
      <w:r>
        <w:fldChar w:fldCharType="separate"/>
      </w:r>
      <w:r>
        <w:t xml:space="preserve">12</w:t>
      </w:r>
      <w:r>
        <w:fldChar w:fldCharType="end"/>
      </w:r>
    </w:p>
    <w:p>
      <w:pPr>
        <w:pStyle w:val="TOC2"/>
      </w:pPr>
      <w:hyperlink w:anchor="report_toc_020" w:history="1">
        <w:r>
          <w:rPr>
            <w:color w:val="000000"/>
            <w:u w:val="none"/>
          </w:rPr>
          <w:t xml:space="preserve">4.6 Test Set Predictions and Performance</w:t>
        </w:r>
      </w:hyperlink>
      <w:r>
        <w:tab/>
      </w:r>
      <w:r>
        <w:fldChar w:fldCharType="begin"/>
      </w:r>
      <w:r>
        <w:instrText xml:space="preserve"> PAGEREF report_toc_020 \h </w:instrText>
      </w:r>
      <w:r>
        <w:fldChar w:fldCharType="separate"/>
      </w:r>
      <w:r>
        <w:t xml:space="preserve">13</w:t>
      </w:r>
      <w:r>
        <w:fldChar w:fldCharType="end"/>
      </w:r>
    </w:p>
    <w:p>
      <w:pPr>
        <w:pStyle w:val="TOC2"/>
      </w:pPr>
      <w:hyperlink w:anchor="report_toc_021" w:history="1">
        <w:r>
          <w:rPr>
            <w:color w:val="000000"/>
            <w:u w:val="none"/>
          </w:rPr>
          <w:t xml:space="preserve">4.7 Training Feature Scale and Image Geometry</w:t>
        </w:r>
      </w:hyperlink>
      <w:r>
        <w:tab/>
      </w:r>
      <w:r>
        <w:fldChar w:fldCharType="begin"/>
      </w:r>
      <w:r>
        <w:instrText xml:space="preserve"> PAGEREF report_toc_021 \h </w:instrText>
      </w:r>
      <w:r>
        <w:fldChar w:fldCharType="separate"/>
      </w:r>
      <w:r>
        <w:t xml:space="preserve">14</w:t>
      </w:r>
      <w:r>
        <w:fldChar w:fldCharType="end"/>
      </w:r>
    </w:p>
    <w:p>
      <w:pPr>
        <w:pStyle w:val="TOC1"/>
      </w:pPr>
      <w:hyperlink w:anchor="report_toc_022" w:history="1">
        <w:r>
          <w:rPr>
            <w:color w:val="000000"/>
            <w:u w:val="none"/>
          </w:rPr>
          <w:t xml:space="preserve">5. Discussion and Conclusion</w:t>
        </w:r>
      </w:hyperlink>
      <w:r>
        <w:tab/>
      </w:r>
      <w:r>
        <w:fldChar w:fldCharType="begin"/>
      </w:r>
      <w:r>
        <w:instrText xml:space="preserve"> PAGEREF report_toc_022 \h </w:instrText>
      </w:r>
      <w:r>
        <w:fldChar w:fldCharType="separate"/>
      </w:r>
      <w:r>
        <w:t xml:space="preserve">15</w:t>
      </w:r>
      <w:r>
        <w:fldChar w:fldCharType="end"/>
      </w:r>
    </w:p>
    <w:p>
      <w:pPr>
        <w:pStyle w:val="TOC2"/>
      </w:pPr>
      <w:hyperlink w:anchor="report_toc_023" w:history="1">
        <w:r>
          <w:rPr>
            <w:color w:val="000000"/>
            <w:u w:val="none"/>
          </w:rPr>
          <w:t xml:space="preserve">5.1 Interpretation of the Findings</w:t>
        </w:r>
      </w:hyperlink>
      <w:r>
        <w:tab/>
      </w:r>
      <w:r>
        <w:fldChar w:fldCharType="begin"/>
      </w:r>
      <w:r>
        <w:instrText xml:space="preserve"> PAGEREF report_toc_023 \h </w:instrText>
      </w:r>
      <w:r>
        <w:fldChar w:fldCharType="separate"/>
      </w:r>
      <w:r>
        <w:t xml:space="preserve">15</w:t>
      </w:r>
      <w:r>
        <w:fldChar w:fldCharType="end"/>
      </w:r>
    </w:p>
    <w:p>
      <w:pPr>
        <w:pStyle w:val="TOC2"/>
      </w:pPr>
      <w:hyperlink w:anchor="report_toc_024" w:history="1">
        <w:r>
          <w:rPr>
            <w:color w:val="000000"/>
            <w:u w:val="none"/>
          </w:rPr>
          <w:t xml:space="preserve">5.2 Limitations and Potential Improvements</w:t>
        </w:r>
      </w:hyperlink>
      <w:r>
        <w:tab/>
      </w:r>
      <w:r>
        <w:fldChar w:fldCharType="begin"/>
      </w:r>
      <w:r>
        <w:instrText xml:space="preserve"> PAGEREF report_toc_024 \h </w:instrText>
      </w:r>
      <w:r>
        <w:fldChar w:fldCharType="separate"/>
      </w:r>
      <w:r>
        <w:t xml:space="preserve">16</w:t>
      </w:r>
      <w:r>
        <w:fldChar w:fldCharType="end"/>
      </w:r>
    </w:p>
    <w:p>
      <w:pPr>
        <w:pStyle w:val="TOC2"/>
      </w:pPr>
      <w:hyperlink w:anchor="report_toc_025" w:history="1">
        <w:r>
          <w:rPr>
            <w:color w:val="000000"/>
            <w:u w:val="none"/>
          </w:rPr>
          <w:t xml:space="preserve">5.3 Conclusion</w:t>
        </w:r>
      </w:hyperlink>
      <w:r>
        <w:tab/>
      </w:r>
      <w:r>
        <w:fldChar w:fldCharType="begin"/>
      </w:r>
      <w:r>
        <w:instrText xml:space="preserve"> PAGEREF report_toc_025 \h </w:instrText>
      </w:r>
      <w:r>
        <w:fldChar w:fldCharType="separate"/>
      </w:r>
      <w:r>
        <w:t xml:space="preserve">17</w:t>
      </w:r>
      <w:r>
        <w:fldChar w:fldCharType="end"/>
      </w:r>
    </w:p>
    <w:p>
      <w:pPr>
        <w:pStyle w:val="TOC1"/>
      </w:pPr>
      <w:hyperlink w:anchor="report_toc_026" w:history="1">
        <w:r>
          <w:rPr>
            <w:color w:val="000000"/>
            <w:u w:val="none"/>
          </w:rPr>
          <w:t xml:space="preserve">References</w:t>
        </w:r>
      </w:hyperlink>
      <w:r>
        <w:tab/>
      </w:r>
      <w:r>
        <w:fldChar w:fldCharType="begin"/>
      </w:r>
      <w:r>
        <w:instrText xml:space="preserve"> PAGEREF report_toc_026 \h </w:instrText>
      </w:r>
      <w:r>
        <w:fldChar w:fldCharType="separate"/>
      </w:r>
      <w:r>
        <w:t xml:space="preserve">18</w:t>
      </w:r>
      <w:r>
        <w:fldChar w:fldCharType="end"/>
      </w:r>
    </w:p>
    <w:p>
      <w:pPr>
        <w:pStyle w:val="TOC1"/>
      </w:pPr>
      <w:hyperlink w:anchor="report_toc_027" w:history="1">
        <w:r>
          <w:rPr>
            <w:color w:val="000000"/>
            <w:u w:val="none"/>
          </w:rPr>
          <w:t xml:space="preserve">Appendix A Representative commands and settings</w:t>
        </w:r>
      </w:hyperlink>
      <w:r>
        <w:tab/>
      </w:r>
      <w:r>
        <w:fldChar w:fldCharType="begin"/>
      </w:r>
      <w:r>
        <w:instrText xml:space="preserve"> PAGEREF report_toc_027 \h </w:instrText>
      </w:r>
      <w:r>
        <w:fldChar w:fldCharType="separate"/>
      </w:r>
      <w:r>
        <w:t xml:space="preserve">19</w:t>
      </w:r>
      <w:r>
        <w:fldChar w:fldCharType="end"/>
      </w:r>
    </w:p>
    <w:p>
      <w:pPr>
        <w:pStyle w:val="TOC2"/>
      </w:pPr>
      <w:hyperlink w:anchor="report_toc_028" w:history="1">
        <w:r>
          <w:rPr>
            <w:color w:val="000000"/>
            <w:u w:val="none"/>
          </w:rPr>
          <w:t xml:space="preserve">A.1 Tissue segmentation and grey matter masking</w:t>
        </w:r>
      </w:hyperlink>
      <w:r>
        <w:tab/>
      </w:r>
      <w:r>
        <w:fldChar w:fldCharType="begin"/>
      </w:r>
      <w:r>
        <w:instrText xml:space="preserve"> PAGEREF report_toc_028 \h </w:instrText>
      </w:r>
      <w:r>
        <w:fldChar w:fldCharType="separate"/>
      </w:r>
      <w:r>
        <w:t xml:space="preserve">19</w:t>
      </w:r>
      <w:r>
        <w:fldChar w:fldCharType="end"/>
      </w:r>
    </w:p>
    <w:p>
      <w:pPr>
        <w:pStyle w:val="TOC2"/>
      </w:pPr>
      <w:hyperlink w:anchor="report_toc_029" w:history="1">
        <w:r>
          <w:rPr>
            <w:color w:val="000000"/>
            <w:u w:val="none"/>
          </w:rPr>
          <w:t xml:space="preserve">A.2 Template registration and AAL label resampling</w:t>
        </w:r>
      </w:hyperlink>
      <w:r>
        <w:tab/>
      </w:r>
      <w:r>
        <w:fldChar w:fldCharType="begin"/>
      </w:r>
      <w:r>
        <w:instrText xml:space="preserve"> PAGEREF report_toc_029 \h </w:instrText>
      </w:r>
      <w:r>
        <w:fldChar w:fldCharType="separate"/>
      </w:r>
      <w:r>
        <w:t xml:space="preserve">19</w:t>
      </w:r>
      <w:r>
        <w:fldChar w:fldCharType="end"/>
      </w:r>
    </w:p>
    <w:p>
      <w:pPr>
        <w:pStyle w:val="TOC2"/>
      </w:pPr>
      <w:hyperlink w:anchor="report_toc_030" w:history="1">
        <w:r>
          <w:rPr>
            <w:color w:val="000000"/>
            <w:u w:val="none"/>
          </w:rPr>
          <w:t xml:space="preserve">A.3 Measuring grey matter volume in one ROI</w:t>
        </w:r>
      </w:hyperlink>
      <w:r>
        <w:tab/>
      </w:r>
      <w:r>
        <w:fldChar w:fldCharType="begin"/>
      </w:r>
      <w:r>
        <w:instrText xml:space="preserve"> PAGEREF report_toc_030 \h </w:instrText>
      </w:r>
      <w:r>
        <w:fldChar w:fldCharType="separate"/>
      </w:r>
      <w:r>
        <w:t xml:space="preserve">19</w:t>
      </w:r>
      <w:r>
        <w:fldChar w:fldCharType="end"/>
      </w:r>
    </w:p>
    <w:p>
      <w:pPr>
        <w:pStyle w:val="TOC2"/>
      </w:pPr>
      <w:hyperlink w:anchor="report_toc_031" w:history="1">
        <w:r>
          <w:rPr>
            <w:color w:val="000000"/>
            <w:u w:val="none"/>
          </w:rPr>
          <w:t xml:space="preserve">A.4 Reproducing the SVM validation settings</w:t>
        </w:r>
      </w:hyperlink>
      <w:r>
        <w:tab/>
      </w:r>
      <w:r>
        <w:fldChar w:fldCharType="begin"/>
      </w:r>
      <w:r>
        <w:instrText xml:space="preserve"> PAGEREF report_toc_031 \h </w:instrText>
      </w:r>
      <w:r>
        <w:fldChar w:fldCharType="separate"/>
      </w:r>
      <w:r>
        <w:t xml:space="preserve">20</w:t>
      </w:r>
      <w:r>
        <w:fldChar w:fldCharType="end"/>
      </w:r>
    </w:p>
    <w:p>
      <w:pPr>
        <w:pStyle w:val="TOC2"/>
      </w:pPr>
      <w:hyperlink w:anchor="report_toc_032" w:history="1">
        <w:r>
          <w:rPr>
            <w:color w:val="000000"/>
            <w:u w:val="none"/>
          </w:rPr>
          <w:t xml:space="preserve">A.5 Processing verification records</w:t>
        </w:r>
      </w:hyperlink>
      <w:r>
        <w:tab/>
      </w:r>
      <w:r>
        <w:fldChar w:fldCharType="begin"/>
      </w:r>
      <w:r>
        <w:instrText xml:space="preserve"> PAGEREF report_toc_032 \h </w:instrText>
      </w:r>
      <w:r>
        <w:fldChar w:fldCharType="separate"/>
      </w:r>
      <w:r>
        <w:t xml:space="preserve">20</w:t>
      </w:r>
      <w:r>
        <w:fldChar w:fldCharType="end"/>
      </w:r>
    </w:p>
    <w:p>
      <w:pPr>
        <w:pStyle w:val="TOC2"/>
      </w:pPr>
      <w:hyperlink w:anchor="report_toc_033" w:history="1">
        <w:r>
          <w:rPr>
            <w:color w:val="000000"/>
            <w:u w:val="none"/>
          </w:rPr>
          <w:t xml:space="preserve">A.6 Reproducing the training supplement</w:t>
        </w:r>
      </w:hyperlink>
      <w:r>
        <w:tab/>
      </w:r>
      <w:r>
        <w:fldChar w:fldCharType="begin"/>
      </w:r>
      <w:r>
        <w:instrText xml:space="preserve"> PAGEREF report_toc_033 \h </w:instrText>
      </w:r>
      <w:r>
        <w:fldChar w:fldCharType="separate"/>
      </w:r>
      <w:r>
        <w:t xml:space="preserve">20</w:t>
      </w:r>
      <w:r>
        <w:fldChar w:fldCharType="end"/>
      </w:r>
    </w:p>
    <w:p>
      <w:pPr>
        <w:pStyle w:val="TOC1"/>
      </w:pPr>
      <w:hyperlink w:anchor="report_toc_034" w:history="1">
        <w:r>
          <w:rPr>
            <w:color w:val="000000"/>
            <w:u w:val="none"/>
          </w:rPr>
          <w:t xml:space="preserve">Appendix B Enlarged views of existing processing results</w:t>
        </w:r>
      </w:hyperlink>
      <w:r>
        <w:tab/>
      </w:r>
      <w:r>
        <w:fldChar w:fldCharType="begin"/>
      </w:r>
      <w:r>
        <w:instrText xml:space="preserve"> PAGEREF report_toc_034 \h </w:instrText>
      </w:r>
      <w:r>
        <w:fldChar w:fldCharType="separate"/>
      </w:r>
      <w:r>
        <w:t xml:space="preserve">21</w:t>
      </w:r>
      <w:r>
        <w:fldChar w:fldCharType="end"/>
      </w:r>
    </w:p>
    <w:p>
      <w:pPr>
        <w:pStyle w:val="TOC2"/>
      </w:pPr>
      <w:hyperlink w:anchor="report_toc_035" w:history="1">
        <w:r>
          <w:rPr>
            <w:color w:val="000000"/>
            <w:u w:val="none"/>
          </w:rPr>
          <w:t xml:space="preserve">B.1 Registration and the retained BET limitation</w:t>
        </w:r>
      </w:hyperlink>
      <w:r>
        <w:tab/>
      </w:r>
      <w:r>
        <w:fldChar w:fldCharType="begin"/>
      </w:r>
      <w:r>
        <w:instrText xml:space="preserve"> PAGEREF report_toc_035 \h </w:instrText>
      </w:r>
      <w:r>
        <w:fldChar w:fldCharType="separate"/>
      </w:r>
      <w:r>
        <w:t xml:space="preserve">22</w:t>
      </w:r>
      <w:r>
        <w:fldChar w:fldCharType="end"/>
      </w:r>
      <w:r>
        <w:fldChar w:fldCharType="end"/>
      </w:r>
    </w:p>
    <w:p w14:paraId="67405CEF" w14:textId="3DCCE15B" w:rsidR="001A23C7" w:rsidRDefault="001A23C7" w:rsidP="004D256E">
      <w:pPr>
        <w:pStyle w:val="Heading1"/>
        <w:pageBreakBefore/>
      </w:pPr>
      <w:bookmarkStart w:id="1" w:name="report_toc_001"/>
      <w:r>
        <w:rPr>
          <w:lang w:val="en-AU"/>
        </w:rPr>
        <w:t>1. Aims and Background</w:t>
      </w:r>
      <w:bookmarkEnd w:id="1"/>
    </w:p>
    <w:p w14:paraId="24BD52A7" w14:textId="541C9301" w:rsidR="001A23C7" w:rsidRDefault="001A23C7" w:rsidP="004D256E">
      <w:pPr>
        <w:pStyle w:val="Heading2"/>
      </w:pPr>
      <w:bookmarkStart w:id="2" w:name="report_toc_002"/>
      <w:r>
        <w:rPr/>
        <w:t>1.1 Background and Rationale</w:t>
      </w:r>
      <w:bookmarkEnd w:id="2"/>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pooling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bookmarkStart w:id="3" w:name="report_toc_003"/>
      <w:r>
        <w:rPr/>
        <w:t>1.2 Project Aims</w:t>
      </w:r>
      <w:bookmarkEnd w:id="3"/>
    </w:p>
    <w:p w14:paraId="7655E355" w14:textId="6A2B3EFB" w:rsidR="000C4437" w:rsidRPr="000C4437" w:rsidRDefault="006061F5" w:rsidP="00B50A31">
      <w:pPr/>
      <w:r>
        <w:t>We aim to classify AD and NC subjects from T1-weighted MRI using 90 regional GM volumes and an SVM. Preprocessing constructs comparable anatomical measurements; training-only standardization and validation then assess their predictive use before testing ten held-out subjects. Lab 1 contributes the spatial operations and physical-volume interpretation. Lab 2 contributes supervised fitting, prediction and evaluation. Combining them makes the links between an image-processing choice, a numerical feature and a classification result explicit.</w:t>
      </w:r>
    </w:p>
    <w:p w14:paraId="5E0DEB8D" w14:textId="73B44DAE" w:rsidR="001A23C7" w:rsidRDefault="001A23C7" w:rsidP="004D256E">
      <w:pPr>
        <w:pStyle w:val="Heading1"/>
        <w:pageBreakBefore/>
      </w:pPr>
      <w:bookmarkStart w:id="4" w:name="report_toc_004"/>
      <w:r>
        <w:rPr>
          <w:lang w:val="en-AU"/>
        </w:rPr>
        <w:t>2. Contributions of Team Members</w:t>
      </w:r>
      <w:bookmarkEnd w:id="4"/>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bookmarkStart w:id="5" w:name="report_toc_005"/>
      <w:r>
        <w:rPr>
          <w:lang w:val="en-AU"/>
        </w:rPr>
        <w:t>3. Methodology</w:t>
      </w:r>
      <w:bookmarkEnd w:id="5"/>
    </w:p>
    <w:p w14:paraId="57126839" w14:textId="76AD0D35" w:rsidR="001A23C7" w:rsidRDefault="001A23C7" w:rsidP="004D256E">
      <w:pPr>
        <w:pStyle w:val="Heading2"/>
      </w:pPr>
      <w:bookmarkStart w:id="6" w:name="report_toc_006"/>
      <w:r w:rsidRPr="001A23C7">
        <w:rPr/>
        <w:t>3.1 Dataset and Experimental Design</w:t>
      </w:r>
      <w:bookmarkEnd w:id="6"/>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bookmarkStart w:id="7" w:name="report_toc_007"/>
      <w:r w:rsidRPr="001A23C7">
        <w:rPr/>
        <w:t>3.2 Overview of the Processing Pipeline</w:t>
      </w:r>
      <w:bookmarkEnd w:id="7"/>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bookmarkStart w:id="8" w:name="report_toc_008"/>
      <w:r w:rsidRPr="001A23C7">
        <w:rPr/>
        <w:t>3.3 Brain Extraction</w:t>
      </w:r>
      <w:bookmarkEnd w:id="8"/>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bookmarkStart w:id="9" w:name="report_toc_009"/>
      <w:r w:rsidRPr="001A23C7">
        <w:rPr/>
        <w:t>3.4 Tissue Segmentation and Grey Matter Image Generation</w:t>
      </w:r>
      <w:bookmarkEnd w:id="9"/>
    </w:p>
    <w:p w14:paraId="2FE32A97" w14:textId="77777777" w:rsidR="00ED3AC0" w:rsidRPr="00ED3AC0" w:rsidRDefault="00ED3AC0" w:rsidP="00ED3AC0">
      <w:pPr/>
      <w:r>
        <w:t>After brain extraction, FSL FAST segments the T1 images into grey matter, white matter and cerebrospinal fluid. Its hidden Markov random field represents dependence between neighbouring tissue labels, while expectation-maximization estimates the model from observed intensities [6]. Spatial context therefore contributes beyond an intensity histogram alone, but it does not supply manual anatomical truth. We use the instructor’s three-class settings and export binary tissue masks. Multiplying the brain image by the GM mask produces a GM intensity image for inspection. Regional volume uses the binary GM mask, not the sum of MRI intensities or tissue probabilities. This hard assignment discards partial tissue membership at boundaries. Appendix A.1 gives the commands; Figure B2 shows the GM intensity image.</w:t>
      </w:r>
    </w:p>
    <w:p w14:paraId="4751063E" w14:textId="31B961A1" w:rsidR="001A23C7" w:rsidRDefault="001A23C7" w:rsidP="004D256E">
      <w:pPr>
        <w:pStyle w:val="Heading2"/>
      </w:pPr>
      <w:bookmarkStart w:id="10" w:name="report_toc_010"/>
      <w:r w:rsidRPr="001A23C7">
        <w:rPr/>
        <w:t>3.5 Image Registration and AAL Atlas Transformation</w:t>
      </w:r>
      <w:bookmarkEnd w:id="10"/>
    </w:p>
    <w:p w14:paraId="0155CA1A" w14:textId="688B3FA1" w:rsidR="00ED3AC0" w:rsidRPr="00ED3AC0" w:rsidRDefault="00ED3AC0" w:rsidP="00ED3AC0">
      <w:pPr/>
      <w:r>
        <w:t>We register the supplied MNI brain template to each native brain with NiftyReg [7]: affine alignment handles global position, orientation and scale, followed by nonlinear refinement for local shape differences. The subject is the reference and the original template is the floating image in both stages (Appendix A.2). Applying the resulting transformation to AAL [3] with nearest-neighbour interpolation retains integer region identities. The GM mask stays on the native grid, where physical volume is counted without Jacobian modulation of a normalized GM image. This is regional native-volume analysis rather than voxel-based morphometry. Integer labels do not establish anatomical correspondence; alignment needs separate inspection.</w:t>
      </w:r>
    </w:p>
    <w:p w14:paraId="0A694EEB" w14:textId="74FBF793" w:rsidR="001A23C7" w:rsidRDefault="001A23C7" w:rsidP="004D256E">
      <w:pPr>
        <w:pStyle w:val="Heading2"/>
        <w:pageBreakBefore/>
      </w:pPr>
      <w:bookmarkStart w:id="11" w:name="report_toc_011"/>
      <w:r w:rsidRPr="001A23C7">
        <w:rPr/>
        <w:t>3.6 Regional Grey Matter Volume Extraction</w:t>
      </w:r>
      <w:bookmarkEnd w:id="11"/>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bookmarkStart w:id="12" w:name="report_toc_012"/>
      <w:r w:rsidRPr="001A23C7">
        <w:rPr/>
        <w:t xml:space="preserve">3.7 Feature </w:t>
      </w:r>
      <w:r w:rsidR="00B95F58" w:rsidRPr="001A23C7">
        <w:rPr/>
        <w:t>Standardization</w:t>
      </w:r>
      <w:r w:rsidRPr="001A23C7">
        <w:rPr/>
        <w:t xml:space="preserve"> and SVM Classification</w:t>
      </w:r>
      <w:bookmarkEnd w:id="12"/>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t>For standardized vectors z and z′, the RBF kernel is K(z,z′) = exp(−γ‖z−z′‖²). Thus, feature scale affects the distances used for similarity. C = 1 fixes the penalty on margin violations relative to regularization; larger C penalizes violations more strongly. Gamma controls the reach of similarity. The implementation sets gamma="scale" to 1/(p × Var(Z)), where p = 90 and Z is the matrix supplied to SVC after scaling [8]. These fixed baseline settings were not selected on the test set. Scaling does not remove feature correlations, anatomical errors or subject-level head-size differences.</w:t>
      </w:r>
    </w:p>
    <w:p>
      <w:pPr/>
      <w:r>
        <w:t>The SVM separates classes with a large margin in the kernel-defined space. Its soft margin permits violations while penalizing them; training examples with non-zero coefficients are the support vectors that determine the decision function [9]. Cortes and Vapnik [9] provide this foundational learning formulation, whereas the software documentation [8] specifies parameter behaviour. The RBF model is a nonlinear baseline; we did not establish superiority over other classifiers.</w:t>
      </w:r>
    </w:p>
    <w:p w14:paraId="3758C6C0" w14:textId="77777777" w:rsidR="00ED3AC0" w:rsidRPr="00ED3AC0" w:rsidRDefault="00ED3AC0" w:rsidP="00ED3AC0">
      <w:pPr/>
      <w:r>
        <w:t>We use StratifiedKFold(n_splits=5, shuffle=True, random_state=73) on the 40 training subjects, with similar AD/NC proportions in each fold. Each round fits the complete scaler/SVM pipeline on four folds and validates on the fifth, so every subject is held out once. The scaler learns only from that round’s training portion, avoiding leakage from validation values. SVM settings remain fixed; no hyperparameter search is performed.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pPr>
        <w:pStyle w:val="Heading2"/>
      </w:pPr>
      <w:bookmarkStart w:id="13" w:name="report_toc_013"/>
      <w:r>
        <w:t>3.8 Descriptive Analysis of Training Features</w:t>
      </w:r>
      <w:bookmarkEnd w:id="13"/>
    </w:p>
    <w:p>
      <w:pPr>
        <w:keepNext/>
        <w:keepLines/>
      </w:pPr>
      <w:r>
        <w:t xml:space="preserve">After the original predictions, a training-only descriptive supplement examines overall GM scale and regional composition in Data_00–39. For each subject, S sums the 90 volumes and </w:t>
      </w:r>
      <w:r>
        <w:rPr>
          <w:i/>
        </w:rPr>
        <w:t>q</w:t>
      </w:r>
      <w:r>
        <w:rPr>
          <w:i/>
          <w:vertAlign w:val="subscript"/>
        </w:rPr>
        <w:t>r</w:t>
      </w:r>
      <w:r>
        <w:t xml:space="preserve"> = </w:t>
      </w:r>
      <w:r>
        <w:rPr>
          <w:i/>
        </w:rPr>
        <w:t>V</w:t>
      </w:r>
      <w:r>
        <w:rPr>
          <w:i/>
          <w:vertAlign w:val="subscript"/>
        </w:rPr>
        <w:t>r</w:t>
      </w:r>
      <w:r>
        <w:t>/S. These fractions are not ICV correction. We report sample mean ± SD for S and complete binary GM volume. For all 90 labels, Cohen’s d = (</w:t>
      </w:r>
      <w:r>
        <w:rPr>
          <w:i w:val="0"/>
        </w:rPr>
        <w:t>mean</w:t>
      </w:r>
      <w:r>
        <w:rPr>
          <w:i w:val="0"/>
          <w:vertAlign w:val="subscript"/>
        </w:rPr>
        <w:t>AD</w:t>
      </w:r>
      <w:r>
        <w:t xml:space="preserve"> − </w:t>
      </w:r>
      <w:r>
        <w:rPr>
          <w:i w:val="0"/>
        </w:rPr>
        <w:t>mean</w:t>
      </w:r>
      <w:r>
        <w:rPr>
          <w:i w:val="0"/>
          <w:vertAlign w:val="subscript"/>
        </w:rPr>
        <w:t>NC</w:t>
      </w:r>
      <w:r>
        <w:t>)/</w:t>
      </w:r>
      <w:r>
        <w:rPr>
          <w:i/>
        </w:rPr>
        <w:t>s</w:t>
      </w:r>
      <w:r>
        <w:rPr>
          <w:i/>
          <w:vertAlign w:val="subscript"/>
        </w:rPr>
        <w:t>p</w:t>
      </w:r>
      <w:r>
        <w:t xml:space="preserve">, with </w:t>
      </w:r>
      <w:r>
        <w:rPr>
          <w:i/>
        </w:rPr>
        <w:t>s</w:t>
      </w:r>
      <w:r>
        <w:rPr>
          <w:i/>
          <w:vertAlign w:val="subscript"/>
        </w:rPr>
        <w:t>p</w:t>
      </w:r>
      <w:r>
        <w:t>² = (18</w:t>
      </w:r>
      <w:r>
        <w:rPr>
          <w:i/>
        </w:rPr>
        <w:t>s</w:t>
      </w:r>
      <w:r>
        <w:rPr>
          <w:i/>
          <w:vertAlign w:val="subscript"/>
        </w:rPr>
        <w:t>AD</w:t>
      </w:r>
      <w:r>
        <w:t>² + 20</w:t>
      </w:r>
      <w:r>
        <w:rPr>
          <w:i/>
        </w:rPr>
        <w:t>s</w:t>
      </w:r>
      <w:r>
        <w:rPr>
          <w:i/>
          <w:vertAlign w:val="subscript"/>
        </w:rPr>
        <w:t>NC</w:t>
      </w:r>
      <w:r>
        <w:t>²)/38. No ROIs are selected or significance tests performed.</w:t>
      </w:r>
    </w:p>
    <w:p>
      <w:pPr>
        <w:keepLines/>
      </w:pPr>
      <w:r>
        <w:t>Native-mask headers are audited for dimensions and spacing by training class. No test features are read or classifiers refitted. Effects describe measurements, not SVM importance. The adjustment experiments in [11] motivate examining representation, although our denominator differs. TRIPOD+AI [12] informs transparent separation of development, evaluation and later exploratory analysis, without certifying clinical validity.</w:t>
      </w:r>
    </w:p>
    <w:p w14:paraId="3810D9EC" w14:textId="77777777" w:rsidR="001A23C7" w:rsidRPr="001A23C7" w:rsidRDefault="001A23C7" w:rsidP="004D256E">
      <w:pPr>
        <w:pStyle w:val="Heading1"/>
      </w:pPr>
      <w:bookmarkStart w:id="14" w:name="report_toc_014"/>
      <w:r>
        <w:rPr>
          <w:lang w:val="en-AU"/>
        </w:rPr>
        <w:t>4. Results</w:t>
      </w:r>
      <w:bookmarkEnd w:id="14"/>
    </w:p>
    <w:p w14:paraId="79851616" w14:textId="21A5FFD5" w:rsidR="001A23C7" w:rsidRDefault="001A23C7" w:rsidP="004D256E">
      <w:pPr>
        <w:pStyle w:val="Heading2"/>
      </w:pPr>
      <w:bookmarkStart w:id="15" w:name="report_toc_015"/>
      <w:r>
        <w:rPr/>
        <w:t>4.1 Brain Extraction Results</w:t>
      </w:r>
      <w:bookmarkEnd w:id="15"/>
    </w:p>
    <w:p w14:paraId="0F635FE2" w14:textId="77777777" w:rsidR="00ED3AC0" w:rsidRDefault="00ED3AC0" w:rsidP="00ED3AC0">
      <w:pPr>
        <w:keepLines/>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bookmarkStart w:id="16" w:name="report_toc_016"/>
      <w:r w:rsidRPr="001A23C7">
        <w:rPr/>
        <w:t>4.2 Tissue Segmentation and Grey Matter Images</w:t>
      </w:r>
      <w:bookmarkEnd w:id="16"/>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bookmarkStart w:id="17" w:name="report_toc_017"/>
      <w:r w:rsidRPr="001A23C7">
        <w:rPr/>
        <w:t>4.3 Registration and Atlas Alignment Results</w:t>
      </w:r>
      <w:bookmarkEnd w:id="17"/>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bookmarkStart w:id="18" w:name="report_toc_018"/>
      <w:r w:rsidRPr="001A23C7">
        <w:rPr/>
        <w:t>4.4 Regional Grey Matter Volume Features</w:t>
      </w:r>
      <w:bookmarkEnd w:id="18"/>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bookmarkStart w:id="19" w:name="report_toc_019"/>
      <w:r w:rsidRPr="001A23C7">
        <w:rPr/>
        <w:t>4.5 Cross-Validation Performance</w:t>
      </w:r>
      <w:bookmarkEnd w:id="19"/>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bookmarkStart w:id="20" w:name="report_toc_020"/>
      <w:r w:rsidRPr="001A23C7">
        <w:rPr/>
        <w:t>4.6 Test Set Predictions and Performance</w:t>
      </w:r>
      <w:bookmarkEnd w:id="20"/>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pPr>
        <w:pStyle w:val="Heading2"/>
      </w:pPr>
      <w:bookmarkStart w:id="21" w:name="report_toc_021"/>
      <w:r>
        <w:t>4.7 Training Feature Scale and Image Geometry</w:t>
      </w:r>
      <w:bookmarkEnd w:id="21"/>
    </w:p>
    <w:p>
      <w:pPr/>
      <w:r>
        <w:t>Table 4 summarizes the training volumes. The mean AAL 1–90 sum is 20.9% lower in AD than NC, with overlapping individual ranges (Figure 8a). Absolute-volume d is negative for 79/90 ROIs. After expressing volumes as fractions of their subject’s AAL sum, 48/90 effects are negative and 31 change sign. Median |d| changes from 1.22 to 0.66 (Figure 8b). These are descriptive contrasts, not 90 independent findings of disease effects.</w:t>
      </w:r>
    </w:p>
    <w:p>
      <w:pPr>
        <w:pStyle w:val="PaperCaption"/>
        <w:keepNext/>
      </w:pPr>
      <w:r>
        <w:t>Table 4. Training GM volumes in cm³ (sample mean ± SD; 1 cm³ = 1000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600"/>
        <w:gridCol w:w="2880"/>
        <w:gridCol w:w="2880"/>
      </w:tblGrid>
      <w:tr w:rsidR="00435E4E" w14:paraId="20A81F8D" w14:textId="77777777" w:rsidTr="00435E4E">
        <w:trPr>
          <w:cantSplit/>
          <w:tblHeader/>
        </w:trPr>
        <w:tc>
          <w:tcPr>
            <w:tcW w:w="3600"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keepLines/>
              <w:spacing w:after="0" w:line="240" w:lineRule="auto"/>
              <w:ind w:firstLine="0"/>
              <w:jc w:val="left"/>
            </w:pPr>
            <w:r>
              <w:rPr>
                <w:rFonts w:ascii="Times New Roman" w:hAnsi="Times New Roman"/>
                <w:b/>
                <w:sz w:val="22"/>
              </w:rPr>
              <w:t>Measure</w:t>
            </w:r>
          </w:p>
        </w:tc>
        <w:tc>
          <w:tcPr>
            <w:tcW w:w="2880"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keepLines/>
              <w:spacing w:after="0" w:line="240" w:lineRule="auto"/>
              <w:ind w:firstLine="0"/>
              <w:jc w:val="center"/>
            </w:pPr>
            <w:r>
              <w:rPr>
                <w:rFonts w:ascii="Times New Roman" w:hAnsi="Times New Roman"/>
                <w:b/>
                <w:sz w:val="22"/>
              </w:rPr>
              <w:t>NC (n = 21)</w:t>
            </w:r>
          </w:p>
        </w:tc>
        <w:tc>
          <w:tcPr>
            <w:tcW w:w="2880"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keepLines/>
              <w:spacing w:after="0" w:line="240" w:lineRule="auto"/>
              <w:ind w:firstLine="0"/>
              <w:jc w:val="center"/>
            </w:pPr>
            <w:r>
              <w:rPr>
                <w:rFonts w:ascii="Times New Roman" w:hAnsi="Times New Roman"/>
                <w:b/>
                <w:sz w:val="22"/>
              </w:rPr>
              <w:t>AD (n = 19)</w:t>
            </w:r>
          </w:p>
        </w:tc>
      </w:tr>
      <w:tr w:rsidR="00435E4E" w14:paraId="1246B7B9" w14:textId="77777777" w:rsidTr="00435E4E">
        <w:trPr>
          <w:cantSplit/>
        </w:trPr>
        <w:tc>
          <w:tcPr>
            <w:tcW w:w="3600" w:type="dxa"/>
            <w:vAlign w:val="center"/>
            <w:tcBorders>
              <w:top w:val="single" w:sz="4" w:color="000000" w:space="0"/>
              <w:left w:val="nil"/>
              <w:bottom w:val="nil"/>
              <w:right w:val="nil"/>
            </w:tcBorders>
          </w:tcPr>
          <w:p w14:paraId="6CCF36DE" w14:textId="62D185D8" w:rsidR="00435E4E" w:rsidRPr="00435E4E" w:rsidRDefault="00435E4E" w:rsidP="009C667D">
            <w:pPr>
              <w:keepNext/>
              <w:keepLines/>
              <w:spacing w:after="0" w:line="240" w:lineRule="auto"/>
              <w:ind w:firstLine="0"/>
              <w:jc w:val="left"/>
            </w:pPr>
            <w:r>
              <w:rPr>
                <w:rFonts w:ascii="Times New Roman" w:hAnsi="Times New Roman"/>
                <w:b w:val="0"/>
                <w:sz w:val="22"/>
              </w:rPr>
              <w:t>Complete binary GM mask</w:t>
            </w:r>
          </w:p>
        </w:tc>
        <w:tc>
          <w:tcPr>
            <w:tcW w:w="2880" w:type="dxa"/>
            <w:vAlign w:val="center"/>
            <w:tcBorders>
              <w:top w:val="single" w:sz="4" w:color="000000" w:space="0"/>
              <w:left w:val="nil"/>
              <w:bottom w:val="nil"/>
              <w:right w:val="nil"/>
            </w:tcBorders>
          </w:tcPr>
          <w:p w14:paraId="6478C9E6" w14:textId="783ECC68" w:rsidR="00435E4E" w:rsidRPr="00435E4E" w:rsidRDefault="00435E4E" w:rsidP="009C667D">
            <w:pPr>
              <w:keepNext/>
              <w:keepLines/>
              <w:spacing w:after="0" w:line="240" w:lineRule="auto"/>
              <w:ind w:firstLine="0"/>
              <w:jc w:val="center"/>
            </w:pPr>
            <w:r>
              <w:rPr>
                <w:rFonts w:ascii="Times New Roman" w:hAnsi="Times New Roman"/>
                <w:b w:val="0"/>
                <w:sz w:val="22"/>
              </w:rPr>
              <w:t>604.8 ± 58.2</w:t>
            </w:r>
          </w:p>
        </w:tc>
        <w:tc>
          <w:tcPr>
            <w:tcW w:w="2880" w:type="dxa"/>
            <w:vAlign w:val="center"/>
            <w:tcBorders>
              <w:top w:val="single" w:sz="4" w:color="000000" w:space="0"/>
              <w:left w:val="nil"/>
              <w:bottom w:val="nil"/>
              <w:right w:val="nil"/>
            </w:tcBorders>
          </w:tcPr>
          <w:p w14:paraId="08E66216" w14:textId="049675A9" w:rsidR="00435E4E" w:rsidRPr="00435E4E" w:rsidRDefault="00435E4E" w:rsidP="009C667D">
            <w:pPr>
              <w:keepNext/>
              <w:keepLines/>
              <w:spacing w:after="0" w:line="240" w:lineRule="auto"/>
              <w:ind w:firstLine="0"/>
              <w:jc w:val="center"/>
            </w:pPr>
            <w:r>
              <w:rPr>
                <w:rFonts w:ascii="Times New Roman" w:hAnsi="Times New Roman"/>
                <w:b w:val="0"/>
                <w:sz w:val="22"/>
              </w:rPr>
              <w:t>474.4 ± 58.6</w:t>
            </w:r>
          </w:p>
        </w:tc>
      </w:tr>
      <w:tr w:rsidR="00435E4E" w14:paraId="32268B51" w14:textId="77777777" w:rsidTr="00435E4E">
        <w:trPr>
          <w:cantSplit/>
        </w:trPr>
        <w:tc>
          <w:tcPr>
            <w:tcW w:w="3600" w:type="dxa"/>
            <w:vAlign w:val="center"/>
            <w:tcBorders>
              <w:top w:val="nil"/>
              <w:left w:val="nil"/>
              <w:bottom w:val="single" w:sz="10" w:color="000000" w:space="0"/>
              <w:right w:val="nil"/>
            </w:tcBorders>
          </w:tcPr>
          <w:p w14:paraId="1287F5F8" w14:textId="38AE3A45" w:rsidR="00435E4E" w:rsidRPr="00435E4E" w:rsidRDefault="00435E4E" w:rsidP="009C667D">
            <w:pPr>
              <w:keepNext w:val="0"/>
              <w:keepLines/>
              <w:spacing w:after="0" w:line="240" w:lineRule="auto"/>
              <w:ind w:firstLine="0"/>
              <w:jc w:val="left"/>
            </w:pPr>
            <w:r>
              <w:rPr>
                <w:rFonts w:ascii="Times New Roman" w:hAnsi="Times New Roman"/>
                <w:b w:val="0"/>
                <w:sz w:val="22"/>
              </w:rPr>
              <w:t>AAL labels 1–90 sum</w:t>
            </w:r>
          </w:p>
        </w:tc>
        <w:tc>
          <w:tcPr>
            <w:tcW w:w="2880" w:type="dxa"/>
            <w:vAlign w:val="center"/>
            <w:tcBorders>
              <w:top w:val="nil"/>
              <w:left w:val="nil"/>
              <w:bottom w:val="single" w:sz="10" w:color="000000" w:space="0"/>
              <w:right w:val="nil"/>
            </w:tcBorders>
          </w:tcPr>
          <w:p w14:paraId="04F3E744" w14:textId="195F8FDF" w:rsidR="00435E4E" w:rsidRPr="00435E4E" w:rsidRDefault="00435E4E" w:rsidP="009C667D">
            <w:pPr>
              <w:keepNext w:val="0"/>
              <w:keepLines/>
              <w:spacing w:after="0" w:line="240" w:lineRule="auto"/>
              <w:ind w:firstLine="0"/>
              <w:jc w:val="center"/>
            </w:pPr>
            <w:r>
              <w:rPr>
                <w:rFonts w:ascii="Times New Roman" w:hAnsi="Times New Roman"/>
                <w:b w:val="0"/>
                <w:sz w:val="22"/>
              </w:rPr>
              <w:t>437.8 ± 44.6</w:t>
            </w:r>
          </w:p>
        </w:tc>
        <w:tc>
          <w:tcPr>
            <w:tcW w:w="2880" w:type="dxa"/>
            <w:vAlign w:val="center"/>
            <w:tcBorders>
              <w:top w:val="nil"/>
              <w:left w:val="nil"/>
              <w:bottom w:val="single" w:sz="10" w:color="000000" w:space="0"/>
              <w:right w:val="nil"/>
            </w:tcBorders>
          </w:tcPr>
          <w:p w14:paraId="1BFBC9B6" w14:textId="58D7CB38" w:rsidR="00435E4E" w:rsidRPr="00435E4E" w:rsidRDefault="00435E4E" w:rsidP="009C667D">
            <w:pPr>
              <w:keepNext w:val="0"/>
              <w:keepLines/>
              <w:spacing w:after="0" w:line="240" w:lineRule="auto"/>
              <w:ind w:firstLine="0"/>
              <w:jc w:val="center"/>
            </w:pPr>
            <w:r>
              <w:rPr>
                <w:rFonts w:ascii="Times New Roman" w:hAnsi="Times New Roman"/>
                <w:b w:val="0"/>
                <w:sz w:val="22"/>
              </w:rPr>
              <w:t>346.4 ± 46.9</w:t>
            </w:r>
          </w:p>
        </w:tc>
      </w:tr>
    </w:tbl>
    <w:p>
      <w:pPr/>
      <w:r>
        <w:t>All 21 training NC images have a 256 × 256 × 176 grid and 1 × 1 × 1 mm voxels. All 19 AD images have 256 × 256 × 166 or 170 grids and non-isotropic voxels (approximately 0.94 × 0.94 × 1.20 mm). Thus, stored geometry is class-associated. Geometry alone does not identify scanner or site provenance. The training summaries and header audit are retained with the analysis code in the repository.</w:t>
      </w:r>
    </w:p>
    <w:p>
      <w:pPr>
        <w:keepNext/>
        <w:jc w:val="center"/>
      </w:pPr>
      <w:r>
        <w:drawing>
          <wp:inline xmlns:a="http://schemas.openxmlformats.org/drawingml/2006/main" xmlns:pic="http://schemas.openxmlformats.org/drawingml/2006/picture">
            <wp:extent cx="5943600" cy="2327772"/>
            <wp:docPr id="773295328" name="Picture 773295328"/>
            <wp:cNvGraphicFramePr>
              <a:graphicFrameLocks noChangeAspect="1"/>
            </wp:cNvGraphicFramePr>
            <a:graphic>
              <a:graphicData uri="http://schemas.openxmlformats.org/drawingml/2006/picture">
                <pic:pic>
                  <pic:nvPicPr>
                    <pic:cNvPr id="0" name="training_volume_sensitivity.png"/>
                    <pic:cNvPicPr/>
                  </pic:nvPicPr>
                  <pic:blipFill>
                    <a:blip r:embed="rId36"/>
                    <a:stretch>
                      <a:fillRect/>
                    </a:stretch>
                  </pic:blipFill>
                  <pic:spPr>
                    <a:xfrm>
                      <a:off x="0" y="0"/>
                      <a:ext cx="5943600" cy="2327772"/>
                    </a:xfrm>
                    <a:prstGeom prst="rect"/>
                  </pic:spPr>
                </pic:pic>
              </a:graphicData>
            </a:graphic>
          </wp:inline>
        </w:drawing>
      </w:r>
    </w:p>
    <w:p>
      <w:pPr>
        <w:pStyle w:val="PaperCaption"/>
      </w:pPr>
      <w:r>
        <w:t>Figure 8. Post hoc description of training features only. (a) Each point is one subject’s AAL 1–90 GM sum; horizontal bars indicate class means. (b) AD-minus-NC standardized mean differences for all 90 labels, using absolute volumes or fractions of each subject’s AAL sum. Connecting lines aid tracing label order. Fractions are not ICV correction, and effects are not SVM importance estimates.</w:t>
      </w:r>
    </w:p>
    <w:p w14:paraId="5CA698E4" w14:textId="09493BEE" w:rsidR="001A23C7" w:rsidRDefault="001A23C7" w:rsidP="004D256E">
      <w:pPr>
        <w:pStyle w:val="Heading1"/>
      </w:pPr>
      <w:bookmarkStart w:id="22" w:name="report_toc_022"/>
      <w:r>
        <w:rPr>
          <w:lang w:val="en-AU"/>
        </w:rPr>
        <w:t>5. Discussion and Conclusion</w:t>
      </w:r>
      <w:bookmarkEnd w:id="22"/>
    </w:p>
    <w:p w14:paraId="632B6695" w14:textId="46343A1F" w:rsidR="001A23C7" w:rsidRDefault="001A23C7" w:rsidP="004D256E">
      <w:pPr>
        <w:pStyle w:val="Heading2"/>
      </w:pPr>
      <w:bookmarkStart w:id="23" w:name="report_toc_023"/>
      <w:r w:rsidRPr="001A23C7">
        <w:rPr/>
        <w:t>5.1 Interpretation of the Findings</w:t>
      </w:r>
      <w:bookmarkEnd w:id="23"/>
    </w:p>
    <w:p w14:paraId="5C8A8F38" w14:textId="32B75082" w:rsidR="000D7F29" w:rsidRPr="000D7F29" w:rsidRDefault="000D7F29" w:rsidP="000D7F29">
      <w:pPr>
        <w:keepLines/>
      </w:pPr>
      <w:r>
        <w:t>The pipeline correctly classifies nine of ten held-out subjects, supporting discrimination within the supplied dataset. This predictive result does not establish that the classifier detects disease-specific regional atrophy. Section 4.7 shows that lower overall regional GM volume and a class-associated difference in image geometry accompany the labels. These observations make it necessary to consider several explanations for the measured separation before interpreting it biologically.</w:t>
      </w:r>
    </w:p>
    <w:p w14:paraId="45C440CF" w14:textId="2B26EA3C" w:rsidR="00B50A31" w:rsidRPr="000D7F29" w:rsidRDefault="000D7F29" w:rsidP="00B50A31">
      <w:pPr/>
      <w:r>
        <w:t>The validation percentages need their denominators. Each CV fold contains eight subjects: one fold has one error, giving 39/40 correct across held-out folds. The test also has one error, among ten subjects. The 7.5-percentage-point gap therefore accompanies coarse accuracy increments and different samples; it neither establishes overfitting nor equivalence of performance. The 5-percentage-point fold standard deviation describes this partition, not uncertainty in population performance.</w:t>
      </w:r>
    </w:p>
    <w:p w14:paraId="42EBC744" w14:textId="77777777" w:rsidR="00613FE1" w:rsidRPr="00B50A31" w:rsidRDefault="00613FE1" w:rsidP="00B50A31">
      <w:pPr/>
      <w:r>
        <w:t>Karas et al. [1] support the biological rationale through regional GM loss; Klöppel et al. [2] demonstrate MRI/SVM classification with a voxel-based representation. Our regional summaries retain atlas identities but can hide local changes represented by voxel features. The 2024 review [4] covers different disease stages and populations, and its pooled prevalence estimates are not an accuracy benchmark. These sources motivate the experiment without establishing comparability of performance or identifying which ROIs drive our predictions.</w:t>
      </w:r>
    </w:p>
    <w:p w14:paraId="6A484F3F" w14:textId="77777777" w:rsidR="00613FE1" w:rsidRPr="00B50A31" w:rsidRDefault="00613FE1" w:rsidP="00B50A31">
      <w:pPr/>
      <w:r>
        <w:t>The training analysis makes the distinction between feature scaling and anatomical adjustment concrete. AAL-summed GM is 20.9% lower on average in AD, and 79 regional absolute-volume effects are negative; much of the pattern therefore accompanies a broad volume-scale difference. Expressing measurements as fractions reduces median |d| and reverses 31 directions. A larger fraction can arise when the denominator decreases more than the numerator, so a positive relative effect does not demonstrate tissue growth. Because the fractions sum to one, they also constrain one another. Neither representation establishes the contribution of an ROI to the nonlinear SVM.</w:t>
      </w:r>
    </w:p>
    <w:p>
      <w:pPr/>
      <w:r>
        <w:t>Barnes et al. [10] show why head size matters for volumetric interpretation. Voevodskaya et al. [11] go further by comparing raw, proportional and residual ICV adjustment in PIVUS and ADNI: adjustment changes regional relationships and can affect diagnostic comparisons. Their FreeSurfer measurements and ICV denominator differ from our binary AAL volumes and GM-sum denominator, so their results support examining the adjustment choice, not adopting our fractions as a validated correction. Global GM loss may itself contain disease information; removing scale could discard it. Without ICV, demographics and acquisition provenance, the current analysis cannot partition disease effects, baseline anatomy and measurement differences.</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pPr/>
      <w:r>
        <w:t>The geometry audit identifies a more specific threat than sample size alone. Stratifying subjects preserves diagnostic balance, but both classes retain their characteristic stored geometry across folds; the validation design therefore cannot isolate disease from geometry-associated acquisition or processing effects. Converting counts to mm³ accounts for voxel volume, yet does not equalize partial-volume behaviour or segmentation boundaries. Geometry was not supplied as an SVM feature, and this audit does not prove that it caused the predictions. A dataset containing AD and NC scans with overlapping acquisition conditions is needed to distinguish these possibilities; merely increasing the number of random folds would not resolve them.</w:t>
      </w:r>
    </w:p>
    <w:p w14:paraId="130B43EA" w14:textId="56146B68" w:rsidR="001A23C7" w:rsidRDefault="001A23C7" w:rsidP="004D256E">
      <w:pPr>
        <w:pStyle w:val="Heading2"/>
      </w:pPr>
      <w:bookmarkStart w:id="24" w:name="report_toc_024"/>
      <w:r w:rsidRPr="001A23C7">
        <w:rPr/>
        <w:t>5.2 Limitations and Potential Improvements</w:t>
      </w:r>
      <w:bookmarkEnd w:id="24"/>
    </w:p>
    <w:p w14:paraId="6C085170" w14:textId="3CDB47F4" w:rsidR="00BC083D" w:rsidRPr="00BC083D" w:rsidRDefault="00BC083D" w:rsidP="00BC083D">
      <w:pPr>
        <w:keepLines/>
      </w:pPr>
      <w:r>
        <w:t>Figure 9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t>Figure 9.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pPr/>
      <w:r>
        <w:t>Together, the checks separate three questions. The independent count comparison verifies that the specified masks produce the exported numbers. Sampled image review evaluates visible anatomical plausibility and retains the Data_44 limitation. Held-out predictions evaluate agreement with labels in this dataset. Success on one question does not settle the others: a correctly classified Data_44 can still have an imperfect mask, and a reproducible volume can still reflect a misplaced boundary. This distinction connects the algorithm papers [5–7] to the actual evidence without treating their published validation as validation of our images.</w:t>
      </w:r>
    </w:p>
    <w:p>
      <w:pPr/>
      <w:r>
        <w:t>The practical priority is to audit acquisition provenance and obtain diagnosis groups with overlapping geometry, alongside age, sex and ICV, before testing a prespecified adjustment strategy. Image boundaries and registration would then be reviewed with anatomical references, with remaining changes assessed inside training-only validation and a new test cohort. Following the performance distinctions in TRIPOD+AI [12], our fixed-label accuracy, sensitivity and specificity do not establish calibrated disease probabilities or clinical utility. SVM decision scores are not probabilities; no calibration or decision-benefit analysis was performed. The present work demonstrates a course classification pipeline rather than a clinical diagnostic instrument.</w:t>
      </w:r>
    </w:p>
    <w:p w14:paraId="6D3BCFE2" w14:textId="4E5C5962" w:rsidR="001A23C7" w:rsidRDefault="001A23C7" w:rsidP="004D256E">
      <w:pPr>
        <w:pStyle w:val="Heading2"/>
      </w:pPr>
      <w:bookmarkStart w:id="25" w:name="report_toc_025"/>
      <w:r w:rsidRPr="001A23C7">
        <w:rPr/>
        <w:t>5.3 Conclusion</w:t>
      </w:r>
      <w:bookmarkEnd w:id="25"/>
    </w:p>
    <w:p w14:paraId="59FDC72A" w14:textId="0347B234" w:rsidR="00B50A31" w:rsidRPr="00BC083D" w:rsidRDefault="00BC083D" w:rsidP="00B50A31">
      <w:pPr>
        <w:keepLines/>
      </w:pPr>
      <w:r>
        <w:t>This project implements MRI preprocessing, 90 native-space regional GM volumes and an SVM in a reproducible workflow. Numerical checks confirm consistency of the exported features, while sampled images document remaining anatomical limitations. Training-only five-fold validation gives 97.5% mean accuracy, and the fixed test set gives 9/10 correct, with 83.3% AD sensitivity and 100% NC specificity. The added training analysis shows broad GM-scale differences and class-associated image geometry. Accordingly, the results demonstrate dataset-specific discrimination, while acquisition-controlled validation and anatomical/covariate assessment are needed to establish how much separation reflects AD-related tissue changes.</w:t>
      </w:r>
    </w:p>
    <w:p w14:paraId="4A17A85E" w14:textId="77777777" w:rsidR="00E31F5B" w:rsidRDefault="00E31F5B" w:rsidP="004D256E">
      <w:pPr>
        <w:pStyle w:val="Heading1"/>
        <w:pageBreakBefore/>
      </w:pPr>
      <w:bookmarkStart w:id="26" w:name="report_toc_026"/>
      <w:r w:rsidRPr="00AF7846">
        <w:rPr>
          <w:lang w:val="en-AU"/>
        </w:rPr>
        <w:t>References</w:t>
      </w:r>
      <w:bookmarkEnd w:id="26"/>
    </w:p>
    <w:p w14:paraId="4C324ADA" w14:textId="772BABE5" w:rsidR="00613FE1" w:rsidRPr="00613FE1" w:rsidRDefault="00613FE1" w:rsidP="00613FE1">
      <w:pPr>
        <w:pStyle w:val="PaperReference"/>
        <w:keepNext w:val="0"/>
        <w:keepLines/>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val="0"/>
        <w:keepLines/>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val="0"/>
        <w:keepLines/>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val="0"/>
        <w:keepLines/>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val="0"/>
        <w:keepLines/>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val="0"/>
        <w:keepLines/>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val="0"/>
        <w:keepLines/>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keepLines/>
      </w:pPr>
      <w:r>
        <w:rPr/>
        <w:t>[8] scikit-learn developers, “SVC,” scikit-learn 1.9.1 documentation. Available: https://scikit-learn.org/stable/modules/generated/sklearn.svm.SVC.html (accessed 17 October 2026).</w:t>
      </w:r>
    </w:p>
    <w:p>
      <w:pPr>
        <w:pStyle w:val="PaperReference"/>
        <w:keepNext w:val="0"/>
        <w:keepLines/>
      </w:pPr>
      <w:r>
        <w:t>[9] C. Cortes and V. Vapnik, “Support-vector networks,” Machine Learning, vol. 20, no. 3, pp. 273–297, 1995. DOI: 10.1007/BF00994018.</w:t>
      </w:r>
    </w:p>
    <w:p>
      <w:pPr>
        <w:pStyle w:val="PaperReference"/>
        <w:keepNext w:val="0"/>
        <w:keepLines/>
      </w:pPr>
      <w:r>
        <w:t>[10] J. Barnes et al., “Head size, age and gender adjustment in MRI studies: a necessary nuisance?,” NeuroImage, vol. 53, no. 4, pp. 1244–1255, 2010. DOI: 10.1016/j.neuroimage.2010.06.025.</w:t>
      </w:r>
    </w:p>
    <w:p>
      <w:pPr>
        <w:pStyle w:val="PaperReference"/>
        <w:keepNext w:val="0"/>
        <w:keepLines/>
      </w:pPr>
      <w:r>
        <w:t>[11] O. Voevodskaya et al., “The effects of intracranial volume adjustment approaches on multiple regional MRI volumes in healthy aging and Alzheimer’s disease,” Frontiers in Aging Neuroscience, vol. 6, article 264, 2014. DOI: 10.3389/fnagi.2014.00264.</w:t>
      </w:r>
    </w:p>
    <w:p>
      <w:pPr>
        <w:pStyle w:val="PaperReference"/>
        <w:keepNext w:val="0"/>
        <w:keepLines/>
      </w:pPr>
      <w:r>
        <w:t>[12] G. S. Collins et al., “TRIPOD+AI statement: updated guidance for reporting clinical prediction models that use regression or machine learning methods,” BMJ, vol. 385, e078378, 2024. DOI: 10.1136/bmj-2023-078378.</w:t>
      </w:r>
    </w:p>
    <w:p w14:paraId="524130C9" w14:textId="77777777" w:rsidR="001A23C7" w:rsidRDefault="001A23C7" w:rsidP="004D256E">
      <w:pPr>
        <w:pStyle w:val="Heading1"/>
        <w:pageBreakBefore/>
      </w:pPr>
      <w:bookmarkStart w:id="27" w:name="report_toc_027"/>
      <w:r>
        <w:rPr/>
        <w:t>Appendix A Representative commands and settings</w:t>
      </w:r>
      <w:bookmarkEnd w:id="27"/>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bookmarkStart w:id="28" w:name="report_toc_028"/>
      <w:r>
        <w:rPr>
          <w:b/>
        </w:rPr>
        <w:t>A.1 Tissue segmentation and grey matter masking</w:t>
      </w:r>
      <w:bookmarkEnd w:id="28"/>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bookmarkStart w:id="29" w:name="report_toc_029"/>
      <w:r>
        <w:rPr>
          <w:b/>
        </w:rPr>
        <w:t>A.2 Template registration and AAL label resampling</w:t>
      </w:r>
      <w:bookmarkEnd w:id="29"/>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bookmarkStart w:id="30" w:name="report_toc_030"/>
      <w:r>
        <w:rPr>
          <w:b/>
        </w:rPr>
        <w:t>A.3 Measuring grey matter volume in one ROI</w:t>
      </w:r>
      <w:bookmarkEnd w:id="30"/>
    </w:p>
    <w:p w14:paraId="0B60E357" w14:textId="77777777" w:rsidR="00613FE1" w:rsidRPr="00B50A31" w:rsidRDefault="00613FE1" w:rsidP="00B50A31">
      <w:pPr>
        <w:keepNext/>
      </w:pPr>
      <w:r>
        <w:t>This example isolates native AAL label 1. In the batch workflow, the unchanged CreateSeedMask helper creates the masks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t>Thresholding retains label 1 and -bin produces its binary ROI. The -k option restricts binary GM counting to that ROI. The -V output gives voxel count then mm³, measuring regional GM rather than the complete anatomical ROI. This case gives 6523.223317 mm³, as in Table 2.</w:t>
      </w:r>
    </w:p>
    <w:p w14:paraId="1046CE3C" w14:textId="77777777" w:rsidR="001A23C7" w:rsidRDefault="001A23C7" w:rsidP="004D256E">
      <w:pPr>
        <w:pStyle w:val="Heading2"/>
      </w:pPr>
      <w:bookmarkStart w:id="31" w:name="report_toc_031"/>
      <w:r>
        <w:rPr>
          <w:b/>
        </w:rPr>
        <w:t>A.4 Reproducing the SVM validation settings</w:t>
      </w:r>
      <w:bookmarkEnd w:id="31"/>
    </w:p>
    <w:p w14:paraId="0762887A" w14:textId="77777777" w:rsidR="00613FE1" w:rsidRPr="00B50A31" w:rsidRDefault="00613FE1" w:rsidP="00B50A31">
      <w:pPr/>
      <w:r>
        <w:t>These settings use the loaded 90-feature matrices X_train and X_test and labels y_train, aligned by subject ID. IDs are excluded as features. The notebook and project01_svm.py contain the loading and verification steps.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t>Each CV fold fits its own scaler/SVM, excluding validation values from fitting. The final pipeline uses all 40 training subjects. Predictions are saved before test-label comparison. The implementation and recorded original run are retained at https://github.com/Babe153/Project01_5622.</w:t>
      </w:r>
    </w:p>
    <w:p>
      <w:pPr>
        <w:pStyle w:val="Heading2"/>
      </w:pPr>
      <w:bookmarkStart w:id="32" w:name="report_toc_032"/>
      <w:r>
        <w:t>A.5 Processing verification records</w:t>
      </w:r>
      <w:bookmarkEnd w:id="32"/>
    </w:p>
    <w:p>
      <w:pPr/>
      <w:r>
        <w:t>Checks cover all 50 subjects and labels 1–90. Sampled FAST/registration review covers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pPr>
        <w:pStyle w:val="Heading2"/>
      </w:pPr>
      <w:bookmarkStart w:id="33" w:name="report_toc_033"/>
      <w:r>
        <w:t>A.6 Reproducing the training supplement</w:t>
      </w:r>
      <w:bookmarkEnd w:id="33"/>
    </w:p>
    <w:p>
      <w:pPr>
        <w:keepNext/>
      </w:pPr>
      <w:r>
        <w:t>From the repository root, run this utility with numpy, matplotlib and nibabel. Training-only outputs accompany Figure 8.</w:t>
      </w:r>
    </w:p>
    <w:p>
      <w:pPr>
        <w:pStyle w:val="PaperCode"/>
      </w:pPr>
      <w:r>
        <w:t>python report_evidence/figure_code/analyse_training_volumes.py</w:t>
      </w:r>
    </w:p>
    <w:p w14:paraId="703F9335" w14:textId="77777777" w:rsidR="001A23C7" w:rsidRDefault="001A23C7" w:rsidP="004D256E">
      <w:pPr>
        <w:pStyle w:val="Heading1"/>
        <w:pageBreakBefore/>
      </w:pPr>
      <w:bookmarkStart w:id="34" w:name="report_toc_034"/>
      <w:r>
        <w:rPr/>
        <w:t>Appendix B Enlarged views of existing processing results</w:t>
      </w:r>
      <w:bookmarkEnd w:id="34"/>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bookmarkStart w:id="35" w:name="report_toc_035"/>
      <w:r>
        <w:rPr>
          <w:b/>
        </w:rPr>
        <w:t>B.1 Registration and the retained BET limitation</w:t>
      </w:r>
      <w:bookmarkEnd w:id="35"/>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Normal"/>
    <w:next w:val="Normal"/>
    <w:uiPriority w:val="39"/>
    <w:unhideWhenUsed/>
    <w:qFormat/>
    <w:rsid w:val="008D1DD1"/>
    <w:pPr>
      <w:keepNext/>
      <w:pageBreakBefore/>
      <w:spacing w:before="0" w:after="280" w:line="259" w:lineRule="auto"/>
      <w:ind w:firstLine="0"/>
      <w:outlineLvl w:val="9"/>
    </w:pPr>
    <w:rPr>
      <w:rFonts w:ascii="Times New Roman" w:hAnsi="Times New Roman" w:eastAsia="Times New Roman" w:cs="Times New Roman"/>
      <w:b/>
      <w:color w:val="000000"/>
      <w:kern w:val="0"/>
      <w:sz w:val="28"/>
      <w:szCs w:val="32"/>
      <w:lang w:eastAsia="en-US"/>
      <w14:ligatures w14:val="none"/>
    </w:rPr>
  </w:style>
  <w:style w:type="paragraph" w:styleId="TOC1">
    <w:name w:val="toc 1"/>
    <w:basedOn w:val="Normal"/>
    <w:next w:val="Normal"/>
    <w:autoRedefine/>
    <w:uiPriority w:val="39"/>
    <w:unhideWhenUsed/>
    <w:rsid w:val="008D1DD1"/>
    <w:pPr>
      <w:keepNext w:val="0"/>
      <w:keepLines/>
      <w:tabs>
        <w:tab w:pos="9360" w:val="right" w:leader="dot"/>
      </w:tabs>
      <w:spacing w:after="40" w:before="100" w:line="252" w:lineRule="auto"/>
      <w:ind w:firstLine="0" w:left="0" w:right="0"/>
      <w:jc w:val="left"/>
    </w:pPr>
    <w:rPr>
      <w:rFonts w:ascii="Times New Roman" w:hAnsi="Times New Roman" w:eastAsia="Times New Roman" w:cs="Times New Roman"/>
      <w:b/>
      <w:bCs/>
      <w:noProof/>
      <w:color w:val="000000"/>
      <w:sz w:val="23"/>
    </w:rPr>
  </w:style>
  <w:style w:type="paragraph" w:styleId="TOC2">
    <w:name w:val="toc 2"/>
    <w:basedOn w:val="Normal"/>
    <w:next w:val="Normal"/>
    <w:autoRedefine/>
    <w:uiPriority w:val="39"/>
    <w:unhideWhenUsed/>
    <w:rsid w:val="008D1DD1"/>
    <w:pPr>
      <w:keepNext w:val="0"/>
      <w:keepLines/>
      <w:tabs>
        <w:tab w:pos="9360" w:val="right" w:leader="dot"/>
      </w:tabs>
      <w:spacing w:after="40" w:before="0" w:line="252" w:lineRule="auto"/>
      <w:ind w:left="320" w:firstLine="0" w:right="0"/>
      <w:jc w:val="left"/>
    </w:pPr>
    <w:rPr>
      <w:rFonts w:ascii="Times New Roman" w:hAnsi="Times New Roman" w:eastAsia="Times New Roman" w:cs="Times New Roman"/>
      <w:b w:val="0"/>
      <w:color w:val="000000"/>
      <w:sz w:val="22"/>
    </w:r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 w:type="paragraph" w:customStyle="1" w:styleId="PaperFrontSubtitle">
    <w:name w:val="Paper Front Subtitle"/>
    <w:basedOn w:val="Normal"/>
    <w:rPr>
      <w:rFonts w:ascii="Times New Roman" w:hAnsi="Times New Roman"/>
      <w:color w:val="000000"/>
    </w:rPr>
  </w:style>
  <w:style w:type="paragraph" w:customStyle="1" w:styleId="PaperFrontAbstractHeading">
    <w:name w:val="Paper Front Abstract Heading"/>
    <w:basedOn w:val="Normal"/>
    <w:rPr>
      <w:rFonts w:ascii="Times New Roman" w:hAnsi="Times New Roman"/>
      <w:color w:val="000000"/>
    </w:rPr>
  </w:style>
  <w:style w:type="paragraph" w:customStyle="1" w:styleId="PaperFrontKeywords">
    <w:name w:val="Paper Front Keywords"/>
    <w:basedOn w:val="Normal"/>
    <w:rPr>
      <w:rFonts w:ascii="Times New Roman" w:hAnsi="Times New Roman"/>
      <w:color w:val="000000"/>
    </w:rPr>
  </w:style>
  <w:style w:type="paragraph" w:customStyle="1" w:styleId="PaperFrontAvailability">
    <w:name w:val="Paper Front Availability"/>
    <w:basedOn w:val="Normal"/>
    <w:rPr>
      <w:rFonts w:ascii="Times New Roman" w:hAnsi="Times New Roman"/>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hyperlink" Target="https://github.com/Babe153/Project01_56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AD Patients and Normal Controls from Brain Images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