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Classifying AD Patients and Normal Controls</w:t>
        <w:br/>
        <w:t>from Brain Images</w:t>
      </w:r>
    </w:p>
    <w:p>
      <w:pPr>
        <w:pStyle w:val="PaperAuthor"/>
        <w:keepNext/>
      </w:pPr>
      <w:r>
        <w:t>Xinsheng Liu (550314295) and Yue Xia (550500315)</w:t>
      </w:r>
    </w:p>
    <w:p>
      <w:pPr>
        <w:pStyle w:val="PaperCourse"/>
        <w:keepNext/>
      </w:pPr>
      <w:r>
        <w:t>ELEC5622 · Project 1</w:t>
      </w:r>
    </w:p>
    <w:p>
      <w:pPr>
        <w:pStyle w:val="PaperAbstract"/>
      </w:pPr>
      <w:r>
        <w:t>Abstract. 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14:paraId="67405CEF" w14:textId="3DCCE15B" w:rsidR="001A23C7" w:rsidRDefault="001A23C7" w:rsidP="004D256E">
      <w:pPr>
        <w:pStyle w:val="Heading1"/>
      </w:pPr>
      <w:r>
        <w:rPr>
          <w:lang w:val="en-AU"/>
        </w:rPr>
        <w:t>1. Aims and Background</w:t>
      </w:r>
    </w:p>
    <w:p w14:paraId="24BD52A7" w14:textId="541C9301" w:rsidR="001A23C7" w:rsidRDefault="001A23C7" w:rsidP="004D256E">
      <w:pPr>
        <w:pStyle w:val="Heading2"/>
      </w:pPr>
      <w:r>
        <w:rPr/>
        <w:t>1.1 Background and Rationale</w:t>
      </w:r>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r>
        <w:rPr/>
        <w:t>1.2 Project Aims</w:t>
      </w:r>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Pr>
      <w:r>
        <w:rPr>
          <w:lang w:val="en-AU"/>
        </w:rPr>
        <w:t>2. Contributions of Team Members</w:t>
      </w:r>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r>
        <w:rPr>
          <w:lang w:val="en-AU"/>
        </w:rPr>
        <w:t>3. Methodology</w:t>
      </w:r>
    </w:p>
    <w:p w14:paraId="57126839" w14:textId="76AD0D35" w:rsidR="001A23C7" w:rsidRDefault="001A23C7" w:rsidP="004D256E">
      <w:pPr>
        <w:pStyle w:val="Heading2"/>
      </w:pPr>
      <w:r w:rsidRPr="001A23C7">
        <w:rPr/>
        <w:t>3.1 Dataset and Experimental Design</w:t>
      </w:r>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r w:rsidRPr="001A23C7">
        <w:rPr/>
        <w:t>3.2 Overview of the Processing Pipeline</w:t>
      </w:r>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r w:rsidRPr="001A23C7">
        <w:rPr/>
        <w:t>3.3 Brain Extraction</w:t>
      </w:r>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r w:rsidRPr="001A23C7">
        <w:rPr/>
        <w:t>3.4 Tissue Segmentation and Grey Matter Image Generation</w:t>
      </w:r>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r w:rsidRPr="001A23C7">
        <w:rPr/>
        <w:t>3.5 Image Registration and AAL Atlas Transformation</w:t>
      </w:r>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r w:rsidRPr="001A23C7">
        <w:rPr/>
        <w:t>3.6 Regional Grey Matter Volume Extraction</w:t>
      </w:r>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r w:rsidRPr="001A23C7">
        <w:rPr/>
        <w:t xml:space="preserve">3.7 Feature </w:t>
      </w:r>
      <w:r w:rsidR="00B95F58" w:rsidRPr="001A23C7">
        <w:rPr/>
        <w:t>Standardization</w:t>
      </w:r>
      <w:r w:rsidRPr="001A23C7">
        <w:rPr/>
        <w:t xml:space="preserve"> and SVM Classification</w:t>
      </w:r>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r>
        <w:t>3.8 Descriptive Analysis of Training Features</w:t>
      </w:r>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r>
        <w:rPr>
          <w:lang w:val="en-AU"/>
        </w:rPr>
        <w:t>4. Results</w:t>
      </w:r>
    </w:p>
    <w:p w14:paraId="79851616" w14:textId="21A5FFD5" w:rsidR="001A23C7" w:rsidRDefault="001A23C7" w:rsidP="004D256E">
      <w:pPr>
        <w:pStyle w:val="Heading2"/>
      </w:pPr>
      <w:r>
        <w:rPr/>
        <w:t>4.1 Brain Extraction Results</w:t>
      </w:r>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r w:rsidRPr="001A23C7">
        <w:rPr/>
        <w:t>4.2 Tissue Segmentation and Grey Matter Images</w:t>
      </w:r>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r w:rsidRPr="001A23C7">
        <w:rPr/>
        <w:t>4.3 Registration and Atlas Alignment Results</w:t>
      </w:r>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r w:rsidRPr="001A23C7">
        <w:rPr/>
        <w:t>4.4 Regional Grey Matter Volume Features</w:t>
      </w:r>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r w:rsidRPr="001A23C7">
        <w:rPr/>
        <w:t>4.5 Cross-Validation Performance</w:t>
      </w:r>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r w:rsidRPr="001A23C7">
        <w:rPr/>
        <w:t>4.6 Test Set Predictions and Performance</w:t>
      </w:r>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r>
        <w:t>4.7 Training Feature Scale and Image Geometry</w:t>
      </w:r>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r>
        <w:rPr>
          <w:lang w:val="en-AU"/>
        </w:rPr>
        <w:t>5. Discussion and Conclusion</w:t>
      </w:r>
    </w:p>
    <w:p w14:paraId="632B6695" w14:textId="46343A1F" w:rsidR="001A23C7" w:rsidRDefault="001A23C7" w:rsidP="004D256E">
      <w:pPr>
        <w:pStyle w:val="Heading2"/>
      </w:pPr>
      <w:r w:rsidRPr="001A23C7">
        <w:rPr/>
        <w:t>5.1 Interpretation of the Findings</w:t>
      </w:r>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identifies a more specific threat than sample size alone.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r w:rsidRPr="001A23C7">
        <w:rPr/>
        <w:t>5.2 Limitations and Potential Improvements</w:t>
      </w:r>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Together, the checks separate three questions. The independent count comparison verifies that the specified masks produce the exported numbers. Sampled image review evaluates visible anatomical plausibility and retains the Data_44 limitation. Held-out predictions evaluate agreement with labels in this dataset. Success on one question does not settle the others: a correctly classified Data_44 can still have an imperfect mask, and a reproducible volume can still reflect a misplaced boundary. This distinction connects the algorithm papers [5–7] to the actual evidence without treating their published validation as validation of our images.</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r w:rsidRPr="001A23C7">
        <w:rPr/>
        <w:t>5.3 Conclusion</w:t>
      </w:r>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r w:rsidRPr="00AF7846">
        <w:rPr>
          <w:lang w:val="en-AU"/>
        </w:rPr>
        <w:t>References</w:t>
      </w:r>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r>
        <w:rPr/>
        <w:t>Appendix A Representative commands and settings</w:t>
      </w:r>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r>
        <w:rPr>
          <w:b/>
        </w:rPr>
        <w:t>A.1 Tissue segmentation and grey matter masking</w:t>
      </w:r>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r>
        <w:rPr>
          <w:b/>
        </w:rPr>
        <w:t>A.2 Template registration and AAL label resampling</w:t>
      </w:r>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r>
        <w:rPr>
          <w:b/>
        </w:rPr>
        <w:t>A.3 Measuring grey matter volume in one ROI</w:t>
      </w:r>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r>
        <w:rPr>
          <w:b/>
        </w:rPr>
        <w:t>A.4 Reproducing the SVM validation settings</w:t>
      </w:r>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r>
        <w:t>A.5 Processing verification records</w:t>
      </w:r>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r>
        <w:t>A.6 Reproducing the training supplement</w:t>
      </w:r>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r>
        <w:rPr/>
        <w:t>Appendix B Enlarged views of existing processing results</w:t>
      </w:r>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r>
        <w:rPr>
          <w:b/>
        </w:rPr>
        <w:t>B.1 Registration and the retained BET limitation</w:t>
      </w:r>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Heading1"/>
    <w:next w:val="Normal"/>
    <w:uiPriority w:val="39"/>
    <w:unhideWhenUsed/>
    <w:qFormat/>
    <w:rsid w:val="008D1DD1"/>
    <w:pPr>
      <w:spacing w:before="240" w:after="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8D1DD1"/>
    <w:pPr>
      <w:tabs>
        <w:tab w:val="right" w:leader="dot" w:pos="9394"/>
      </w:tabs>
      <w:spacing w:after="100"/>
    </w:pPr>
    <w:rPr>
      <w:b/>
      <w:bCs/>
      <w:noProof/>
    </w:rPr>
  </w:style>
  <w:style w:type="paragraph" w:styleId="TOC2">
    <w:name w:val="toc 2"/>
    <w:basedOn w:val="Normal"/>
    <w:next w:val="Normal"/>
    <w:autoRedefine/>
    <w:uiPriority w:val="39"/>
    <w:unhideWhenUsed/>
    <w:rsid w:val="008D1DD1"/>
    <w:pPr>
      <w:spacing w:after="100"/>
      <w:ind w:left="240"/>
    </w:p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AD Patients and Normal Controls from Brain Images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