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pPr>
      <w:r>
        <w:t>Brain MRI Classification</w:t>
        <w:br/>
        <w:t>Using Regional Grey Matter Volumes</w:t>
      </w:r>
    </w:p>
    <w:p>
      <w:pPr>
        <w:pStyle w:val="PaperAuthor"/>
        <w:keepNext/>
      </w:pPr>
      <w:r>
        <w:t>Xinsheng Liu (550314295) and Yue Xia (550500315)</w:t>
      </w:r>
    </w:p>
    <w:p>
      <w:pPr>
        <w:pStyle w:val="PaperCourse"/>
        <w:keepNext/>
      </w:pPr>
      <w:r>
        <w:t>ELEC5622 · Project 1</w:t>
      </w:r>
    </w:p>
    <w:p>
      <w:pPr>
        <w:pStyle w:val="PaperAbstract"/>
      </w:pPr>
      <w:r>
        <w:t>Abstract. 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A post hoc training-only analysis identified differences in overall GM volume and class-associated image geometry. These observations, the small test set and residual preprocessing limitations restrict disease-specific interpretation and motivate independent validation with acquisition controls.</w:t>
      </w:r>
    </w:p>
    <w:p w14:paraId="67405CEF" w14:textId="3DCCE15B" w:rsidR="001A23C7" w:rsidRDefault="001A23C7" w:rsidP="004D256E">
      <w:pPr>
        <w:pStyle w:val="Heading1"/>
      </w:pPr>
      <w:r>
        <w:rPr>
          <w:lang w:val="en-AU"/>
        </w:rPr>
        <w:t>1. Aims and Background</w:t>
      </w:r>
    </w:p>
    <w:p w14:paraId="24BD52A7" w14:textId="541C9301" w:rsidR="001A23C7" w:rsidRDefault="001A23C7" w:rsidP="004D256E">
      <w:pPr>
        <w:pStyle w:val="Heading2"/>
      </w:pPr>
      <w:r>
        <w:rPr/>
        <w:t>1.1 Background and Rationale</w:t>
      </w:r>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t>A predefined AAL parcellation [3] reduces each three-dimensional scan to 90 regional measurements with consistent anatomical identities. This representation is compact enough to inspect and link to individual brain regions, although pooling within regions can discard local spatial detail. The processing stages determine what the features mean: non-brain removal limits unwanted tissue, segmentation identifies GM, and registration locates the same atlas regions in each subject. Errors at any stage can alter the classifier inputs. A 2024 review documents heterogeneous MRI-based classification tasks and study populations [4], so we assess this specified pipeline on the supplied split without assuming that published performance transfers to this dataset.</w:t>
      </w:r>
    </w:p>
    <w:p w14:paraId="0E18875E" w14:textId="671DDBDA" w:rsidR="001A23C7" w:rsidRDefault="001A23C7" w:rsidP="004D256E">
      <w:pPr>
        <w:pStyle w:val="Heading2"/>
      </w:pPr>
      <w:r>
        <w:rPr/>
        <w:t>1.2 Project Aims</w:t>
      </w:r>
    </w:p>
    <w:p w14:paraId="7655E355" w14:textId="6A2B3EFB" w:rsidR="000C4437" w:rsidRPr="000C4437" w:rsidRDefault="006061F5" w:rsidP="00B50A31">
      <w:pPr/>
      <w:r>
        <w:t>We aim to classify AD and NC subjects from T1-weighted MRI using 90 regional GM volumes and an SVM. Preprocessing constructs comparable anatomical measurements; training-only standardization and validation then assess their predictive use before testing ten held-out subjects. Lab 1 contributes the spatial operations and physical-volume interpretation. Lab 2 contributes supervised fitting, prediction and evaluation. Combining them makes the links between an image-processing choice, a numerical feature and a classification result explicit.</w:t>
      </w:r>
    </w:p>
    <w:p w14:paraId="5E0DEB8D" w14:textId="73B44DAE" w:rsidR="001A23C7" w:rsidRDefault="001A23C7" w:rsidP="004D256E">
      <w:pPr>
        <w:pStyle w:val="Heading1"/>
      </w:pPr>
      <w:r>
        <w:rPr>
          <w:lang w:val="en-AU"/>
        </w:rPr>
        <w:t>2. Contributions of Team Members</w:t>
      </w:r>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r>
        <w:rPr>
          <w:lang w:val="en-AU"/>
        </w:rPr>
        <w:t>3. Methodology</w:t>
      </w:r>
    </w:p>
    <w:p w14:paraId="57126839" w14:textId="76AD0D35" w:rsidR="001A23C7" w:rsidRDefault="001A23C7" w:rsidP="004D256E">
      <w:pPr>
        <w:pStyle w:val="Heading2"/>
      </w:pPr>
      <w:r w:rsidRPr="001A23C7">
        <w:rPr/>
        <w:t>3.1 Dataset and Experimental Design</w:t>
      </w:r>
    </w:p>
    <w:p w14:paraId="365872DC" w14:textId="77777777" w:rsidR="00E27AF5" w:rsidRDefault="00E27AF5" w:rsidP="00B50A31">
      <w:pPr/>
      <w:r>
        <w:t>We use the 50 T1-weighted MRI scans and AD/NC labels supplied by the instructor. The fixed training set, Data_00–Data_39, contains 21 NC and 19 AD subjects; the test set, Data_40–Data_49, contains 4 NC and 6 AD subjects. Each scan yields 90 GM volume features. Five-fold stratified cross-validation uses only the 40 training subjects, followed by final fitting on those subjects. The 10 test subjects are predicted with the fitted pipeline; their labels are used only for final evaluation, not fitting or parameter selection. The label table contains no demographic covariates, and we did not estimate intracranial volume for covariate adjustment.</w:t>
      </w:r>
    </w:p>
    <w:p>
      <w:pPr/>
      <w:r>
        <w:t>The recorded preprocessing environment is an Ubuntu Linux VM with FSL 6.0.7.1 and NiftyReg 1.5.58. The MNI152 T1 brain template and AAL atlas are the supplied Packages files. Local classification uses Python 3.12, NumPy 2.5.3, pandas 3.0.6 and scikit-learn 1.9.1; the latter library versions are saved in the training record. The feature tables, BET settings and verification records accompany the implementation in the repository.</w:t>
      </w:r>
    </w:p>
    <w:p w14:paraId="7835310A" w14:textId="16B4EF99" w:rsidR="001A23C7" w:rsidRPr="001A23C7" w:rsidRDefault="001A23C7" w:rsidP="004D256E">
      <w:pPr>
        <w:pStyle w:val="Heading2"/>
      </w:pPr>
      <w:r w:rsidRPr="001A23C7">
        <w:rPr/>
        <w:t>3.2 Overview of the Processing Pipeline</w:t>
      </w:r>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r w:rsidRPr="001A23C7">
        <w:rPr/>
        <w:t>3.3 Brain Extraction</w:t>
      </w:r>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pPr/>
      <w:r>
        <w:t>BET settings were selected by inspecting sampled sagittal, coronal and axial boundaries for brain coverage and non-brain remnants. For Data_00, the adopted centre and threshold reduce the neck and facial remnants visible with the default settings while retaining the main brain outline in the inspected slices. Disease labels and classification scores were not the selection criteria. The parameter table records adopted settings rather than a global optimum; the retained Data_44 limitation is discussed in Section 5.2.</w:t>
      </w:r>
    </w:p>
    <w:p w14:paraId="4A6CB463" w14:textId="5A4B3903" w:rsidR="001A23C7" w:rsidRDefault="001A23C7" w:rsidP="004D256E">
      <w:pPr>
        <w:pStyle w:val="Heading2"/>
      </w:pPr>
      <w:r w:rsidRPr="001A23C7">
        <w:rPr/>
        <w:t>3.4 Tissue Segmentation and Grey Matter Image Generation</w:t>
      </w:r>
    </w:p>
    <w:p w14:paraId="2FE32A97" w14:textId="77777777" w:rsidR="00ED3AC0" w:rsidRPr="00ED3AC0" w:rsidRDefault="00ED3AC0" w:rsidP="00ED3AC0">
      <w:pPr/>
      <w:r>
        <w:t>After brain extraction, FSL FAST segments the T1 images into grey matter, white matter and cerebrospinal fluid. Its hidden Markov random field represents dependence between neighbouring tissue labels, while expectation-maximization estimates the model from observed intensities [6]. Spatial context therefore contributes beyond an intensity histogram alone, but it does not supply manual anatomical truth. We use the instructor’s three-class settings and export binary tissue masks. Multiplying the brain image by the GM mask produces a GM intensity image for inspection. Regional volume uses the binary GM mask, not the sum of MRI intensities or tissue probabilities. This hard assignment discards partial tissue membership at boundaries. Appendix A.1 gives the commands; Figure B2 shows the GM intensity image.</w:t>
      </w:r>
    </w:p>
    <w:p w14:paraId="4751063E" w14:textId="31B961A1" w:rsidR="001A23C7" w:rsidRDefault="001A23C7" w:rsidP="004D256E">
      <w:pPr>
        <w:pStyle w:val="Heading2"/>
      </w:pPr>
      <w:r w:rsidRPr="001A23C7">
        <w:rPr/>
        <w:t>3.5 Image Registration and AAL Atlas Transformation</w:t>
      </w:r>
    </w:p>
    <w:p w14:paraId="0155CA1A" w14:textId="688B3FA1" w:rsidR="00ED3AC0" w:rsidRPr="00ED3AC0" w:rsidRDefault="00ED3AC0" w:rsidP="00ED3AC0">
      <w:pPr/>
      <w:r>
        <w:t>We register the supplied MNI brain template to each native brain with NiftyReg [7]: affine alignment handles global position, orientation and scale, followed by nonlinear refinement for local shape differences. The subject is the reference and the original template is the floating image in both stages (Appendix A.2). Applying the resulting transformation to AAL [3] with nearest-neighbour interpolation retains integer region identities. The GM mask stays on the native grid, where physical volume is counted without Jacobian modulation of a normalized GM image. This is regional native-volume analysis rather than voxel-based morphometry. Integer labels do not establish anatomical correspondence; alignment needs separate inspection.</w:t>
      </w:r>
    </w:p>
    <w:p w14:paraId="0A694EEB" w14:textId="74FBF793" w:rsidR="001A23C7" w:rsidRDefault="001A23C7" w:rsidP="004D256E">
      <w:pPr>
        <w:pStyle w:val="Heading2"/>
        <w:pageBreakBefore/>
      </w:pPr>
      <w:r w:rsidRPr="001A23C7">
        <w:rPr/>
        <w:t>3.6 Regional Grey Matter Volume Extraction</w:t>
      </w:r>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r w:rsidRPr="001A23C7">
        <w:rPr/>
        <w:t xml:space="preserve">3.7 Feature </w:t>
      </w:r>
      <w:r w:rsidR="00B95F58" w:rsidRPr="001A23C7">
        <w:rPr/>
        <w:t>Standardization</w:t>
      </w:r>
      <w:r w:rsidRPr="001A23C7">
        <w:rPr/>
        <w:t xml:space="preserve"> and SVM Classification</w:t>
      </w:r>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t>For standardized vectors z and z′, the RBF kernel is K(z,z′) = exp(−γ‖z−z′‖²). Thus, feature scale affects the distances used for similarity. C = 1 fixes the penalty on margin violations relative to regularization; larger C penalizes violations more strongly. Gamma controls the reach of similarity. The implementation sets gamma="scale" to 1/(p × Var(Z)), where p = 90 and Z is the matrix supplied to SVC after scaling [8]. These fixed baseline settings were not selected on the test set. Scaling does not remove feature correlations, anatomical errors or subject-level head-size differences.</w:t>
      </w:r>
    </w:p>
    <w:p>
      <w:pPr/>
      <w:r>
        <w:t>The SVM separates classes with a large margin in the kernel-defined space. Its soft margin permits violations while penalizing them; training examples with non-zero coefficients are the support vectors that determine the decision function [9]. Cortes and Vapnik [9] provide this foundational learning formulation, whereas the software documentation [8] specifies parameter behaviour. The RBF model is a nonlinear baseline; we did not establish superiority over other classifiers.</w:t>
      </w:r>
    </w:p>
    <w:p w14:paraId="3758C6C0" w14:textId="77777777" w:rsidR="00ED3AC0" w:rsidRPr="00ED3AC0" w:rsidRDefault="00ED3AC0" w:rsidP="00ED3AC0">
      <w:pPr/>
      <w:r>
        <w:t>We use StratifiedKFold(n_splits=5, shuffle=True, random_state=73) on the 40 training subjects, with similar AD/NC proportions in each fold. Each round fits the complete scaler/SVM pipeline on four folds and validates on the fifth, so every subject is held out once. The scaler learns only from that round’s training portion, avoiding leakage from validation values. SVM settings remain fixed; no hyperparameter search is performed.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pPr>
        <w:pStyle w:val="Heading2"/>
      </w:pPr>
      <w:r>
        <w:t>3.8 Descriptive Analysis of Training Features</w:t>
      </w:r>
    </w:p>
    <w:p>
      <w:pPr>
        <w:keepNext/>
        <w:keepLines/>
      </w:pPr>
      <w:r>
        <w:t xml:space="preserve">After the original predictions, a training-only descriptive supplement examines overall GM scale and regional composition in Data_00–39. For each subject, S sums the 90 volumes and </w:t>
      </w:r>
      <w:r>
        <w:rPr>
          <w:i/>
        </w:rPr>
        <w:t>q</w:t>
      </w:r>
      <w:r>
        <w:rPr>
          <w:i/>
          <w:vertAlign w:val="subscript"/>
        </w:rPr>
        <w:t>r</w:t>
      </w:r>
      <w:r>
        <w:t xml:space="preserve"> = </w:t>
      </w:r>
      <w:r>
        <w:rPr>
          <w:i/>
        </w:rPr>
        <w:t>V</w:t>
      </w:r>
      <w:r>
        <w:rPr>
          <w:i/>
          <w:vertAlign w:val="subscript"/>
        </w:rPr>
        <w:t>r</w:t>
      </w:r>
      <w:r>
        <w:t>/S. These fractions are not ICV correction. We report sample mean ± SD for S and complete binary GM volume. For all 90 labels, Cohen’s d = (</w:t>
      </w:r>
      <w:r>
        <w:rPr>
          <w:i w:val="0"/>
        </w:rPr>
        <w:t>mean</w:t>
      </w:r>
      <w:r>
        <w:rPr>
          <w:i w:val="0"/>
          <w:vertAlign w:val="subscript"/>
        </w:rPr>
        <w:t>AD</w:t>
      </w:r>
      <w:r>
        <w:t xml:space="preserve"> − </w:t>
      </w:r>
      <w:r>
        <w:rPr>
          <w:i w:val="0"/>
        </w:rPr>
        <w:t>mean</w:t>
      </w:r>
      <w:r>
        <w:rPr>
          <w:i w:val="0"/>
          <w:vertAlign w:val="subscript"/>
        </w:rPr>
        <w:t>NC</w:t>
      </w:r>
      <w:r>
        <w:t>)/</w:t>
      </w:r>
      <w:r>
        <w:rPr>
          <w:i/>
        </w:rPr>
        <w:t>s</w:t>
      </w:r>
      <w:r>
        <w:rPr>
          <w:i/>
          <w:vertAlign w:val="subscript"/>
        </w:rPr>
        <w:t>p</w:t>
      </w:r>
      <w:r>
        <w:t xml:space="preserve">, with </w:t>
      </w:r>
      <w:r>
        <w:rPr>
          <w:i/>
        </w:rPr>
        <w:t>s</w:t>
      </w:r>
      <w:r>
        <w:rPr>
          <w:i/>
          <w:vertAlign w:val="subscript"/>
        </w:rPr>
        <w:t>p</w:t>
      </w:r>
      <w:r>
        <w:t>² = (18</w:t>
      </w:r>
      <w:r>
        <w:rPr>
          <w:i/>
        </w:rPr>
        <w:t>s</w:t>
      </w:r>
      <w:r>
        <w:rPr>
          <w:i/>
          <w:vertAlign w:val="subscript"/>
        </w:rPr>
        <w:t>AD</w:t>
      </w:r>
      <w:r>
        <w:t>² + 20</w:t>
      </w:r>
      <w:r>
        <w:rPr>
          <w:i/>
        </w:rPr>
        <w:t>s</w:t>
      </w:r>
      <w:r>
        <w:rPr>
          <w:i/>
          <w:vertAlign w:val="subscript"/>
        </w:rPr>
        <w:t>NC</w:t>
      </w:r>
      <w:r>
        <w:t>²)/38. No ROIs are selected or significance tests performed.</w:t>
      </w:r>
    </w:p>
    <w:p>
      <w:pPr>
        <w:keepLines/>
      </w:pPr>
      <w:r>
        <w:t>Native-mask headers are audited for dimensions and spacing by training class. No test features are read or classifiers refitted. Effects describe measurements, not SVM importance. The adjustment experiments in [11] motivate examining representation, although our denominator differs. TRIPOD+AI [12] informs transparent separation of development, evaluation and later exploratory analysis, without certifying clinical validity.</w:t>
      </w:r>
    </w:p>
    <w:p w14:paraId="3810D9EC" w14:textId="77777777" w:rsidR="001A23C7" w:rsidRPr="001A23C7" w:rsidRDefault="001A23C7" w:rsidP="004D256E">
      <w:pPr>
        <w:pStyle w:val="Heading1"/>
      </w:pPr>
      <w:r>
        <w:rPr>
          <w:lang w:val="en-AU"/>
        </w:rPr>
        <w:t>4. Results</w:t>
      </w:r>
    </w:p>
    <w:p w14:paraId="79851616" w14:textId="21A5FFD5" w:rsidR="001A23C7" w:rsidRDefault="001A23C7" w:rsidP="004D256E">
      <w:pPr>
        <w:pStyle w:val="Heading2"/>
      </w:pPr>
      <w:r>
        <w:rPr/>
        <w:t>4.1 Brain Extraction Results</w:t>
      </w:r>
    </w:p>
    <w:p w14:paraId="0F635FE2" w14:textId="77777777" w:rsidR="00ED3AC0" w:rsidRDefault="00ED3AC0" w:rsidP="00ED3AC0">
      <w:pPr>
        <w:keepLines/>
      </w:pPr>
      <w:r w:rsidRPr="00ED3AC0">
        <w:rPr/>
        <w:t xml:space="preserve">Figure 3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r w:rsidRPr="001A23C7">
        <w:rPr/>
        <w:t>4.2 Tissue Segmentation and Grey Matter Images</w:t>
      </w:r>
    </w:p>
    <w:p w14:paraId="518AEAD2" w14:textId="1AD5FC35" w:rsidR="00B50A31" w:rsidRPr="00D57162" w:rsidRDefault="00D57162" w:rsidP="00B50A31">
      <w:pPr>
        <w:keepLines/>
      </w:pPr>
      <w:r w:rsidRPr="00D57162">
        <w:rPr/>
        <w:t>Figure 4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r w:rsidRPr="001A23C7">
        <w:rPr/>
        <w:t>4.3 Registration and Atlas Alignment Results</w:t>
      </w:r>
    </w:p>
    <w:p w14:paraId="3B2810C5" w14:textId="5DF51B2F" w:rsidR="00B50A31" w:rsidRPr="00435E4E" w:rsidRDefault="00D57162" w:rsidP="00B50A31">
      <w:pPr/>
      <w:r w:rsidRPr="00435E4E">
        <w:rPr/>
        <w:t xml:space="preserve">Figure 5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r w:rsidRPr="001A23C7">
        <w:rPr/>
        <w:t>4.4 Regional Grey Matter Volume Features</w:t>
      </w:r>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pPr>
        <w:keepLines/>
      </w:pPr>
      <w:r>
        <w:t>All 4500 exported volumes were checked independently by counting non-zero GM voxels within each ROI and multiplying by voxel volume. The stored checks agree with the FSL measurements; the maximum absolute difference is approximately 0.000906 mm³, consistent with numerical precision differences. No ROI among labels 1–90 has a zero volume. File and geometry checks cover all 50 subjects. Manual review examined sampled BET views for all subjects, while sampled FAST/registration review covered 10 subjects. These checks support numerical consistency and identify visible limitations; they do not establish anatomical accuracy throughout every scan. Appendix A.5 identifies the verification records and sampled subjects.</w:t>
      </w:r>
    </w:p>
    <w:p w14:paraId="0BA0FC19" w14:textId="540F38EC" w:rsidR="001A23C7" w:rsidRDefault="001A23C7" w:rsidP="004D256E">
      <w:pPr>
        <w:pStyle w:val="Heading2"/>
      </w:pPr>
      <w:r w:rsidRPr="001A23C7">
        <w:rPr/>
        <w:t>4.5 Cross-Validation Performance</w:t>
      </w:r>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r w:rsidRPr="001A23C7">
        <w:rPr/>
        <w:t>4.6 Test Set Predictions and Performance</w:t>
      </w:r>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pPr>
        <w:pStyle w:val="Heading2"/>
      </w:pPr>
      <w:r>
        <w:t>4.7 Training Feature Scale and Image Geometry</w:t>
      </w:r>
    </w:p>
    <w:p>
      <w:pPr/>
      <w:r>
        <w:t>Table 4 summarizes the training volumes. The mean AAL 1–90 sum is 20.9% lower in AD than NC, with overlapping individual ranges (Figure 8a). Absolute-volume d is negative for 79/90 ROIs. After expressing volumes as fractions of their subject’s AAL sum, 48/90 effects are negative and 31 change sign. Median |d| changes from 1.22 to 0.66 (Figure 8b). These are descriptive contrasts, not 90 independent findings of disease effects.</w:t>
      </w:r>
    </w:p>
    <w:p>
      <w:pPr>
        <w:pStyle w:val="PaperCaption"/>
        <w:keepNext/>
      </w:pPr>
      <w:r>
        <w:t>Table 4. Training GM volumes in cm³ (sample mean ± SD; 1 cm³ = 1000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600"/>
        <w:gridCol w:w="2880"/>
        <w:gridCol w:w="2880"/>
      </w:tblGrid>
      <w:tr w:rsidR="00435E4E" w14:paraId="20A81F8D" w14:textId="77777777" w:rsidTr="00435E4E">
        <w:trPr>
          <w:cantSplit/>
          <w:tblHeader/>
        </w:trPr>
        <w:tc>
          <w:tcPr>
            <w:tcW w:w="3600"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keepLines/>
              <w:spacing w:after="0" w:line="240" w:lineRule="auto"/>
              <w:ind w:firstLine="0"/>
              <w:jc w:val="left"/>
            </w:pPr>
            <w:r>
              <w:rPr>
                <w:rFonts w:ascii="Times New Roman" w:hAnsi="Times New Roman"/>
                <w:b/>
                <w:sz w:val="22"/>
              </w:rPr>
              <w:t>Measure</w:t>
            </w:r>
          </w:p>
        </w:tc>
        <w:tc>
          <w:tcPr>
            <w:tcW w:w="2880"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keepLines/>
              <w:spacing w:after="0" w:line="240" w:lineRule="auto"/>
              <w:ind w:firstLine="0"/>
              <w:jc w:val="center"/>
            </w:pPr>
            <w:r>
              <w:rPr>
                <w:rFonts w:ascii="Times New Roman" w:hAnsi="Times New Roman"/>
                <w:b/>
                <w:sz w:val="22"/>
              </w:rPr>
              <w:t>NC (n = 21)</w:t>
            </w:r>
          </w:p>
        </w:tc>
        <w:tc>
          <w:tcPr>
            <w:tcW w:w="2880"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keepLines/>
              <w:spacing w:after="0" w:line="240" w:lineRule="auto"/>
              <w:ind w:firstLine="0"/>
              <w:jc w:val="center"/>
            </w:pPr>
            <w:r>
              <w:rPr>
                <w:rFonts w:ascii="Times New Roman" w:hAnsi="Times New Roman"/>
                <w:b/>
                <w:sz w:val="22"/>
              </w:rPr>
              <w:t>AD (n = 19)</w:t>
            </w:r>
          </w:p>
        </w:tc>
      </w:tr>
      <w:tr w:rsidR="00435E4E" w14:paraId="1246B7B9" w14:textId="77777777" w:rsidTr="00435E4E">
        <w:trPr>
          <w:cantSplit/>
        </w:trPr>
        <w:tc>
          <w:tcPr>
            <w:tcW w:w="3600" w:type="dxa"/>
            <w:vAlign w:val="center"/>
            <w:tcBorders>
              <w:top w:val="single" w:sz="4" w:color="000000" w:space="0"/>
              <w:left w:val="nil"/>
              <w:bottom w:val="nil"/>
              <w:right w:val="nil"/>
            </w:tcBorders>
          </w:tcPr>
          <w:p w14:paraId="6CCF36DE" w14:textId="62D185D8" w:rsidR="00435E4E" w:rsidRPr="00435E4E" w:rsidRDefault="00435E4E" w:rsidP="009C667D">
            <w:pPr>
              <w:keepNext/>
              <w:keepLines/>
              <w:spacing w:after="0" w:line="240" w:lineRule="auto"/>
              <w:ind w:firstLine="0"/>
              <w:jc w:val="left"/>
            </w:pPr>
            <w:r>
              <w:rPr>
                <w:rFonts w:ascii="Times New Roman" w:hAnsi="Times New Roman"/>
                <w:b w:val="0"/>
                <w:sz w:val="22"/>
              </w:rPr>
              <w:t>Complete binary GM mask</w:t>
            </w:r>
          </w:p>
        </w:tc>
        <w:tc>
          <w:tcPr>
            <w:tcW w:w="2880" w:type="dxa"/>
            <w:vAlign w:val="center"/>
            <w:tcBorders>
              <w:top w:val="single" w:sz="4" w:color="000000" w:space="0"/>
              <w:left w:val="nil"/>
              <w:bottom w:val="nil"/>
              <w:right w:val="nil"/>
            </w:tcBorders>
          </w:tcPr>
          <w:p w14:paraId="6478C9E6" w14:textId="783ECC68" w:rsidR="00435E4E" w:rsidRPr="00435E4E" w:rsidRDefault="00435E4E" w:rsidP="009C667D">
            <w:pPr>
              <w:keepNext/>
              <w:keepLines/>
              <w:spacing w:after="0" w:line="240" w:lineRule="auto"/>
              <w:ind w:firstLine="0"/>
              <w:jc w:val="center"/>
            </w:pPr>
            <w:r>
              <w:rPr>
                <w:rFonts w:ascii="Times New Roman" w:hAnsi="Times New Roman"/>
                <w:b w:val="0"/>
                <w:sz w:val="22"/>
              </w:rPr>
              <w:t>604.8 ± 58.2</w:t>
            </w:r>
          </w:p>
        </w:tc>
        <w:tc>
          <w:tcPr>
            <w:tcW w:w="2880" w:type="dxa"/>
            <w:vAlign w:val="center"/>
            <w:tcBorders>
              <w:top w:val="single" w:sz="4" w:color="000000" w:space="0"/>
              <w:left w:val="nil"/>
              <w:bottom w:val="nil"/>
              <w:right w:val="nil"/>
            </w:tcBorders>
          </w:tcPr>
          <w:p w14:paraId="08E66216" w14:textId="049675A9" w:rsidR="00435E4E" w:rsidRPr="00435E4E" w:rsidRDefault="00435E4E" w:rsidP="009C667D">
            <w:pPr>
              <w:keepNext/>
              <w:keepLines/>
              <w:spacing w:after="0" w:line="240" w:lineRule="auto"/>
              <w:ind w:firstLine="0"/>
              <w:jc w:val="center"/>
            </w:pPr>
            <w:r>
              <w:rPr>
                <w:rFonts w:ascii="Times New Roman" w:hAnsi="Times New Roman"/>
                <w:b w:val="0"/>
                <w:sz w:val="22"/>
              </w:rPr>
              <w:t>474.4 ± 58.6</w:t>
            </w:r>
          </w:p>
        </w:tc>
      </w:tr>
      <w:tr w:rsidR="00435E4E" w14:paraId="32268B51" w14:textId="77777777" w:rsidTr="00435E4E">
        <w:trPr>
          <w:cantSplit/>
        </w:trPr>
        <w:tc>
          <w:tcPr>
            <w:tcW w:w="3600" w:type="dxa"/>
            <w:vAlign w:val="center"/>
            <w:tcBorders>
              <w:top w:val="nil"/>
              <w:left w:val="nil"/>
              <w:bottom w:val="single" w:sz="10" w:color="000000" w:space="0"/>
              <w:right w:val="nil"/>
            </w:tcBorders>
          </w:tcPr>
          <w:p w14:paraId="1287F5F8" w14:textId="38AE3A45" w:rsidR="00435E4E" w:rsidRPr="00435E4E" w:rsidRDefault="00435E4E" w:rsidP="009C667D">
            <w:pPr>
              <w:keepNext w:val="0"/>
              <w:keepLines/>
              <w:spacing w:after="0" w:line="240" w:lineRule="auto"/>
              <w:ind w:firstLine="0"/>
              <w:jc w:val="left"/>
            </w:pPr>
            <w:r>
              <w:rPr>
                <w:rFonts w:ascii="Times New Roman" w:hAnsi="Times New Roman"/>
                <w:b w:val="0"/>
                <w:sz w:val="22"/>
              </w:rPr>
              <w:t>AAL labels 1–90 sum</w:t>
            </w:r>
          </w:p>
        </w:tc>
        <w:tc>
          <w:tcPr>
            <w:tcW w:w="2880" w:type="dxa"/>
            <w:vAlign w:val="center"/>
            <w:tcBorders>
              <w:top w:val="nil"/>
              <w:left w:val="nil"/>
              <w:bottom w:val="single" w:sz="10" w:color="000000" w:space="0"/>
              <w:right w:val="nil"/>
            </w:tcBorders>
          </w:tcPr>
          <w:p w14:paraId="04F3E744" w14:textId="195F8FDF" w:rsidR="00435E4E" w:rsidRPr="00435E4E" w:rsidRDefault="00435E4E" w:rsidP="009C667D">
            <w:pPr>
              <w:keepNext w:val="0"/>
              <w:keepLines/>
              <w:spacing w:after="0" w:line="240" w:lineRule="auto"/>
              <w:ind w:firstLine="0"/>
              <w:jc w:val="center"/>
            </w:pPr>
            <w:r>
              <w:rPr>
                <w:rFonts w:ascii="Times New Roman" w:hAnsi="Times New Roman"/>
                <w:b w:val="0"/>
                <w:sz w:val="22"/>
              </w:rPr>
              <w:t>437.8 ± 44.6</w:t>
            </w:r>
          </w:p>
        </w:tc>
        <w:tc>
          <w:tcPr>
            <w:tcW w:w="2880" w:type="dxa"/>
            <w:vAlign w:val="center"/>
            <w:tcBorders>
              <w:top w:val="nil"/>
              <w:left w:val="nil"/>
              <w:bottom w:val="single" w:sz="10" w:color="000000" w:space="0"/>
              <w:right w:val="nil"/>
            </w:tcBorders>
          </w:tcPr>
          <w:p w14:paraId="1BFBC9B6" w14:textId="58D7CB38" w:rsidR="00435E4E" w:rsidRPr="00435E4E" w:rsidRDefault="00435E4E" w:rsidP="009C667D">
            <w:pPr>
              <w:keepNext w:val="0"/>
              <w:keepLines/>
              <w:spacing w:after="0" w:line="240" w:lineRule="auto"/>
              <w:ind w:firstLine="0"/>
              <w:jc w:val="center"/>
            </w:pPr>
            <w:r>
              <w:rPr>
                <w:rFonts w:ascii="Times New Roman" w:hAnsi="Times New Roman"/>
                <w:b w:val="0"/>
                <w:sz w:val="22"/>
              </w:rPr>
              <w:t>346.4 ± 46.9</w:t>
            </w:r>
          </w:p>
        </w:tc>
      </w:tr>
    </w:tbl>
    <w:p>
      <w:pPr/>
      <w:r>
        <w:t>All 21 training NC images have a 256 × 256 × 176 grid and 1 × 1 × 1 mm voxels. All 19 AD images have 256 × 256 × 166 or 170 grids and non-isotropic voxels (approximately 0.94 × 0.94 × 1.20 mm). Thus, stored geometry is class-associated. Geometry alone does not identify scanner or site provenance. The training summaries and header audit are retained with the analysis code in the repository.</w:t>
      </w:r>
    </w:p>
    <w:p>
      <w:pPr>
        <w:keepNext/>
        <w:jc w:val="center"/>
      </w:pPr>
      <w:r>
        <w:drawing>
          <wp:inline xmlns:a="http://schemas.openxmlformats.org/drawingml/2006/main" xmlns:pic="http://schemas.openxmlformats.org/drawingml/2006/picture">
            <wp:extent cx="5943600" cy="2327772"/>
            <wp:docPr id="773295328" name="Picture 773295328"/>
            <wp:cNvGraphicFramePr>
              <a:graphicFrameLocks noChangeAspect="1"/>
            </wp:cNvGraphicFramePr>
            <a:graphic>
              <a:graphicData uri="http://schemas.openxmlformats.org/drawingml/2006/picture">
                <pic:pic>
                  <pic:nvPicPr>
                    <pic:cNvPr id="0" name="training_volume_sensitivity.png"/>
                    <pic:cNvPicPr/>
                  </pic:nvPicPr>
                  <pic:blipFill>
                    <a:blip r:embed="rId36"/>
                    <a:stretch>
                      <a:fillRect/>
                    </a:stretch>
                  </pic:blipFill>
                  <pic:spPr>
                    <a:xfrm>
                      <a:off x="0" y="0"/>
                      <a:ext cx="5943600" cy="2327772"/>
                    </a:xfrm>
                    <a:prstGeom prst="rect"/>
                  </pic:spPr>
                </pic:pic>
              </a:graphicData>
            </a:graphic>
          </wp:inline>
        </w:drawing>
      </w:r>
    </w:p>
    <w:p>
      <w:pPr>
        <w:pStyle w:val="PaperCaption"/>
      </w:pPr>
      <w:r>
        <w:t>Figure 8. Post hoc description of training features only. (a) Each point is one subject’s AAL 1–90 GM sum; horizontal bars indicate class means. (b) AD-minus-NC standardized mean differences for all 90 labels, using absolute volumes or fractions of each subject’s AAL sum. Connecting lines aid tracing label order. Fractions are not ICV correction, and effects are not SVM importance estimates.</w:t>
      </w:r>
    </w:p>
    <w:p w14:paraId="5CA698E4" w14:textId="09493BEE" w:rsidR="001A23C7" w:rsidRDefault="001A23C7" w:rsidP="004D256E">
      <w:pPr>
        <w:pStyle w:val="Heading1"/>
      </w:pPr>
      <w:r>
        <w:rPr>
          <w:lang w:val="en-AU"/>
        </w:rPr>
        <w:t>5. Discussion and Conclusion</w:t>
      </w:r>
    </w:p>
    <w:p w14:paraId="632B6695" w14:textId="46343A1F" w:rsidR="001A23C7" w:rsidRDefault="001A23C7" w:rsidP="004D256E">
      <w:pPr>
        <w:pStyle w:val="Heading2"/>
      </w:pPr>
      <w:r w:rsidRPr="001A23C7">
        <w:rPr/>
        <w:t>5.1 Interpretation of the Findings</w:t>
      </w:r>
    </w:p>
    <w:p w14:paraId="5C8A8F38" w14:textId="32B75082" w:rsidR="000D7F29" w:rsidRPr="000D7F29" w:rsidRDefault="000D7F29" w:rsidP="000D7F29">
      <w:pPr>
        <w:keepLines/>
      </w:pPr>
      <w:r>
        <w:t>The pipeline correctly classifies nine of ten held-out subjects, supporting discrimination within the supplied dataset. This predictive result does not establish that the classifier detects disease-specific regional atrophy. Section 4.7 shows that lower overall regional GM volume and a class-associated difference in image geometry accompany the labels. These observations make it necessary to consider several explanations for the measured separation before interpreting it biologically.</w:t>
      </w:r>
    </w:p>
    <w:p w14:paraId="45C440CF" w14:textId="2B26EA3C" w:rsidR="00B50A31" w:rsidRPr="000D7F29" w:rsidRDefault="000D7F29" w:rsidP="00B50A31">
      <w:pPr/>
      <w:r>
        <w:t>The validation percentages need their denominators. Each CV fold contains eight subjects: one fold has one error, giving 39/40 correct across held-out folds. The test also has one error, among ten subjects. The 7.5-percentage-point gap therefore accompanies coarse accuracy increments and different samples; it neither establishes overfitting nor equivalence of performance. The 5-percentage-point fold standard deviation describes this partition, not uncertainty in population performance.</w:t>
      </w:r>
    </w:p>
    <w:p w14:paraId="42EBC744" w14:textId="77777777" w:rsidR="00613FE1" w:rsidRPr="00B50A31" w:rsidRDefault="00613FE1" w:rsidP="00B50A31">
      <w:pPr/>
      <w:r>
        <w:t>Karas et al. [1] support the biological rationale through regional GM loss; Klöppel et al. [2] demonstrate MRI/SVM classification with a voxel-based representation. Our regional summaries retain atlas identities but can hide local changes represented by voxel features. The 2024 review [4] covers different disease stages and populations, and its pooled prevalence estimates are not an accuracy benchmark. These sources motivate the experiment without establishing comparability of performance or identifying which ROIs drive our predictions.</w:t>
      </w:r>
    </w:p>
    <w:p w14:paraId="6A484F3F" w14:textId="77777777" w:rsidR="00613FE1" w:rsidRPr="00B50A31" w:rsidRDefault="00613FE1" w:rsidP="00B50A31">
      <w:pPr/>
      <w:r>
        <w:t>The training analysis makes the distinction between feature scaling and anatomical adjustment concrete. AAL-summed GM is 20.9% lower on average in AD, and 79 regional absolute-volume effects are negative; much of the pattern therefore accompanies a broad volume-scale difference. Expressing measurements as fractions reduces median |d| and reverses 31 directions. A larger fraction can arise when the denominator decreases more than the numerator, so a positive relative effect does not demonstrate tissue growth. Because the fractions sum to one, they also constrain one another. Neither representation establishes the contribution of an ROI to the nonlinear SVM.</w:t>
      </w:r>
    </w:p>
    <w:p>
      <w:pPr/>
      <w:r>
        <w:t>Barnes et al. [10] show why head size matters for volumetric interpretation. Voevodskaya et al. [11] go further by comparing raw, proportional and residual ICV adjustment in PIVUS and ADNI: adjustment changes regional relationships and can affect diagnostic comparisons. Their FreeSurfer measurements and ICV denominator differ from our binary AAL volumes and GM-sum denominator, so their results support examining the adjustment choice, not adopting our fractions as a validated correction. Global GM loss may itself contain disease information; removing scale could discard it. Without ICV, demographics and acquisition provenance, the current analysis cannot partition disease effects, baseline anatomy and measurement differences.</w:t>
      </w:r>
    </w:p>
    <w:p>
      <w:pPr/>
      <w:r>
        <w:t>With 90 features and 40 training subjects, alternative feature selection, head-size adjustment or SVM tuning would require a separate training-only assessment, such as nested validation. No such comparisons were performed here. Any later changes made after inspecting these test results should be reported as exploratory and evaluated on a new independent test set, rather than repeatedly selecting the best result on these ten subjects.</w:t>
      </w:r>
    </w:p>
    <w:p>
      <w:pPr/>
      <w:r>
        <w:t>The geometry audit identifies a more specific threat than sample size alone. Stratifying subjects preserves diagnostic balance, but both classes retain their characteristic stored geometry across folds; the validation design therefore cannot isolate disease from geometry-associated acquisition or processing effects. Converting counts to mm³ accounts for voxel volume, yet does not equalize partial-volume behaviour or segmentation boundaries. Geometry was not supplied as an SVM feature, and this audit does not prove that it caused the predictions. A dataset containing AD and NC scans with overlapping acquisition conditions is needed to distinguish these possibilities; merely increasing the number of random folds would not resolve them.</w:t>
      </w:r>
    </w:p>
    <w:p w14:paraId="130B43EA" w14:textId="56146B68" w:rsidR="001A23C7" w:rsidRDefault="001A23C7" w:rsidP="004D256E">
      <w:pPr>
        <w:pStyle w:val="Heading2"/>
      </w:pPr>
      <w:r w:rsidRPr="001A23C7">
        <w:rPr/>
        <w:t>5.2 Limitations and Potential Improvements</w:t>
      </w:r>
    </w:p>
    <w:p w14:paraId="6C085170" w14:textId="3CDB47F4" w:rsidR="00BC083D" w:rsidRPr="00BC083D" w:rsidRDefault="00BC083D" w:rsidP="00BC083D">
      <w:pPr>
        <w:keepLines/>
      </w:pPr>
      <w:r>
        <w:t>Figure 9 shows remaining boundary problems in the adopted BET result for Data_44: suspected upper-frontal brain omission and residual non-brain tissue. These observations matter because an omitted brain voxel is unavailable to subsequent GM segmentation, while retained non-brain material can complicate tissue classification. Registration differences can also move the ROI boundary used for counting. These are plausible routes by which preprocessing affects features, not measured explanations of an individual prediction. Data_44 is correctly classified as AD, which does not validate its anatomical processing. Figure B4 enlarges the retained boundary; further boundary review would be needed before revising this subject’s measurements.</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t>Figure 9.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t>The binary GM masks also impose a hard tissue decision at each voxel. A boundary voxel changing between zero and one changes the count, so segmentation and ROI-alignment uncertainty can affect regional volumes even when the arithmetic is reproducible. Probability-weighted GM measurement was not evaluated; it would represent a different feature definition and should not be treated as an improvement established by this experiment.</w:t>
      </w:r>
    </w:p>
    <w:p>
      <w:pPr/>
      <w:r>
        <w:t>Finally, NC specificity of 100% is based on only four correct NC predictions, and AD sensitivity of 83.3% on five of six AD subjects. One additional test error changes overall accuracy by ten percentage points. These small denominators limit claims about performance in other populations. Data_49 remains the sole false-negative AD case; its cause cannot be established from the current results or attributed to the separate Data_44 observations. The fixed course test set is held out from fitting, but it is not an external clinical validation cohort.</w:t>
      </w:r>
    </w:p>
    <w:p>
      <w:pPr/>
      <w:r>
        <w:t>Together, the checks separate three questions. The independent count comparison verifies that the specified masks produce the exported numbers. Sampled image review evaluates visible anatomical plausibility and retains the Data_44 limitation. Held-out predictions evaluate agreement with labels in this dataset. Success on one question does not settle the others: a correctly classified Data_44 can still have an imperfect mask, and a reproducible volume can still reflect a misplaced boundary. This distinction connects the algorithm papers [5–7] to the actual evidence without treating their published validation as validation of our images.</w:t>
      </w:r>
    </w:p>
    <w:p>
      <w:pPr/>
      <w:r>
        <w:t>The practical priority is to audit acquisition provenance and obtain diagnosis groups with overlapping geometry, alongside age, sex and ICV, before testing a prespecified adjustment strategy. Image boundaries and registration would then be reviewed with anatomical references, with remaining changes assessed inside training-only validation and a new test cohort. Following the performance distinctions in TRIPOD+AI [12], our fixed-label accuracy, sensitivity and specificity do not establish calibrated disease probabilities or clinical utility. SVM decision scores are not probabilities; no calibration or decision-benefit analysis was performed. The present work demonstrates a course classification pipeline rather than a clinical diagnostic instrument.</w:t>
      </w:r>
    </w:p>
    <w:p w14:paraId="6D3BCFE2" w14:textId="4E5C5962" w:rsidR="001A23C7" w:rsidRDefault="001A23C7" w:rsidP="004D256E">
      <w:pPr>
        <w:pStyle w:val="Heading2"/>
      </w:pPr>
      <w:r w:rsidRPr="001A23C7">
        <w:rPr/>
        <w:t>5.3 Conclusion</w:t>
      </w:r>
    </w:p>
    <w:p w14:paraId="59FDC72A" w14:textId="0347B234" w:rsidR="00B50A31" w:rsidRPr="00BC083D" w:rsidRDefault="00BC083D" w:rsidP="00B50A31">
      <w:pPr>
        <w:keepLines/>
      </w:pPr>
      <w:r>
        <w:t>This project implements MRI preprocessing, 90 native-space regional GM volumes and an SVM in a reproducible workflow. Numerical checks confirm consistency of the exported features, while sampled images document remaining anatomical limitations. Training-only five-fold validation gives 97.5% mean accuracy, and the fixed test set gives 9/10 correct, with 83.3% AD sensitivity and 100% NC specificity. The added training analysis shows broad GM-scale differences and class-associated image geometry. Accordingly, the results demonstrate dataset-specific discrimination, while acquisition-controlled validation and anatomical/covariate assessment are needed to establish how much separation reflects AD-related tissue changes.</w:t>
      </w:r>
    </w:p>
    <w:p w14:paraId="4A17A85E" w14:textId="77777777" w:rsidR="00E31F5B" w:rsidRDefault="00E31F5B" w:rsidP="004D256E">
      <w:pPr>
        <w:pStyle w:val="Heading1"/>
        <w:pageBreakBefore/>
      </w:pPr>
      <w:r w:rsidRPr="00AF7846">
        <w:rPr>
          <w:lang w:val="en-AU"/>
        </w:rPr>
        <w:t>References</w:t>
      </w:r>
    </w:p>
    <w:p w14:paraId="4C324ADA" w14:textId="772BABE5" w:rsidR="00613FE1" w:rsidRPr="00613FE1" w:rsidRDefault="00613FE1" w:rsidP="00613FE1">
      <w:pPr>
        <w:pStyle w:val="PaperReference"/>
        <w:keepNext w:val="0"/>
        <w:keepLines/>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val="0"/>
        <w:keepLines/>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val="0"/>
        <w:keepLines/>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val="0"/>
        <w:keepLines/>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val="0"/>
        <w:keepLines/>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val="0"/>
        <w:keepLines/>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val="0"/>
        <w:keepLines/>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keepLines/>
      </w:pPr>
      <w:r>
        <w:rPr/>
        <w:t>[8] scikit-learn developers, “SVC,” scikit-learn 1.9.1 documentation. Available: https://scikit-learn.org/stable/modules/generated/sklearn.svm.SVC.html (accessed 17 October 2026).</w:t>
      </w:r>
    </w:p>
    <w:p>
      <w:pPr>
        <w:pStyle w:val="PaperReference"/>
        <w:keepNext w:val="0"/>
        <w:keepLines/>
      </w:pPr>
      <w:r>
        <w:t>[9] C. Cortes and V. Vapnik, “Support-vector networks,” Machine Learning, vol. 20, no. 3, pp. 273–297, 1995. DOI: 10.1007/BF00994018.</w:t>
      </w:r>
    </w:p>
    <w:p>
      <w:pPr>
        <w:pStyle w:val="PaperReference"/>
        <w:keepNext w:val="0"/>
        <w:keepLines/>
      </w:pPr>
      <w:r>
        <w:t>[10] J. Barnes et al., “Head size, age and gender adjustment in MRI studies: a necessary nuisance?,” NeuroImage, vol. 53, no. 4, pp. 1244–1255, 2010. DOI: 10.1016/j.neuroimage.2010.06.025.</w:t>
      </w:r>
    </w:p>
    <w:p>
      <w:pPr>
        <w:pStyle w:val="PaperReference"/>
        <w:keepNext w:val="0"/>
        <w:keepLines/>
      </w:pPr>
      <w:r>
        <w:t>[11] O. Voevodskaya et al., “The effects of intracranial volume adjustment approaches on multiple regional MRI volumes in healthy aging and Alzheimer’s disease,” Frontiers in Aging Neuroscience, vol. 6, article 264, 2014. DOI: 10.3389/fnagi.2014.00264.</w:t>
      </w:r>
    </w:p>
    <w:p>
      <w:pPr>
        <w:pStyle w:val="PaperReference"/>
        <w:keepNext w:val="0"/>
        <w:keepLines/>
      </w:pPr>
      <w:r>
        <w:t>[12] G. S. Collins et al., “TRIPOD+AI statement: updated guidance for reporting clinical prediction models that use regression or machine learning methods,” BMJ, vol. 385, e078378, 2024. DOI: 10.1136/bmj-2023-078378.</w:t>
      </w:r>
    </w:p>
    <w:p w14:paraId="524130C9" w14:textId="77777777" w:rsidR="001A23C7" w:rsidRDefault="001A23C7" w:rsidP="004D256E">
      <w:pPr>
        <w:pStyle w:val="Heading1"/>
        <w:pageBreakBefore/>
      </w:pPr>
      <w:r>
        <w:rPr/>
        <w:t>Appendix A Representative commands and settings</w:t>
      </w:r>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r>
        <w:rPr>
          <w:b/>
        </w:rPr>
        <w:t>A.1 Tissue segmentation and grey matter masking</w:t>
      </w:r>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r>
        <w:rPr>
          <w:b/>
        </w:rPr>
        <w:t>A.2 Template registration and AAL label resampling</w:t>
      </w:r>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r>
        <w:rPr>
          <w:b/>
        </w:rPr>
        <w:t>A.3 Measuring grey matter volume in one ROI</w:t>
      </w:r>
    </w:p>
    <w:p w14:paraId="0B60E357" w14:textId="77777777" w:rsidR="00613FE1" w:rsidRPr="00B50A31" w:rsidRDefault="00613FE1" w:rsidP="00B50A31">
      <w:pPr>
        <w:keepNext/>
      </w:pPr>
      <w:r>
        <w:t>This example isolates native AAL label 1. In the batch workflow, the unchanged CreateSeedMask helper creates the masks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t>Thresholding retains label 1 and -bin produces its binary ROI. The -k option restricts binary GM counting to that ROI. The -V output gives voxel count then mm³, measuring regional GM rather than the complete anatomical ROI. This case gives 6523.223317 mm³, as in Table 2.</w:t>
      </w:r>
    </w:p>
    <w:p w14:paraId="1046CE3C" w14:textId="77777777" w:rsidR="001A23C7" w:rsidRDefault="001A23C7" w:rsidP="004D256E">
      <w:pPr>
        <w:pStyle w:val="Heading2"/>
      </w:pPr>
      <w:r>
        <w:rPr>
          <w:b/>
        </w:rPr>
        <w:t>A.4 Reproducing the SVM validation settings</w:t>
      </w:r>
    </w:p>
    <w:p w14:paraId="0762887A" w14:textId="77777777" w:rsidR="00613FE1" w:rsidRPr="00B50A31" w:rsidRDefault="00613FE1" w:rsidP="00B50A31">
      <w:pPr/>
      <w:r>
        <w:t>These settings use the loaded 90-feature matrices X_train and X_test and labels y_train, aligned by subject ID. IDs are excluded as features. The notebook and project01_svm.py contain the loading and verification steps.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t>Each CV fold fits its own scaler/SVM, excluding validation values from fitting. The final pipeline uses all 40 training subjects. Predictions are saved before test-label comparison. The implementation and recorded original run are retained at https://github.com/Babe153/Project01_5622.</w:t>
      </w:r>
    </w:p>
    <w:p>
      <w:pPr>
        <w:pStyle w:val="Heading2"/>
      </w:pPr>
      <w:r>
        <w:t>A.5 Processing verification records</w:t>
      </w:r>
    </w:p>
    <w:p>
      <w:pPr/>
      <w:r>
        <w:t>Checks cover all 50 subjects and labels 1–90. Sampled FAST/registration review covers Data_00, 01, 15, 18, 33, 35, 36, 40, 44 and 49; it is not full-volume anatomical ground truth.</w:t>
      </w:r>
    </w:p>
    <w:p>
      <w:pPr>
        <w:pStyle w:val="PaperCode"/>
      </w:pPr>
      <w:r>
        <w:t>report_evidence/validation/volume_verification.json</w:t>
        <w:br/>
        <w:t>report_evidence/validation/visual_review.json</w:t>
        <w:br/>
        <w:t>submission/processing_qc_records.csv</w:t>
      </w:r>
    </w:p>
    <w:p>
      <w:pPr>
        <w:pStyle w:val="Heading2"/>
      </w:pPr>
      <w:r>
        <w:t>A.6 Reproducing the training supplement</w:t>
      </w:r>
    </w:p>
    <w:p>
      <w:pPr>
        <w:keepNext/>
      </w:pPr>
      <w:r>
        <w:t>From the repository root, run this utility with numpy, matplotlib and nibabel. Training-only outputs accompany Figure 8.</w:t>
      </w:r>
    </w:p>
    <w:p>
      <w:pPr>
        <w:pStyle w:val="PaperCode"/>
      </w:pPr>
      <w:r>
        <w:t>python report_evidence/figure_code/analyse_training_volumes.py</w:t>
      </w:r>
    </w:p>
    <w:p w14:paraId="703F9335" w14:textId="77777777" w:rsidR="001A23C7" w:rsidRDefault="001A23C7" w:rsidP="004D256E">
      <w:pPr>
        <w:pStyle w:val="Heading1"/>
        <w:pageBreakBefore/>
      </w:pPr>
      <w:r>
        <w:rPr/>
        <w:t>Appendix B Enlarged views of existing processing results</w:t>
      </w:r>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r>
        <w:rPr>
          <w:b/>
        </w:rPr>
        <w:t>B.1 Registration and the retained BET limitation</w:t>
      </w:r>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Heading1"/>
    <w:next w:val="Normal"/>
    <w:uiPriority w:val="39"/>
    <w:unhideWhenUsed/>
    <w:qFormat/>
    <w:rsid w:val="008D1DD1"/>
    <w:pPr>
      <w:spacing w:before="240" w:after="0" w:line="259" w:lineRule="auto"/>
      <w:outlineLvl w:val="9"/>
    </w:pPr>
    <w:rPr>
      <w:rFonts w:asciiTheme="majorHAnsi" w:hAnsiTheme="majorHAnsi"/>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8D1DD1"/>
    <w:pPr>
      <w:tabs>
        <w:tab w:val="right" w:leader="dot" w:pos="9394"/>
      </w:tabs>
      <w:spacing w:after="100"/>
    </w:pPr>
    <w:rPr>
      <w:b/>
      <w:bCs/>
      <w:noProof/>
    </w:rPr>
  </w:style>
  <w:style w:type="paragraph" w:styleId="TOC2">
    <w:name w:val="toc 2"/>
    <w:basedOn w:val="Normal"/>
    <w:next w:val="Normal"/>
    <w:autoRedefine/>
    <w:uiPriority w:val="39"/>
    <w:unhideWhenUsed/>
    <w:rsid w:val="008D1DD1"/>
    <w:pPr>
      <w:spacing w:after="100"/>
      <w:ind w:left="240"/>
    </w:p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MRI Classification Using Regional Grey Matter Volumes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