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E5ACC" w14:textId="26CCCE08" w:rsidR="00FE5D87" w:rsidRPr="00D50A19" w:rsidRDefault="001A7E5B">
      <w:pPr>
        <w:pStyle w:val="Title"/>
        <w:rPr>
          <w:rFonts w:asciiTheme="majorBidi" w:hAnsiTheme="majorBidi"/>
        </w:rPr>
      </w:pPr>
      <w:r w:rsidRPr="00D50A19">
        <w:rPr>
          <w:rFonts w:asciiTheme="majorBidi" w:hAnsiTheme="majorBidi"/>
        </w:rPr>
        <w:t>Agility</w:t>
      </w:r>
      <w:r w:rsidR="007720DC" w:rsidRPr="00D50A19">
        <w:rPr>
          <w:rFonts w:asciiTheme="majorBidi" w:hAnsiTheme="majorBidi"/>
        </w:rPr>
        <w:t xml:space="preserve"> </w:t>
      </w:r>
      <w:r w:rsidR="00D86859" w:rsidRPr="00D50A19">
        <w:rPr>
          <w:rFonts w:asciiTheme="majorBidi" w:hAnsiTheme="majorBidi"/>
        </w:rPr>
        <w:t>Risk</w:t>
      </w:r>
      <w:r w:rsidR="00E4403B">
        <w:rPr>
          <w:rFonts w:asciiTheme="majorBidi" w:hAnsiTheme="majorBidi"/>
        </w:rPr>
        <w:t xml:space="preserve"> and Return</w:t>
      </w:r>
    </w:p>
    <w:p w14:paraId="39ADFCFA" w14:textId="458CB85F" w:rsidR="00D86859" w:rsidRPr="00D50A19" w:rsidRDefault="00D86859">
      <w:pPr>
        <w:pStyle w:val="Heading1"/>
        <w:rPr>
          <w:rFonts w:asciiTheme="majorBidi" w:hAnsiTheme="majorBidi"/>
        </w:rPr>
      </w:pPr>
      <w:r w:rsidRPr="00D50A19">
        <w:rPr>
          <w:rFonts w:asciiTheme="majorBidi" w:hAnsiTheme="majorBidi"/>
        </w:rPr>
        <w:t>Estimating Historical Risk Parameters (</w:t>
      </w:r>
      <w:r w:rsidR="00CE2BB3" w:rsidRPr="00D50A19">
        <w:rPr>
          <w:rFonts w:asciiTheme="majorBidi" w:hAnsiTheme="majorBidi"/>
        </w:rPr>
        <w:t>Top-Down</w:t>
      </w:r>
      <w:r w:rsidRPr="00D50A19">
        <w:rPr>
          <w:rFonts w:asciiTheme="majorBidi" w:hAnsiTheme="majorBidi"/>
        </w:rPr>
        <w:t xml:space="preserve"> Betas)</w:t>
      </w:r>
    </w:p>
    <w:p w14:paraId="31CDBCF9" w14:textId="688199F9" w:rsidR="00D86859" w:rsidRPr="00D50A19" w:rsidRDefault="006A2FD6" w:rsidP="00D86859">
      <w:pPr>
        <w:rPr>
          <w:rFonts w:asciiTheme="majorBidi" w:hAnsiTheme="majorBidi" w:cstheme="majorBidi"/>
        </w:rPr>
      </w:pPr>
      <w:r w:rsidRPr="00D50A19">
        <w:rPr>
          <w:rFonts w:asciiTheme="majorBidi" w:hAnsiTheme="majorBidi" w:cstheme="majorBidi"/>
        </w:rPr>
        <w:t xml:space="preserve">The data was taken for </w:t>
      </w:r>
      <w:r w:rsidR="001A7E5B" w:rsidRPr="00D50A19">
        <w:rPr>
          <w:rFonts w:asciiTheme="majorBidi" w:hAnsiTheme="majorBidi" w:cstheme="majorBidi"/>
        </w:rPr>
        <w:t>Agility</w:t>
      </w:r>
      <w:r w:rsidRPr="00D50A19">
        <w:rPr>
          <w:rFonts w:asciiTheme="majorBidi" w:hAnsiTheme="majorBidi" w:cstheme="majorBidi"/>
        </w:rPr>
        <w:t xml:space="preserve"> </w:t>
      </w:r>
      <w:r w:rsidR="001A7E5B" w:rsidRPr="00D50A19">
        <w:rPr>
          <w:rFonts w:asciiTheme="majorBidi" w:hAnsiTheme="majorBidi" w:cstheme="majorBidi"/>
        </w:rPr>
        <w:t>c</w:t>
      </w:r>
      <w:r w:rsidRPr="00D50A19">
        <w:rPr>
          <w:rFonts w:asciiTheme="majorBidi" w:hAnsiTheme="majorBidi" w:cstheme="majorBidi"/>
        </w:rPr>
        <w:t xml:space="preserve">ompany </w:t>
      </w:r>
      <w:r w:rsidR="001A7E5B" w:rsidRPr="00D50A19">
        <w:rPr>
          <w:rFonts w:asciiTheme="majorBidi" w:hAnsiTheme="majorBidi" w:cstheme="majorBidi"/>
        </w:rPr>
        <w:t>in Kuwait market.</w:t>
      </w:r>
    </w:p>
    <w:p w14:paraId="71F9A2B6" w14:textId="65FAFB25" w:rsidR="006A2FD6" w:rsidRPr="00D50A19" w:rsidRDefault="001A7E5B" w:rsidP="00D86859">
      <w:pPr>
        <w:rPr>
          <w:rFonts w:asciiTheme="majorBidi" w:hAnsiTheme="majorBidi" w:cstheme="majorBidi"/>
        </w:rPr>
      </w:pPr>
      <w:r w:rsidRPr="00D50A19">
        <w:rPr>
          <w:rFonts w:asciiTheme="majorBidi" w:hAnsiTheme="majorBidi" w:cstheme="majorBidi"/>
        </w:rPr>
        <w:t>The return data (price) was taken from Oct-19 to Oct-24 on monthly basis.</w:t>
      </w:r>
    </w:p>
    <w:p w14:paraId="76341E58" w14:textId="1A25754B" w:rsidR="00640878" w:rsidRDefault="008A00B2" w:rsidP="00640878">
      <w:pPr>
        <w:pStyle w:val="ListParagraph"/>
        <w:numPr>
          <w:ilvl w:val="0"/>
          <w:numId w:val="10"/>
        </w:numPr>
        <w:rPr>
          <w:rFonts w:asciiTheme="majorBidi" w:hAnsiTheme="majorBidi" w:cstheme="majorBidi"/>
        </w:rPr>
      </w:pPr>
      <w:r w:rsidRPr="00640878">
        <w:rPr>
          <w:rFonts w:asciiTheme="majorBidi" w:hAnsiTheme="majorBidi" w:cstheme="majorBidi"/>
        </w:rPr>
        <w:t xml:space="preserve">Intercept = </w:t>
      </w:r>
      <w:r w:rsidR="001A7E5B" w:rsidRPr="00640878">
        <w:rPr>
          <w:rFonts w:asciiTheme="majorBidi" w:hAnsiTheme="majorBidi" w:cstheme="majorBidi"/>
        </w:rPr>
        <w:t>-0.</w:t>
      </w:r>
      <w:r w:rsidR="004E7B1A" w:rsidRPr="00640878">
        <w:rPr>
          <w:rFonts w:asciiTheme="majorBidi" w:hAnsiTheme="majorBidi" w:cstheme="majorBidi"/>
        </w:rPr>
        <w:t>565</w:t>
      </w:r>
      <w:r w:rsidR="003A5565" w:rsidRPr="00640878">
        <w:rPr>
          <w:rFonts w:asciiTheme="majorBidi" w:hAnsiTheme="majorBidi" w:cstheme="majorBidi"/>
        </w:rPr>
        <w:t xml:space="preserve">, </w:t>
      </w:r>
      <w:r w:rsidR="004E7B1A" w:rsidRPr="00640878">
        <w:rPr>
          <w:rFonts w:asciiTheme="majorBidi" w:hAnsiTheme="majorBidi" w:cstheme="majorBidi"/>
        </w:rPr>
        <w:t>it is a measure of performance during the period of the regression, relative to the capital asset pricing model, since</w:t>
      </w:r>
      <w:r w:rsidR="003D245A">
        <w:rPr>
          <w:rFonts w:asciiTheme="majorBidi" w:hAnsiTheme="majorBidi" w:cstheme="majorBidi"/>
        </w:rPr>
        <w:t xml:space="preserve"> our</w:t>
      </w:r>
      <w:r w:rsidR="004E7B1A" w:rsidRPr="00640878">
        <w:rPr>
          <w:rFonts w:asciiTheme="majorBidi" w:hAnsiTheme="majorBidi" w:cstheme="majorBidi"/>
        </w:rPr>
        <w:t xml:space="preserve"> intercept </w:t>
      </w:r>
      <w:r w:rsidR="003D245A">
        <w:rPr>
          <w:rFonts w:asciiTheme="majorBidi" w:hAnsiTheme="majorBidi" w:cstheme="majorBidi"/>
        </w:rPr>
        <w:t>&lt; -0.023</w:t>
      </w:r>
      <w:r w:rsidR="00640878" w:rsidRPr="00640878">
        <w:rPr>
          <w:rFonts w:asciiTheme="majorBidi" w:hAnsiTheme="majorBidi" w:cstheme="majorBidi"/>
        </w:rPr>
        <w:t xml:space="preserve"> </w:t>
      </w:r>
      <w:r w:rsidR="003D245A">
        <w:rPr>
          <w:rFonts w:asciiTheme="majorBidi" w:hAnsiTheme="majorBidi" w:cstheme="majorBidi"/>
        </w:rPr>
        <w:t xml:space="preserve">which is </w:t>
      </w:r>
      <w:r w:rsidR="00640878" w:rsidRPr="00640878">
        <w:rPr>
          <w:rFonts w:asciiTheme="majorBidi" w:hAnsiTheme="majorBidi" w:cstheme="majorBidi"/>
        </w:rPr>
        <w:t>Rf (1-b)</w:t>
      </w:r>
      <w:r w:rsidR="00640878">
        <w:rPr>
          <w:rFonts w:asciiTheme="majorBidi" w:hAnsiTheme="majorBidi" w:cstheme="majorBidi"/>
        </w:rPr>
        <w:t>, then the</w:t>
      </w:r>
      <w:r w:rsidR="00640878" w:rsidRPr="00640878">
        <w:rPr>
          <w:rFonts w:asciiTheme="majorBidi" w:hAnsiTheme="majorBidi" w:cstheme="majorBidi"/>
        </w:rPr>
        <w:t xml:space="preserve"> </w:t>
      </w:r>
      <w:r w:rsidR="00640878">
        <w:rPr>
          <w:rFonts w:asciiTheme="majorBidi" w:hAnsiTheme="majorBidi" w:cstheme="majorBidi"/>
        </w:rPr>
        <w:t>s</w:t>
      </w:r>
      <w:r w:rsidR="00640878" w:rsidRPr="00640878">
        <w:rPr>
          <w:rFonts w:asciiTheme="majorBidi" w:hAnsiTheme="majorBidi" w:cstheme="majorBidi"/>
        </w:rPr>
        <w:t xml:space="preserve">tock did </w:t>
      </w:r>
      <w:r w:rsidR="003D245A">
        <w:rPr>
          <w:rFonts w:asciiTheme="majorBidi" w:hAnsiTheme="majorBidi" w:cstheme="majorBidi"/>
        </w:rPr>
        <w:t>worse</w:t>
      </w:r>
      <w:r w:rsidR="00640878" w:rsidRPr="00640878">
        <w:rPr>
          <w:rFonts w:asciiTheme="majorBidi" w:hAnsiTheme="majorBidi" w:cstheme="majorBidi"/>
        </w:rPr>
        <w:t xml:space="preserve"> than expected during regression period</w:t>
      </w:r>
      <w:r w:rsidR="00640878">
        <w:rPr>
          <w:rFonts w:asciiTheme="majorBidi" w:hAnsiTheme="majorBidi" w:cstheme="majorBidi"/>
        </w:rPr>
        <w:t>.</w:t>
      </w:r>
    </w:p>
    <w:p w14:paraId="58162307" w14:textId="77777777" w:rsidR="009D5CEF" w:rsidRDefault="006A2FD6" w:rsidP="00640878">
      <w:pPr>
        <w:pStyle w:val="ListParagraph"/>
        <w:numPr>
          <w:ilvl w:val="0"/>
          <w:numId w:val="10"/>
        </w:numPr>
        <w:rPr>
          <w:rFonts w:asciiTheme="majorBidi" w:hAnsiTheme="majorBidi" w:cstheme="majorBidi"/>
        </w:rPr>
      </w:pPr>
      <w:r w:rsidRPr="00640878">
        <w:rPr>
          <w:rFonts w:asciiTheme="majorBidi" w:hAnsiTheme="majorBidi" w:cstheme="majorBidi"/>
        </w:rPr>
        <w:t xml:space="preserve">The slope is </w:t>
      </w:r>
      <w:r w:rsidR="00640878">
        <w:rPr>
          <w:rFonts w:asciiTheme="majorBidi" w:hAnsiTheme="majorBidi" w:cstheme="majorBidi"/>
        </w:rPr>
        <w:t>1.583</w:t>
      </w:r>
      <w:r w:rsidRPr="00640878">
        <w:rPr>
          <w:rFonts w:asciiTheme="majorBidi" w:hAnsiTheme="majorBidi" w:cstheme="majorBidi"/>
        </w:rPr>
        <w:t>,</w:t>
      </w:r>
      <w:r w:rsidR="001A7E5B" w:rsidRPr="00640878">
        <w:rPr>
          <w:rFonts w:asciiTheme="majorBidi" w:hAnsiTheme="majorBidi" w:cstheme="majorBidi"/>
        </w:rPr>
        <w:t xml:space="preserve"> </w:t>
      </w:r>
      <w:r w:rsidR="00640878" w:rsidRPr="00640878">
        <w:rPr>
          <w:rFonts w:asciiTheme="majorBidi" w:hAnsiTheme="majorBidi" w:cstheme="majorBidi"/>
        </w:rPr>
        <w:t>The slope of the regression corresponds to the beta of the stock, and measures the riskiness of the stock</w:t>
      </w:r>
      <w:r w:rsidR="009D5CEF">
        <w:rPr>
          <w:rFonts w:asciiTheme="majorBidi" w:hAnsiTheme="majorBidi" w:cstheme="majorBidi"/>
        </w:rPr>
        <w:t>.</w:t>
      </w:r>
    </w:p>
    <w:p w14:paraId="057CC251" w14:textId="47F361C4" w:rsidR="006A2FD6" w:rsidRDefault="00640878" w:rsidP="009D5CEF">
      <w:pPr>
        <w:pStyle w:val="ListParagraph"/>
        <w:numPr>
          <w:ilvl w:val="1"/>
          <w:numId w:val="10"/>
        </w:numPr>
        <w:rPr>
          <w:rFonts w:asciiTheme="majorBidi" w:hAnsiTheme="majorBidi" w:cstheme="majorBidi"/>
        </w:rPr>
      </w:pPr>
      <w:r>
        <w:rPr>
          <w:rFonts w:asciiTheme="majorBidi" w:hAnsiTheme="majorBidi" w:cstheme="majorBidi"/>
        </w:rPr>
        <w:t xml:space="preserve">since </w:t>
      </w:r>
      <w:r w:rsidR="003D245A">
        <w:rPr>
          <w:rFonts w:asciiTheme="majorBidi" w:hAnsiTheme="majorBidi" w:cstheme="majorBidi"/>
        </w:rPr>
        <w:t>1.583</w:t>
      </w:r>
      <w:r>
        <w:rPr>
          <w:rFonts w:asciiTheme="majorBidi" w:hAnsiTheme="majorBidi" w:cstheme="majorBidi"/>
        </w:rPr>
        <w:t xml:space="preserve"> &gt;1 th</w:t>
      </w:r>
      <w:r w:rsidR="003D245A">
        <w:rPr>
          <w:rFonts w:asciiTheme="majorBidi" w:hAnsiTheme="majorBidi" w:cstheme="majorBidi"/>
        </w:rPr>
        <w:t>is</w:t>
      </w:r>
      <w:r>
        <w:rPr>
          <w:rFonts w:asciiTheme="majorBidi" w:hAnsiTheme="majorBidi" w:cstheme="majorBidi"/>
        </w:rPr>
        <w:t xml:space="preserve"> means the stoc</w:t>
      </w:r>
      <w:r w:rsidR="003D245A">
        <w:rPr>
          <w:rFonts w:asciiTheme="majorBidi" w:hAnsiTheme="majorBidi" w:cstheme="majorBidi"/>
        </w:rPr>
        <w:t xml:space="preserve">k’s </w:t>
      </w:r>
      <w:r w:rsidR="009D5CEF">
        <w:rPr>
          <w:rFonts w:asciiTheme="majorBidi" w:hAnsiTheme="majorBidi" w:cstheme="majorBidi"/>
        </w:rPr>
        <w:t>risk</w:t>
      </w:r>
      <w:r w:rsidR="003D245A">
        <w:rPr>
          <w:rFonts w:asciiTheme="majorBidi" w:hAnsiTheme="majorBidi" w:cstheme="majorBidi"/>
        </w:rPr>
        <w:t xml:space="preserve"> is</w:t>
      </w:r>
      <w:r w:rsidR="009D5CEF">
        <w:rPr>
          <w:rFonts w:asciiTheme="majorBidi" w:hAnsiTheme="majorBidi" w:cstheme="majorBidi"/>
        </w:rPr>
        <w:t xml:space="preserve"> higher than</w:t>
      </w:r>
      <w:r w:rsidR="003D245A">
        <w:rPr>
          <w:rFonts w:asciiTheme="majorBidi" w:hAnsiTheme="majorBidi" w:cstheme="majorBidi"/>
        </w:rPr>
        <w:t xml:space="preserve"> the</w:t>
      </w:r>
      <w:r w:rsidR="009D5CEF">
        <w:rPr>
          <w:rFonts w:asciiTheme="majorBidi" w:hAnsiTheme="majorBidi" w:cstheme="majorBidi"/>
        </w:rPr>
        <w:t xml:space="preserve"> market.</w:t>
      </w:r>
    </w:p>
    <w:p w14:paraId="21CBB901" w14:textId="70E32202" w:rsidR="009D5CEF" w:rsidRPr="00037F9D" w:rsidRDefault="009D5CEF" w:rsidP="009D5CEF">
      <w:pPr>
        <w:pStyle w:val="ListParagraph"/>
        <w:numPr>
          <w:ilvl w:val="1"/>
          <w:numId w:val="10"/>
        </w:numPr>
        <w:rPr>
          <w:rFonts w:asciiTheme="majorBidi" w:hAnsiTheme="majorBidi" w:cstheme="majorBidi"/>
        </w:rPr>
      </w:pPr>
      <w:r>
        <w:rPr>
          <w:rFonts w:asciiTheme="majorBidi" w:hAnsiTheme="majorBidi" w:cstheme="majorBidi"/>
        </w:rPr>
        <w:t xml:space="preserve">The standard error </w:t>
      </w:r>
      <w:r w:rsidR="003D245A">
        <w:rPr>
          <w:rFonts w:asciiTheme="majorBidi" w:hAnsiTheme="majorBidi" w:cstheme="majorBidi"/>
        </w:rPr>
        <w:t>is</w:t>
      </w:r>
      <w:r>
        <w:rPr>
          <w:rFonts w:asciiTheme="majorBidi" w:hAnsiTheme="majorBidi" w:cstheme="majorBidi"/>
        </w:rPr>
        <w:t xml:space="preserve"> </w:t>
      </w:r>
      <w:r w:rsidRPr="009D5CEF">
        <w:rPr>
          <w:rFonts w:asciiTheme="majorBidi" w:hAnsiTheme="majorBidi" w:cstheme="majorBidi"/>
        </w:rPr>
        <w:t>0.067</w:t>
      </w:r>
      <w:r w:rsidR="00762CF4">
        <w:rPr>
          <w:rFonts w:asciiTheme="majorBidi" w:hAnsiTheme="majorBidi" w:cstheme="majorBidi"/>
        </w:rPr>
        <w:t>. Therefore, if we are going for 67% confidence our range will be between 1.516 to 1.65 and 1.499-1.717 is our range for 95% confidence level.</w:t>
      </w:r>
    </w:p>
    <w:p w14:paraId="26A52497" w14:textId="5F2A0629" w:rsidR="007555F9" w:rsidRPr="007555F9" w:rsidRDefault="00037F9D" w:rsidP="006E5327">
      <w:pPr>
        <w:pStyle w:val="ListParagraph"/>
        <w:numPr>
          <w:ilvl w:val="0"/>
          <w:numId w:val="10"/>
        </w:numPr>
        <w:rPr>
          <w:sz w:val="23"/>
          <w:szCs w:val="23"/>
        </w:rPr>
      </w:pPr>
      <w:r w:rsidRPr="007555F9">
        <w:rPr>
          <w:rFonts w:asciiTheme="majorBidi" w:hAnsiTheme="majorBidi" w:cstheme="majorBidi"/>
        </w:rPr>
        <w:t>R</w:t>
      </w:r>
      <w:r w:rsidR="00EF5FEE" w:rsidRPr="007555F9">
        <w:rPr>
          <w:rFonts w:asciiTheme="majorBidi" w:hAnsiTheme="majorBidi" w:cstheme="majorBidi"/>
          <w:vertAlign w:val="superscript"/>
        </w:rPr>
        <w:t>2</w:t>
      </w:r>
      <w:r w:rsidR="00EF5FEE" w:rsidRPr="007555F9">
        <w:rPr>
          <w:rFonts w:asciiTheme="majorBidi" w:hAnsiTheme="majorBidi" w:cstheme="majorBidi"/>
        </w:rPr>
        <w:t xml:space="preserve"> is 0.525, which represents the estimate of the proportion of the risk (variance) of a firm that can be attributed to market risk, where the rest (1-R</w:t>
      </w:r>
      <w:r w:rsidR="00EF5FEE" w:rsidRPr="007555F9">
        <w:rPr>
          <w:rFonts w:asciiTheme="majorBidi" w:hAnsiTheme="majorBidi" w:cstheme="majorBidi"/>
          <w:vertAlign w:val="superscript"/>
        </w:rPr>
        <w:t>2</w:t>
      </w:r>
      <w:r w:rsidR="00EF5FEE" w:rsidRPr="007555F9">
        <w:rPr>
          <w:rFonts w:asciiTheme="majorBidi" w:hAnsiTheme="majorBidi" w:cstheme="majorBidi"/>
        </w:rPr>
        <w:t>) can be attributed to firm specific risk</w:t>
      </w:r>
      <w:r w:rsidR="007555F9" w:rsidRPr="007555F9">
        <w:rPr>
          <w:rFonts w:asciiTheme="majorBidi" w:hAnsiTheme="majorBidi" w:cstheme="majorBidi"/>
        </w:rPr>
        <w:t xml:space="preserve">, this is important to know </w:t>
      </w:r>
      <w:r w:rsidR="00762CF4">
        <w:rPr>
          <w:rFonts w:asciiTheme="majorBidi" w:hAnsiTheme="majorBidi" w:cstheme="majorBidi"/>
        </w:rPr>
        <w:t>which risk is higher</w:t>
      </w:r>
      <w:r w:rsidR="00EB1533">
        <w:rPr>
          <w:rFonts w:asciiTheme="majorBidi" w:hAnsiTheme="majorBidi" w:cstheme="majorBidi"/>
        </w:rPr>
        <w:t>,</w:t>
      </w:r>
      <w:r w:rsidR="007555F9" w:rsidRPr="007555F9">
        <w:rPr>
          <w:rFonts w:asciiTheme="majorBidi" w:hAnsiTheme="majorBidi" w:cstheme="majorBidi"/>
        </w:rPr>
        <w:t xml:space="preserve"> </w:t>
      </w:r>
      <w:r w:rsidR="00EB1533">
        <w:rPr>
          <w:rFonts w:asciiTheme="majorBidi" w:hAnsiTheme="majorBidi" w:cstheme="majorBidi"/>
        </w:rPr>
        <w:t>this</w:t>
      </w:r>
      <w:r w:rsidR="007555F9" w:rsidRPr="007555F9">
        <w:rPr>
          <w:rFonts w:asciiTheme="majorBidi" w:hAnsiTheme="majorBidi" w:cstheme="majorBidi"/>
        </w:rPr>
        <w:t xml:space="preserve"> can affect the investment decision.</w:t>
      </w:r>
    </w:p>
    <w:p w14:paraId="4AD0033D" w14:textId="480A67A4" w:rsidR="007555F9" w:rsidRDefault="007555F9" w:rsidP="00EB1533">
      <w:pPr>
        <w:pStyle w:val="ListParagraph"/>
        <w:numPr>
          <w:ilvl w:val="0"/>
          <w:numId w:val="10"/>
        </w:numPr>
        <w:rPr>
          <w:rFonts w:asciiTheme="majorBidi" w:hAnsiTheme="majorBidi" w:cstheme="majorBidi"/>
        </w:rPr>
      </w:pPr>
      <w:r w:rsidRPr="00EB1533">
        <w:rPr>
          <w:rFonts w:asciiTheme="majorBidi" w:hAnsiTheme="majorBidi" w:cstheme="majorBidi"/>
        </w:rPr>
        <w:t>The risk for this firm</w:t>
      </w:r>
      <w:r w:rsidR="00762CF4">
        <w:rPr>
          <w:rFonts w:asciiTheme="majorBidi" w:hAnsiTheme="majorBidi" w:cstheme="majorBidi"/>
        </w:rPr>
        <w:t xml:space="preserve"> that</w:t>
      </w:r>
      <w:r w:rsidRPr="00EB1533">
        <w:rPr>
          <w:rFonts w:asciiTheme="majorBidi" w:hAnsiTheme="majorBidi" w:cstheme="majorBidi"/>
        </w:rPr>
        <w:t xml:space="preserve"> is due to business </w:t>
      </w:r>
      <w:r w:rsidR="00EB1533" w:rsidRPr="00EB1533">
        <w:rPr>
          <w:rFonts w:asciiTheme="majorBidi" w:hAnsiTheme="majorBidi" w:cstheme="majorBidi"/>
        </w:rPr>
        <w:t>factors</w:t>
      </w:r>
      <w:r w:rsidR="00762CF4">
        <w:rPr>
          <w:rFonts w:asciiTheme="majorBidi" w:hAnsiTheme="majorBidi" w:cstheme="majorBidi"/>
        </w:rPr>
        <w:t xml:space="preserve"> is </w:t>
      </w:r>
      <w:r w:rsidRPr="00EB1533">
        <w:rPr>
          <w:rFonts w:asciiTheme="majorBidi" w:hAnsiTheme="majorBidi" w:cstheme="majorBidi"/>
        </w:rPr>
        <w:t xml:space="preserve">represented by unlevered beta, since we have levered beta which was estimated by the regression, and we have Debt, Equity and </w:t>
      </w:r>
      <w:r w:rsidR="00A35B3B">
        <w:rPr>
          <w:rFonts w:asciiTheme="majorBidi" w:hAnsiTheme="majorBidi" w:cstheme="majorBidi"/>
        </w:rPr>
        <w:t>effective</w:t>
      </w:r>
      <w:r w:rsidRPr="00EB1533">
        <w:rPr>
          <w:rFonts w:asciiTheme="majorBidi" w:hAnsiTheme="majorBidi" w:cstheme="majorBidi"/>
        </w:rPr>
        <w:t xml:space="preserve"> </w:t>
      </w:r>
      <w:r w:rsidR="00EB1533">
        <w:rPr>
          <w:rFonts w:asciiTheme="majorBidi" w:hAnsiTheme="majorBidi" w:cstheme="majorBidi"/>
        </w:rPr>
        <w:t>T</w:t>
      </w:r>
      <w:r w:rsidRPr="00EB1533">
        <w:rPr>
          <w:rFonts w:asciiTheme="majorBidi" w:hAnsiTheme="majorBidi" w:cstheme="majorBidi"/>
        </w:rPr>
        <w:t xml:space="preserve">ax from the financial report, we can calculate unlevered beta using </w:t>
      </w:r>
      <w:r w:rsidR="00EB1533" w:rsidRPr="00EB1533">
        <w:rPr>
          <w:rFonts w:asciiTheme="majorBidi" w:hAnsiTheme="majorBidi" w:cstheme="majorBidi"/>
        </w:rPr>
        <w:t>Hamada Equation β</w:t>
      </w:r>
      <w:r w:rsidR="00EB1533" w:rsidRPr="00EB1533">
        <w:rPr>
          <w:rFonts w:asciiTheme="majorBidi" w:hAnsiTheme="majorBidi" w:cstheme="majorBidi"/>
          <w:vertAlign w:val="subscript"/>
        </w:rPr>
        <w:t>L</w:t>
      </w:r>
      <w:r w:rsidR="00EB1533" w:rsidRPr="00EB1533">
        <w:rPr>
          <w:rFonts w:asciiTheme="majorBidi" w:hAnsiTheme="majorBidi" w:cstheme="majorBidi"/>
        </w:rPr>
        <w:t>=β</w:t>
      </w:r>
      <w:proofErr w:type="gramStart"/>
      <w:r w:rsidR="00EB1533" w:rsidRPr="00EB1533">
        <w:rPr>
          <w:rFonts w:asciiTheme="majorBidi" w:hAnsiTheme="majorBidi" w:cstheme="majorBidi"/>
          <w:vertAlign w:val="subscript"/>
        </w:rPr>
        <w:t>U</w:t>
      </w:r>
      <w:r w:rsidR="00EB1533" w:rsidRPr="00EB1533">
        <w:rPr>
          <w:rFonts w:asciiTheme="majorBidi" w:hAnsiTheme="majorBidi" w:cstheme="majorBidi"/>
        </w:rPr>
        <w:t>(</w:t>
      </w:r>
      <w:proofErr w:type="gramEnd"/>
      <w:r w:rsidR="00EB1533" w:rsidRPr="00EB1533">
        <w:rPr>
          <w:rFonts w:asciiTheme="majorBidi" w:hAnsiTheme="majorBidi" w:cstheme="majorBidi"/>
        </w:rPr>
        <w:t>1+</w:t>
      </w:r>
      <w:r w:rsidR="00EB1533">
        <w:rPr>
          <w:rFonts w:asciiTheme="majorBidi" w:hAnsiTheme="majorBidi" w:cstheme="majorBidi"/>
        </w:rPr>
        <w:t xml:space="preserve"> </w:t>
      </w:r>
      <m:oMath>
        <m:f>
          <m:fPr>
            <m:ctrlPr>
              <w:rPr>
                <w:rFonts w:ascii="Cambria Math" w:hAnsi="Cambria Math" w:cstheme="majorBidi"/>
              </w:rPr>
            </m:ctrlPr>
          </m:fPr>
          <m:num>
            <m:r>
              <w:rPr>
                <w:rFonts w:ascii="Cambria Math" w:hAnsi="Cambria Math" w:cstheme="majorBidi"/>
              </w:rPr>
              <m:t>D</m:t>
            </m:r>
          </m:num>
          <m:den>
            <m:r>
              <w:rPr>
                <w:rFonts w:ascii="Cambria Math" w:hAnsi="Cambria Math" w:cstheme="majorBidi"/>
              </w:rPr>
              <m:t>E</m:t>
            </m:r>
          </m:den>
        </m:f>
      </m:oMath>
      <w:r w:rsidR="00EB1533">
        <w:rPr>
          <w:rFonts w:asciiTheme="majorBidi" w:hAnsiTheme="majorBidi" w:cstheme="majorBidi"/>
        </w:rPr>
        <w:t xml:space="preserve"> </w:t>
      </w:r>
      <w:r w:rsidR="00EB1533" w:rsidRPr="00EB1533">
        <w:rPr>
          <w:rFonts w:asciiTheme="majorBidi" w:hAnsiTheme="majorBidi" w:cstheme="majorBidi"/>
        </w:rPr>
        <w:t>(1−T)):</w:t>
      </w:r>
    </w:p>
    <w:p w14:paraId="1AE8ED01" w14:textId="5BF15A7A" w:rsidR="00EB1533" w:rsidRPr="00EB1533" w:rsidRDefault="00EB1533" w:rsidP="00EB1533">
      <w:pPr>
        <w:pStyle w:val="ListParagraph"/>
        <w:numPr>
          <w:ilvl w:val="1"/>
          <w:numId w:val="10"/>
        </w:numPr>
        <w:rPr>
          <w:rFonts w:asciiTheme="majorBidi" w:hAnsiTheme="majorBidi" w:cstheme="majorBidi"/>
        </w:rPr>
      </w:pPr>
      <w:r w:rsidRPr="00EB1533">
        <w:rPr>
          <w:rFonts w:asciiTheme="majorBidi" w:hAnsiTheme="majorBidi" w:cstheme="majorBidi"/>
        </w:rPr>
        <w:t>Debt</w:t>
      </w:r>
      <w:r>
        <w:rPr>
          <w:rFonts w:asciiTheme="majorBidi" w:hAnsiTheme="majorBidi" w:cstheme="majorBidi"/>
        </w:rPr>
        <w:t xml:space="preserve">: </w:t>
      </w:r>
      <w:r w:rsidRPr="00EB1533">
        <w:rPr>
          <w:rFonts w:asciiTheme="majorBidi" w:hAnsiTheme="majorBidi" w:cstheme="majorBidi"/>
        </w:rPr>
        <w:t>1,299,718,000</w:t>
      </w:r>
    </w:p>
    <w:p w14:paraId="74D8F861" w14:textId="13FA01EC" w:rsidR="00EB1533" w:rsidRPr="00EB1533" w:rsidRDefault="00EB1533" w:rsidP="00EB1533">
      <w:pPr>
        <w:pStyle w:val="ListParagraph"/>
        <w:numPr>
          <w:ilvl w:val="1"/>
          <w:numId w:val="10"/>
        </w:numPr>
        <w:rPr>
          <w:rFonts w:asciiTheme="majorBidi" w:hAnsiTheme="majorBidi" w:cstheme="majorBidi"/>
        </w:rPr>
      </w:pPr>
      <w:r w:rsidRPr="00EB1533">
        <w:rPr>
          <w:rFonts w:asciiTheme="majorBidi" w:hAnsiTheme="majorBidi" w:cstheme="majorBidi"/>
        </w:rPr>
        <w:t>Equity</w:t>
      </w:r>
      <w:r>
        <w:rPr>
          <w:rFonts w:asciiTheme="majorBidi" w:hAnsiTheme="majorBidi" w:cstheme="majorBidi"/>
        </w:rPr>
        <w:t xml:space="preserve">: </w:t>
      </w:r>
      <w:r w:rsidRPr="00EB1533">
        <w:rPr>
          <w:rFonts w:asciiTheme="majorBidi" w:hAnsiTheme="majorBidi" w:cstheme="majorBidi"/>
        </w:rPr>
        <w:t>1,892,105,000</w:t>
      </w:r>
    </w:p>
    <w:p w14:paraId="63939922" w14:textId="1A8FD0F0" w:rsidR="00EB1533" w:rsidRDefault="001255A1" w:rsidP="00EB1533">
      <w:pPr>
        <w:pStyle w:val="ListParagraph"/>
        <w:numPr>
          <w:ilvl w:val="1"/>
          <w:numId w:val="10"/>
        </w:numPr>
        <w:rPr>
          <w:rFonts w:asciiTheme="majorBidi" w:hAnsiTheme="majorBidi" w:cstheme="majorBidi"/>
        </w:rPr>
      </w:pPr>
      <w:r>
        <w:rPr>
          <w:rFonts w:asciiTheme="majorBidi" w:hAnsiTheme="majorBidi" w:cstheme="majorBidi"/>
        </w:rPr>
        <w:t>effective</w:t>
      </w:r>
      <w:r w:rsidR="00EB1533" w:rsidRPr="00EB1533">
        <w:rPr>
          <w:rFonts w:asciiTheme="majorBidi" w:hAnsiTheme="majorBidi" w:cstheme="majorBidi"/>
        </w:rPr>
        <w:t xml:space="preserve"> </w:t>
      </w:r>
      <w:r w:rsidR="00EB1533">
        <w:rPr>
          <w:rFonts w:asciiTheme="majorBidi" w:hAnsiTheme="majorBidi" w:cstheme="majorBidi"/>
        </w:rPr>
        <w:t>T</w:t>
      </w:r>
      <w:r w:rsidR="00EB1533" w:rsidRPr="00EB1533">
        <w:rPr>
          <w:rFonts w:asciiTheme="majorBidi" w:hAnsiTheme="majorBidi" w:cstheme="majorBidi"/>
        </w:rPr>
        <w:t>ax</w:t>
      </w:r>
      <w:r w:rsidR="00EB1533">
        <w:rPr>
          <w:rFonts w:asciiTheme="majorBidi" w:hAnsiTheme="majorBidi" w:cstheme="majorBidi"/>
        </w:rPr>
        <w:t>:</w:t>
      </w:r>
      <w:r w:rsidR="00EB1533" w:rsidRPr="00EB1533">
        <w:rPr>
          <w:rFonts w:asciiTheme="majorBidi" w:hAnsiTheme="majorBidi" w:cstheme="majorBidi"/>
        </w:rPr>
        <w:t xml:space="preserve"> </w:t>
      </w:r>
      <w:r>
        <w:rPr>
          <w:rFonts w:asciiTheme="majorBidi" w:hAnsiTheme="majorBidi" w:cstheme="majorBidi"/>
        </w:rPr>
        <w:t>15.57%</w:t>
      </w:r>
    </w:p>
    <w:p w14:paraId="20A0D392" w14:textId="3564D034" w:rsidR="00EB1533" w:rsidRDefault="00EB1533" w:rsidP="00EB1533">
      <w:pPr>
        <w:pStyle w:val="ListParagraph"/>
        <w:numPr>
          <w:ilvl w:val="1"/>
          <w:numId w:val="10"/>
        </w:numPr>
        <w:rPr>
          <w:rFonts w:asciiTheme="majorBidi" w:hAnsiTheme="majorBidi" w:cstheme="majorBidi"/>
        </w:rPr>
      </w:pPr>
      <w:r w:rsidRPr="00EB1533">
        <w:rPr>
          <w:rFonts w:asciiTheme="majorBidi" w:hAnsiTheme="majorBidi" w:cstheme="majorBidi"/>
        </w:rPr>
        <w:t>β</w:t>
      </w:r>
      <w:r w:rsidRPr="00EB1533">
        <w:rPr>
          <w:rFonts w:asciiTheme="majorBidi" w:hAnsiTheme="majorBidi" w:cstheme="majorBidi"/>
          <w:vertAlign w:val="subscript"/>
        </w:rPr>
        <w:t>L</w:t>
      </w:r>
      <w:r>
        <w:rPr>
          <w:rFonts w:asciiTheme="majorBidi" w:hAnsiTheme="majorBidi" w:cstheme="majorBidi"/>
        </w:rPr>
        <w:t xml:space="preserve">: </w:t>
      </w:r>
      <w:r w:rsidRPr="00EB1533">
        <w:rPr>
          <w:rFonts w:asciiTheme="majorBidi" w:hAnsiTheme="majorBidi" w:cstheme="majorBidi"/>
        </w:rPr>
        <w:t>1.583</w:t>
      </w:r>
    </w:p>
    <w:p w14:paraId="08D50B3B" w14:textId="07F614B4" w:rsidR="00EB1533" w:rsidRPr="00EB1533" w:rsidRDefault="00EB1533" w:rsidP="005978EB">
      <w:pPr>
        <w:pStyle w:val="ListParagraph"/>
        <w:numPr>
          <w:ilvl w:val="2"/>
          <w:numId w:val="10"/>
        </w:numPr>
        <w:rPr>
          <w:rFonts w:asciiTheme="majorBidi" w:hAnsiTheme="majorBidi" w:cstheme="majorBidi"/>
        </w:rPr>
      </w:pPr>
      <w:r>
        <w:rPr>
          <w:rFonts w:asciiTheme="majorBidi" w:hAnsiTheme="majorBidi" w:cstheme="majorBidi"/>
        </w:rPr>
        <w:t xml:space="preserve">Then </w:t>
      </w:r>
      <w:r w:rsidRPr="00EB1533">
        <w:rPr>
          <w:rFonts w:asciiTheme="majorBidi" w:hAnsiTheme="majorBidi" w:cstheme="majorBidi"/>
        </w:rPr>
        <w:t>β</w:t>
      </w:r>
      <w:r w:rsidRPr="00EB1533">
        <w:rPr>
          <w:rFonts w:asciiTheme="majorBidi" w:hAnsiTheme="majorBidi" w:cstheme="majorBidi"/>
          <w:vertAlign w:val="subscript"/>
        </w:rPr>
        <w:t>U</w:t>
      </w:r>
      <w:r>
        <w:rPr>
          <w:rFonts w:asciiTheme="majorBidi" w:hAnsiTheme="majorBidi" w:cstheme="majorBidi"/>
        </w:rPr>
        <w:t xml:space="preserve"> = 1.0022 which is represent the </w:t>
      </w:r>
      <w:r w:rsidRPr="00EB1533">
        <w:rPr>
          <w:rFonts w:asciiTheme="majorBidi" w:hAnsiTheme="majorBidi" w:cstheme="majorBidi"/>
        </w:rPr>
        <w:t xml:space="preserve">risk for this firm is due to </w:t>
      </w:r>
      <w:r w:rsidRPr="005978EB">
        <w:rPr>
          <w:rFonts w:asciiTheme="majorBidi" w:hAnsiTheme="majorBidi" w:cstheme="majorBidi"/>
        </w:rPr>
        <w:t>business factor</w:t>
      </w:r>
      <w:r w:rsidR="005978EB">
        <w:rPr>
          <w:rFonts w:asciiTheme="majorBidi" w:hAnsiTheme="majorBidi" w:cstheme="majorBidi"/>
        </w:rPr>
        <w:t xml:space="preserve">s the rest of the risk is due to financial leverage. </w:t>
      </w:r>
    </w:p>
    <w:p w14:paraId="2C4CC118" w14:textId="2DA7C74A" w:rsidR="009B02AF" w:rsidRPr="007555F9" w:rsidRDefault="009B02AF" w:rsidP="007555F9">
      <w:pPr>
        <w:pStyle w:val="ListParagraph"/>
        <w:numPr>
          <w:ilvl w:val="0"/>
          <w:numId w:val="10"/>
        </w:numPr>
        <w:rPr>
          <w:rFonts w:asciiTheme="majorBidi" w:hAnsiTheme="majorBidi" w:cstheme="majorBidi"/>
        </w:rPr>
      </w:pPr>
      <w:r w:rsidRPr="007555F9">
        <w:rPr>
          <w:rFonts w:asciiTheme="majorBidi" w:hAnsiTheme="majorBidi" w:cstheme="majorBidi"/>
        </w:rPr>
        <w:br w:type="page"/>
      </w:r>
    </w:p>
    <w:p w14:paraId="45DD4FB2" w14:textId="068752D8" w:rsidR="00D50A19" w:rsidRDefault="00D50A19">
      <w:pPr>
        <w:rPr>
          <w:rFonts w:asciiTheme="majorBidi" w:eastAsiaTheme="majorEastAsia" w:hAnsiTheme="majorBidi" w:cstheme="majorBidi"/>
          <w:b/>
          <w:bCs/>
          <w:color w:val="365F91" w:themeColor="accent1" w:themeShade="BF"/>
          <w:sz w:val="28"/>
          <w:szCs w:val="28"/>
        </w:rPr>
      </w:pPr>
      <w:r w:rsidRPr="00D50A19">
        <w:rPr>
          <w:rFonts w:asciiTheme="majorBidi" w:eastAsiaTheme="majorEastAsia" w:hAnsiTheme="majorBidi" w:cstheme="majorBidi"/>
          <w:b/>
          <w:bCs/>
          <w:color w:val="365F91" w:themeColor="accent1" w:themeShade="BF"/>
          <w:sz w:val="28"/>
          <w:szCs w:val="28"/>
        </w:rPr>
        <w:lastRenderedPageBreak/>
        <w:t>Comparing to Sector Betas (</w:t>
      </w:r>
      <w:r w:rsidR="002932B1" w:rsidRPr="00D50A19">
        <w:rPr>
          <w:rFonts w:asciiTheme="majorBidi" w:eastAsiaTheme="majorEastAsia" w:hAnsiTheme="majorBidi" w:cstheme="majorBidi"/>
          <w:b/>
          <w:bCs/>
          <w:color w:val="365F91" w:themeColor="accent1" w:themeShade="BF"/>
          <w:sz w:val="28"/>
          <w:szCs w:val="28"/>
        </w:rPr>
        <w:t>Bottom-up</w:t>
      </w:r>
      <w:r w:rsidRPr="00D50A19">
        <w:rPr>
          <w:rFonts w:asciiTheme="majorBidi" w:eastAsiaTheme="majorEastAsia" w:hAnsiTheme="majorBidi" w:cstheme="majorBidi"/>
          <w:b/>
          <w:bCs/>
          <w:color w:val="365F91" w:themeColor="accent1" w:themeShade="BF"/>
          <w:sz w:val="28"/>
          <w:szCs w:val="28"/>
        </w:rPr>
        <w:t xml:space="preserve"> Betas)</w:t>
      </w:r>
    </w:p>
    <w:p w14:paraId="00784F53" w14:textId="77777777" w:rsidR="002932B1" w:rsidRDefault="002932B1" w:rsidP="002932B1">
      <w:pPr>
        <w:rPr>
          <w:rFonts w:asciiTheme="majorBidi" w:hAnsiTheme="majorBidi" w:cstheme="majorBidi"/>
        </w:rPr>
      </w:pPr>
      <w:r>
        <w:rPr>
          <w:rFonts w:asciiTheme="majorBidi" w:hAnsiTheme="majorBidi" w:cstheme="majorBidi"/>
        </w:rPr>
        <w:t>Based on 2023 report, Agility Public Warehousing Company has several subsidiaries and affiliates that it owns fully or partially. Some of the notable companies include:</w:t>
      </w:r>
    </w:p>
    <w:p w14:paraId="7EBB782F" w14:textId="2D1C9E80" w:rsidR="002932B1" w:rsidRPr="001B2FD0" w:rsidRDefault="002932B1" w:rsidP="001B2FD0">
      <w:pPr>
        <w:rPr>
          <w:rFonts w:asciiTheme="majorBidi" w:hAnsiTheme="majorBidi" w:cstheme="majorBidi"/>
        </w:rPr>
      </w:pPr>
    </w:p>
    <w:tbl>
      <w:tblPr>
        <w:tblStyle w:val="TableGrid"/>
        <w:tblW w:w="9386" w:type="dxa"/>
        <w:jc w:val="center"/>
        <w:tblLook w:val="04A0" w:firstRow="1" w:lastRow="0" w:firstColumn="1" w:lastColumn="0" w:noHBand="0" w:noVBand="1"/>
      </w:tblPr>
      <w:tblGrid>
        <w:gridCol w:w="1414"/>
        <w:gridCol w:w="1830"/>
        <w:gridCol w:w="1133"/>
        <w:gridCol w:w="1481"/>
        <w:gridCol w:w="1341"/>
        <w:gridCol w:w="1292"/>
        <w:gridCol w:w="895"/>
      </w:tblGrid>
      <w:tr w:rsidR="0080493E" w14:paraId="62B05285" w14:textId="598EBE99" w:rsidTr="0080493E">
        <w:trPr>
          <w:jc w:val="center"/>
        </w:trPr>
        <w:tc>
          <w:tcPr>
            <w:tcW w:w="0" w:type="auto"/>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78FE957D" w14:textId="4A185F8F" w:rsidR="0080493E" w:rsidRPr="00783FCF" w:rsidRDefault="0080493E" w:rsidP="00783FCF">
            <w:pPr>
              <w:jc w:val="center"/>
              <w:rPr>
                <w:rFonts w:asciiTheme="majorBidi" w:hAnsiTheme="majorBidi" w:cstheme="majorBidi"/>
              </w:rPr>
            </w:pPr>
            <w:r w:rsidRPr="00783FCF">
              <w:rPr>
                <w:rFonts w:asciiTheme="majorBidi" w:hAnsiTheme="majorBidi" w:cstheme="majorBidi"/>
              </w:rPr>
              <w:t>Subsidiary</w:t>
            </w:r>
          </w:p>
        </w:tc>
        <w:tc>
          <w:tcPr>
            <w:tcW w:w="0" w:type="auto"/>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59B9C456" w14:textId="40CA298E" w:rsidR="0080493E" w:rsidRPr="00783FCF" w:rsidRDefault="0080493E" w:rsidP="00783FCF">
            <w:pPr>
              <w:jc w:val="center"/>
              <w:rPr>
                <w:rFonts w:asciiTheme="majorBidi" w:hAnsiTheme="majorBidi" w:cstheme="majorBidi"/>
              </w:rPr>
            </w:pPr>
            <w:r w:rsidRPr="00783FCF">
              <w:rPr>
                <w:rFonts w:asciiTheme="majorBidi" w:hAnsiTheme="majorBidi" w:cstheme="majorBidi"/>
              </w:rPr>
              <w:t>Primary Sector</w:t>
            </w:r>
          </w:p>
        </w:tc>
        <w:tc>
          <w:tcPr>
            <w:tcW w:w="0" w:type="auto"/>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6ADEEAF" w14:textId="3B182FE9" w:rsidR="0080493E" w:rsidRPr="00783FCF" w:rsidRDefault="0080493E" w:rsidP="00783FCF">
            <w:pPr>
              <w:jc w:val="center"/>
              <w:rPr>
                <w:rFonts w:asciiTheme="majorBidi" w:hAnsiTheme="majorBidi" w:cstheme="majorBidi"/>
              </w:rPr>
            </w:pPr>
            <w:r w:rsidRPr="00783FCF">
              <w:rPr>
                <w:rFonts w:asciiTheme="majorBidi" w:hAnsiTheme="majorBidi" w:cstheme="majorBidi"/>
              </w:rPr>
              <w:t>Unlevered Beta (Bu)</w:t>
            </w:r>
          </w:p>
        </w:tc>
        <w:tc>
          <w:tcPr>
            <w:tcW w:w="0" w:type="auto"/>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9AA8871" w14:textId="64EDF9F5" w:rsidR="0080493E" w:rsidRPr="00783FCF" w:rsidRDefault="0080493E" w:rsidP="00783FCF">
            <w:pPr>
              <w:jc w:val="center"/>
              <w:rPr>
                <w:rFonts w:asciiTheme="majorBidi" w:hAnsiTheme="majorBidi" w:cstheme="majorBidi"/>
              </w:rPr>
            </w:pPr>
            <w:r w:rsidRPr="00783FCF">
              <w:rPr>
                <w:rFonts w:asciiTheme="majorBidi" w:hAnsiTheme="majorBidi" w:cstheme="majorBidi"/>
              </w:rPr>
              <w:t>Estimated Revenues (KD)</w:t>
            </w:r>
          </w:p>
        </w:tc>
        <w:tc>
          <w:tcPr>
            <w:tcW w:w="0" w:type="auto"/>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E411ADC" w14:textId="115B1D31" w:rsidR="0080493E" w:rsidRPr="00783FCF" w:rsidRDefault="0080493E" w:rsidP="00783FCF">
            <w:pPr>
              <w:jc w:val="center"/>
              <w:rPr>
                <w:rFonts w:asciiTheme="majorBidi" w:hAnsiTheme="majorBidi" w:cstheme="majorBidi"/>
              </w:rPr>
            </w:pPr>
            <w:r w:rsidRPr="00783FCF">
              <w:rPr>
                <w:rFonts w:asciiTheme="majorBidi" w:hAnsiTheme="majorBidi" w:cstheme="majorBidi"/>
              </w:rPr>
              <w:t>% Contribution</w:t>
            </w:r>
          </w:p>
        </w:tc>
        <w:tc>
          <w:tcPr>
            <w:tcW w:w="0" w:type="auto"/>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F6F608F" w14:textId="12ADF1C6" w:rsidR="0080493E" w:rsidRPr="00783FCF" w:rsidRDefault="0080493E" w:rsidP="00733C20">
            <w:pPr>
              <w:jc w:val="center"/>
              <w:rPr>
                <w:rFonts w:asciiTheme="majorBidi" w:hAnsiTheme="majorBidi" w:cstheme="majorBidi"/>
              </w:rPr>
            </w:pPr>
            <w:r>
              <w:rPr>
                <w:rFonts w:asciiTheme="majorBidi" w:hAnsiTheme="majorBidi" w:cstheme="majorBidi"/>
              </w:rPr>
              <w:t>Debt/Equity</w:t>
            </w:r>
          </w:p>
        </w:tc>
        <w:tc>
          <w:tcPr>
            <w:tcW w:w="895"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5432E180" w14:textId="74BA5EFC" w:rsidR="0080493E" w:rsidRPr="00783FCF" w:rsidRDefault="0080493E" w:rsidP="00733C20">
            <w:pPr>
              <w:jc w:val="center"/>
              <w:rPr>
                <w:rFonts w:asciiTheme="majorBidi" w:hAnsiTheme="majorBidi" w:cstheme="majorBidi"/>
              </w:rPr>
            </w:pPr>
            <w:r>
              <w:rPr>
                <w:rFonts w:asciiTheme="majorBidi" w:hAnsiTheme="majorBidi" w:cstheme="majorBidi"/>
              </w:rPr>
              <w:t>Tax rate</w:t>
            </w:r>
          </w:p>
        </w:tc>
      </w:tr>
      <w:tr w:rsidR="0080493E" w14:paraId="555F0294" w14:textId="3F01D73F" w:rsidTr="0080493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5AA809" w14:textId="73AC312F" w:rsidR="0080493E" w:rsidRPr="00783FCF" w:rsidRDefault="0080493E" w:rsidP="00783FCF">
            <w:pPr>
              <w:jc w:val="center"/>
              <w:rPr>
                <w:rFonts w:asciiTheme="majorBidi" w:hAnsiTheme="majorBidi" w:cstheme="majorBidi"/>
              </w:rPr>
            </w:pPr>
            <w:r w:rsidRPr="00783FCF">
              <w:rPr>
                <w:rFonts w:asciiTheme="majorBidi" w:hAnsiTheme="majorBidi" w:cstheme="majorBidi"/>
              </w:rPr>
              <w:t>Tristar Holdings Limited</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D3471" w14:textId="315A2332" w:rsidR="0080493E" w:rsidRPr="00783FCF" w:rsidRDefault="0080493E" w:rsidP="00783FCF">
            <w:pPr>
              <w:jc w:val="center"/>
              <w:rPr>
                <w:rFonts w:asciiTheme="majorBidi" w:hAnsiTheme="majorBidi" w:cstheme="majorBidi"/>
              </w:rPr>
            </w:pPr>
            <w:r w:rsidRPr="00783FCF">
              <w:rPr>
                <w:rFonts w:asciiTheme="majorBidi" w:hAnsiTheme="majorBidi" w:cstheme="majorBidi"/>
              </w:rPr>
              <w:t>Transportation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0019E5C" w14:textId="5C3AAC45" w:rsidR="0080493E" w:rsidRPr="00783FCF" w:rsidRDefault="0080493E" w:rsidP="00783FCF">
            <w:pPr>
              <w:jc w:val="center"/>
              <w:rPr>
                <w:rFonts w:asciiTheme="majorBidi" w:hAnsiTheme="majorBidi" w:cstheme="majorBidi"/>
              </w:rPr>
            </w:pPr>
            <w:r w:rsidRPr="00783FCF">
              <w:rPr>
                <w:rFonts w:asciiTheme="majorBidi" w:hAnsiTheme="majorBidi" w:cstheme="majorBidi"/>
              </w:rPr>
              <w:t>0.66</w:t>
            </w:r>
          </w:p>
        </w:tc>
        <w:tc>
          <w:tcPr>
            <w:tcW w:w="0" w:type="auto"/>
            <w:tcBorders>
              <w:top w:val="single" w:sz="4" w:space="0" w:color="auto"/>
              <w:left w:val="single" w:sz="4" w:space="0" w:color="auto"/>
              <w:bottom w:val="single" w:sz="4" w:space="0" w:color="auto"/>
              <w:right w:val="single" w:sz="4" w:space="0" w:color="auto"/>
            </w:tcBorders>
            <w:vAlign w:val="center"/>
            <w:hideMark/>
          </w:tcPr>
          <w:p w14:paraId="5924D197" w14:textId="7635CA81" w:rsidR="0080493E" w:rsidRPr="00783FCF" w:rsidRDefault="0080493E" w:rsidP="00783FCF">
            <w:pPr>
              <w:jc w:val="center"/>
              <w:rPr>
                <w:rFonts w:asciiTheme="majorBidi" w:hAnsiTheme="majorBidi" w:cstheme="majorBidi"/>
              </w:rPr>
            </w:pPr>
            <w:r w:rsidRPr="00783FCF">
              <w:rPr>
                <w:rFonts w:asciiTheme="majorBidi" w:hAnsiTheme="majorBidi" w:cstheme="majorBidi"/>
              </w:rPr>
              <w:t>KD 200,000,000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4896119" w14:textId="00146A21" w:rsidR="0080493E" w:rsidRPr="00783FCF" w:rsidRDefault="0080493E" w:rsidP="00783FCF">
            <w:pPr>
              <w:jc w:val="center"/>
              <w:rPr>
                <w:rFonts w:asciiTheme="majorBidi" w:hAnsiTheme="majorBidi" w:cstheme="majorBidi"/>
              </w:rPr>
            </w:pPr>
            <w:r w:rsidRPr="00783FCF">
              <w:rPr>
                <w:rFonts w:asciiTheme="majorBidi" w:hAnsiTheme="majorBidi" w:cstheme="majorBidi"/>
              </w:rPr>
              <w:t>~14.78%</w:t>
            </w:r>
          </w:p>
        </w:tc>
        <w:tc>
          <w:tcPr>
            <w:tcW w:w="0" w:type="auto"/>
            <w:tcBorders>
              <w:top w:val="single" w:sz="4" w:space="0" w:color="auto"/>
              <w:left w:val="single" w:sz="4" w:space="0" w:color="auto"/>
              <w:bottom w:val="single" w:sz="4" w:space="0" w:color="auto"/>
              <w:right w:val="single" w:sz="4" w:space="0" w:color="auto"/>
            </w:tcBorders>
            <w:vAlign w:val="center"/>
          </w:tcPr>
          <w:p w14:paraId="7C57932F" w14:textId="3F2DB986" w:rsidR="0080493E" w:rsidRPr="00783FCF" w:rsidRDefault="0080493E" w:rsidP="00733C20">
            <w:pPr>
              <w:jc w:val="center"/>
              <w:rPr>
                <w:rFonts w:asciiTheme="majorBidi" w:hAnsiTheme="majorBidi" w:cstheme="majorBidi"/>
              </w:rPr>
            </w:pPr>
            <w:r>
              <w:rPr>
                <w:rFonts w:asciiTheme="majorBidi" w:hAnsiTheme="majorBidi" w:cstheme="majorBidi"/>
              </w:rPr>
              <w:t>49.22%</w:t>
            </w:r>
          </w:p>
        </w:tc>
        <w:tc>
          <w:tcPr>
            <w:tcW w:w="895" w:type="dxa"/>
            <w:tcBorders>
              <w:top w:val="single" w:sz="4" w:space="0" w:color="auto"/>
              <w:left w:val="single" w:sz="4" w:space="0" w:color="auto"/>
              <w:bottom w:val="single" w:sz="4" w:space="0" w:color="auto"/>
              <w:right w:val="single" w:sz="4" w:space="0" w:color="auto"/>
            </w:tcBorders>
            <w:vAlign w:val="center"/>
          </w:tcPr>
          <w:p w14:paraId="44AB6D5E" w14:textId="78FF2EF5" w:rsidR="0080493E" w:rsidRPr="00783FCF" w:rsidRDefault="0080493E" w:rsidP="00733C20">
            <w:pPr>
              <w:jc w:val="center"/>
              <w:rPr>
                <w:rFonts w:asciiTheme="majorBidi" w:hAnsiTheme="majorBidi" w:cstheme="majorBidi"/>
              </w:rPr>
            </w:pPr>
            <w:r>
              <w:rPr>
                <w:rFonts w:asciiTheme="majorBidi" w:hAnsiTheme="majorBidi" w:cstheme="majorBidi"/>
              </w:rPr>
              <w:t>15.66%</w:t>
            </w:r>
          </w:p>
        </w:tc>
      </w:tr>
      <w:tr w:rsidR="0080493E" w14:paraId="18374B42" w14:textId="7F8F950C" w:rsidTr="0080493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8F2C367" w14:textId="474BF208" w:rsidR="0080493E" w:rsidRPr="00783FCF" w:rsidRDefault="0080493E" w:rsidP="00733C20">
            <w:pPr>
              <w:jc w:val="center"/>
              <w:rPr>
                <w:rFonts w:asciiTheme="majorBidi" w:hAnsiTheme="majorBidi" w:cstheme="majorBidi"/>
              </w:rPr>
            </w:pPr>
            <w:r w:rsidRPr="00783FCF">
              <w:rPr>
                <w:rFonts w:asciiTheme="majorBidi" w:hAnsiTheme="majorBidi" w:cstheme="majorBidi"/>
              </w:rPr>
              <w:t>Menzies Aviation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43F25E0" w14:textId="4A10A42B" w:rsidR="0080493E" w:rsidRPr="00783FCF" w:rsidRDefault="0080493E" w:rsidP="00733C20">
            <w:pPr>
              <w:jc w:val="center"/>
              <w:rPr>
                <w:rFonts w:asciiTheme="majorBidi" w:hAnsiTheme="majorBidi" w:cstheme="majorBidi"/>
              </w:rPr>
            </w:pPr>
            <w:r w:rsidRPr="00783FCF">
              <w:rPr>
                <w:rFonts w:asciiTheme="majorBidi" w:hAnsiTheme="majorBidi" w:cstheme="majorBidi"/>
              </w:rPr>
              <w:t>Transportation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59CEBF4" w14:textId="657A2787" w:rsidR="0080493E" w:rsidRPr="00783FCF" w:rsidRDefault="0080493E" w:rsidP="00733C20">
            <w:pPr>
              <w:jc w:val="center"/>
              <w:rPr>
                <w:rFonts w:asciiTheme="majorBidi" w:hAnsiTheme="majorBidi" w:cstheme="majorBidi"/>
              </w:rPr>
            </w:pPr>
            <w:r w:rsidRPr="00783FCF">
              <w:rPr>
                <w:rFonts w:asciiTheme="majorBidi" w:hAnsiTheme="majorBidi" w:cstheme="majorBidi"/>
              </w:rPr>
              <w:t>0.6</w:t>
            </w:r>
            <w:r>
              <w:rPr>
                <w:rFonts w:asciiTheme="majorBidi" w:hAnsiTheme="majorBidi" w:cstheme="majorBidi"/>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4014A07F" w14:textId="26A1452F" w:rsidR="0080493E" w:rsidRPr="00783FCF" w:rsidRDefault="0080493E" w:rsidP="00733C20">
            <w:pPr>
              <w:jc w:val="center"/>
              <w:rPr>
                <w:rFonts w:asciiTheme="majorBidi" w:hAnsiTheme="majorBidi" w:cstheme="majorBidi"/>
              </w:rPr>
            </w:pPr>
            <w:r w:rsidRPr="00783FCF">
              <w:rPr>
                <w:rFonts w:asciiTheme="majorBidi" w:hAnsiTheme="majorBidi" w:cstheme="majorBidi"/>
              </w:rPr>
              <w:t>KD 180,000,000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25DEC18" w14:textId="417F09F6" w:rsidR="0080493E" w:rsidRPr="00783FCF" w:rsidRDefault="0080493E" w:rsidP="00733C20">
            <w:pPr>
              <w:jc w:val="center"/>
              <w:rPr>
                <w:rFonts w:asciiTheme="majorBidi" w:hAnsiTheme="majorBidi" w:cstheme="majorBidi"/>
              </w:rPr>
            </w:pPr>
            <w:r w:rsidRPr="00783FCF">
              <w:rPr>
                <w:rFonts w:asciiTheme="majorBidi" w:hAnsiTheme="majorBidi" w:cstheme="majorBidi"/>
              </w:rPr>
              <w:t>~13.30%</w:t>
            </w:r>
          </w:p>
        </w:tc>
        <w:tc>
          <w:tcPr>
            <w:tcW w:w="0" w:type="auto"/>
            <w:tcBorders>
              <w:top w:val="single" w:sz="4" w:space="0" w:color="auto"/>
              <w:left w:val="single" w:sz="4" w:space="0" w:color="auto"/>
              <w:bottom w:val="single" w:sz="4" w:space="0" w:color="auto"/>
              <w:right w:val="single" w:sz="4" w:space="0" w:color="auto"/>
            </w:tcBorders>
            <w:vAlign w:val="center"/>
          </w:tcPr>
          <w:p w14:paraId="5EACF229" w14:textId="62474A66" w:rsidR="0080493E" w:rsidRPr="00783FCF" w:rsidRDefault="0080493E" w:rsidP="00733C20">
            <w:pPr>
              <w:jc w:val="center"/>
              <w:rPr>
                <w:rFonts w:asciiTheme="majorBidi" w:hAnsiTheme="majorBidi" w:cstheme="majorBidi"/>
              </w:rPr>
            </w:pPr>
            <w:r>
              <w:rPr>
                <w:rFonts w:asciiTheme="majorBidi" w:hAnsiTheme="majorBidi" w:cstheme="majorBidi"/>
              </w:rPr>
              <w:t>49.22%</w:t>
            </w:r>
          </w:p>
        </w:tc>
        <w:tc>
          <w:tcPr>
            <w:tcW w:w="895" w:type="dxa"/>
            <w:tcBorders>
              <w:top w:val="single" w:sz="4" w:space="0" w:color="auto"/>
              <w:left w:val="single" w:sz="4" w:space="0" w:color="auto"/>
              <w:bottom w:val="single" w:sz="4" w:space="0" w:color="auto"/>
              <w:right w:val="single" w:sz="4" w:space="0" w:color="auto"/>
            </w:tcBorders>
            <w:vAlign w:val="center"/>
          </w:tcPr>
          <w:p w14:paraId="4255EEC3" w14:textId="63FE098A" w:rsidR="0080493E" w:rsidRPr="00783FCF" w:rsidRDefault="0080493E" w:rsidP="00733C20">
            <w:pPr>
              <w:jc w:val="center"/>
              <w:rPr>
                <w:rFonts w:asciiTheme="majorBidi" w:hAnsiTheme="majorBidi" w:cstheme="majorBidi"/>
              </w:rPr>
            </w:pPr>
            <w:r>
              <w:rPr>
                <w:rFonts w:asciiTheme="majorBidi" w:hAnsiTheme="majorBidi" w:cstheme="majorBidi"/>
              </w:rPr>
              <w:t>15.66%</w:t>
            </w:r>
          </w:p>
        </w:tc>
      </w:tr>
      <w:tr w:rsidR="0080493E" w14:paraId="382DC52E" w14:textId="75B57CFD" w:rsidTr="0080493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C4EE43E" w14:textId="49751D27" w:rsidR="0080493E" w:rsidRPr="00783FCF" w:rsidRDefault="0080493E" w:rsidP="00733C20">
            <w:pPr>
              <w:jc w:val="center"/>
              <w:rPr>
                <w:rFonts w:asciiTheme="majorBidi" w:hAnsiTheme="majorBidi" w:cstheme="majorBidi"/>
              </w:rPr>
            </w:pPr>
            <w:r w:rsidRPr="00783FCF">
              <w:rPr>
                <w:rFonts w:asciiTheme="majorBidi" w:hAnsiTheme="majorBidi" w:cstheme="majorBidi"/>
              </w:rPr>
              <w:t>UPAC (United Projects for Aviation)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996DA05" w14:textId="35BA9E70" w:rsidR="0080493E" w:rsidRPr="00783FCF" w:rsidRDefault="0080493E" w:rsidP="00733C20">
            <w:pPr>
              <w:jc w:val="center"/>
              <w:rPr>
                <w:rFonts w:asciiTheme="majorBidi" w:hAnsiTheme="majorBidi" w:cstheme="majorBidi"/>
              </w:rPr>
            </w:pPr>
            <w:r w:rsidRPr="00783FCF">
              <w:rPr>
                <w:rFonts w:asciiTheme="majorBidi" w:hAnsiTheme="majorBidi" w:cstheme="majorBidi"/>
              </w:rPr>
              <w:t>Real Estate (Development)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B36ADD5" w14:textId="331734F9" w:rsidR="0080493E" w:rsidRPr="00783FCF" w:rsidRDefault="0080493E" w:rsidP="00733C20">
            <w:pPr>
              <w:jc w:val="center"/>
              <w:rPr>
                <w:rFonts w:asciiTheme="majorBidi" w:hAnsiTheme="majorBidi" w:cstheme="majorBidi"/>
              </w:rPr>
            </w:pPr>
            <w:r w:rsidRPr="00783FCF">
              <w:rPr>
                <w:rFonts w:asciiTheme="majorBidi" w:hAnsiTheme="majorBidi" w:cstheme="majorBidi"/>
              </w:rPr>
              <w:t>0.31</w:t>
            </w:r>
          </w:p>
        </w:tc>
        <w:tc>
          <w:tcPr>
            <w:tcW w:w="0" w:type="auto"/>
            <w:tcBorders>
              <w:top w:val="single" w:sz="4" w:space="0" w:color="auto"/>
              <w:left w:val="single" w:sz="4" w:space="0" w:color="auto"/>
              <w:bottom w:val="single" w:sz="4" w:space="0" w:color="auto"/>
              <w:right w:val="single" w:sz="4" w:space="0" w:color="auto"/>
            </w:tcBorders>
            <w:vAlign w:val="center"/>
            <w:hideMark/>
          </w:tcPr>
          <w:p w14:paraId="0BB7B12E" w14:textId="7A543DD4" w:rsidR="0080493E" w:rsidRPr="00783FCF" w:rsidRDefault="0080493E" w:rsidP="00733C20">
            <w:pPr>
              <w:jc w:val="center"/>
              <w:rPr>
                <w:rFonts w:asciiTheme="majorBidi" w:hAnsiTheme="majorBidi" w:cstheme="majorBidi"/>
              </w:rPr>
            </w:pPr>
            <w:r w:rsidRPr="00783FCF">
              <w:rPr>
                <w:rFonts w:asciiTheme="majorBidi" w:hAnsiTheme="majorBidi" w:cstheme="majorBidi"/>
              </w:rPr>
              <w:t>KD 120,000,000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2114DB4C" w14:textId="5EB5783F" w:rsidR="0080493E" w:rsidRPr="00783FCF" w:rsidRDefault="0080493E" w:rsidP="00733C20">
            <w:pPr>
              <w:jc w:val="center"/>
              <w:rPr>
                <w:rFonts w:asciiTheme="majorBidi" w:hAnsiTheme="majorBidi" w:cstheme="majorBidi"/>
              </w:rPr>
            </w:pPr>
            <w:r w:rsidRPr="00783FCF">
              <w:rPr>
                <w:rFonts w:asciiTheme="majorBidi" w:hAnsiTheme="majorBidi" w:cstheme="majorBidi"/>
              </w:rPr>
              <w:t>~8.87%</w:t>
            </w:r>
          </w:p>
        </w:tc>
        <w:tc>
          <w:tcPr>
            <w:tcW w:w="0" w:type="auto"/>
            <w:tcBorders>
              <w:top w:val="single" w:sz="4" w:space="0" w:color="auto"/>
              <w:left w:val="single" w:sz="4" w:space="0" w:color="auto"/>
              <w:bottom w:val="single" w:sz="4" w:space="0" w:color="auto"/>
              <w:right w:val="single" w:sz="4" w:space="0" w:color="auto"/>
            </w:tcBorders>
            <w:vAlign w:val="center"/>
          </w:tcPr>
          <w:p w14:paraId="58E33BAE" w14:textId="354C76CD" w:rsidR="0080493E" w:rsidRPr="00783FCF" w:rsidRDefault="0080493E" w:rsidP="00733C20">
            <w:pPr>
              <w:jc w:val="center"/>
              <w:rPr>
                <w:rFonts w:asciiTheme="majorBidi" w:hAnsiTheme="majorBidi" w:cstheme="majorBidi"/>
              </w:rPr>
            </w:pPr>
            <w:r>
              <w:rPr>
                <w:rFonts w:asciiTheme="majorBidi" w:hAnsiTheme="majorBidi" w:cstheme="majorBidi"/>
              </w:rPr>
              <w:t>248.91%</w:t>
            </w:r>
          </w:p>
        </w:tc>
        <w:tc>
          <w:tcPr>
            <w:tcW w:w="895" w:type="dxa"/>
            <w:tcBorders>
              <w:top w:val="single" w:sz="4" w:space="0" w:color="auto"/>
              <w:left w:val="single" w:sz="4" w:space="0" w:color="auto"/>
              <w:bottom w:val="single" w:sz="4" w:space="0" w:color="auto"/>
              <w:right w:val="single" w:sz="4" w:space="0" w:color="auto"/>
            </w:tcBorders>
            <w:vAlign w:val="center"/>
          </w:tcPr>
          <w:p w14:paraId="4E88E10F" w14:textId="11459847" w:rsidR="0080493E" w:rsidRPr="00783FCF" w:rsidRDefault="0080493E" w:rsidP="00733C20">
            <w:pPr>
              <w:jc w:val="center"/>
              <w:rPr>
                <w:rFonts w:asciiTheme="majorBidi" w:hAnsiTheme="majorBidi" w:cstheme="majorBidi"/>
              </w:rPr>
            </w:pPr>
            <w:r>
              <w:rPr>
                <w:rFonts w:asciiTheme="majorBidi" w:hAnsiTheme="majorBidi" w:cstheme="majorBidi"/>
              </w:rPr>
              <w:t>14.39%</w:t>
            </w:r>
          </w:p>
        </w:tc>
      </w:tr>
      <w:tr w:rsidR="0080493E" w14:paraId="174BA092" w14:textId="742ECCB2" w:rsidTr="0080493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EF255FE" w14:textId="20DA9987" w:rsidR="0080493E" w:rsidRPr="00783FCF" w:rsidRDefault="0080493E" w:rsidP="00733C20">
            <w:pPr>
              <w:jc w:val="center"/>
              <w:rPr>
                <w:rFonts w:asciiTheme="majorBidi" w:hAnsiTheme="majorBidi" w:cstheme="majorBidi"/>
              </w:rPr>
            </w:pPr>
            <w:r w:rsidRPr="00783FCF">
              <w:rPr>
                <w:rFonts w:asciiTheme="majorBidi" w:hAnsiTheme="majorBidi" w:cstheme="majorBidi"/>
              </w:rPr>
              <w:t>Agility DGS Logistics Services Company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D9DAC6" w14:textId="1F905154" w:rsidR="0080493E" w:rsidRPr="00783FCF" w:rsidRDefault="0080493E" w:rsidP="00733C20">
            <w:pPr>
              <w:jc w:val="center"/>
              <w:rPr>
                <w:rFonts w:asciiTheme="majorBidi" w:hAnsiTheme="majorBidi" w:cstheme="majorBidi"/>
              </w:rPr>
            </w:pPr>
            <w:r w:rsidRPr="00783FCF">
              <w:rPr>
                <w:rFonts w:asciiTheme="majorBidi" w:hAnsiTheme="majorBidi" w:cstheme="majorBidi"/>
              </w:rPr>
              <w:t>Transportation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DAAAE2D" w14:textId="7A969A70" w:rsidR="0080493E" w:rsidRPr="00783FCF" w:rsidRDefault="0080493E" w:rsidP="00733C20">
            <w:pPr>
              <w:jc w:val="center"/>
              <w:rPr>
                <w:rFonts w:asciiTheme="majorBidi" w:hAnsiTheme="majorBidi" w:cstheme="majorBidi"/>
              </w:rPr>
            </w:pPr>
            <w:r w:rsidRPr="00783FCF">
              <w:rPr>
                <w:rFonts w:asciiTheme="majorBidi" w:hAnsiTheme="majorBidi" w:cstheme="majorBidi"/>
              </w:rPr>
              <w:t>0.66</w:t>
            </w:r>
          </w:p>
        </w:tc>
        <w:tc>
          <w:tcPr>
            <w:tcW w:w="0" w:type="auto"/>
            <w:tcBorders>
              <w:top w:val="single" w:sz="4" w:space="0" w:color="auto"/>
              <w:left w:val="single" w:sz="4" w:space="0" w:color="auto"/>
              <w:bottom w:val="single" w:sz="4" w:space="0" w:color="auto"/>
              <w:right w:val="single" w:sz="4" w:space="0" w:color="auto"/>
            </w:tcBorders>
            <w:vAlign w:val="center"/>
            <w:hideMark/>
          </w:tcPr>
          <w:p w14:paraId="77E8E2CA" w14:textId="35B01970" w:rsidR="0080493E" w:rsidRPr="00783FCF" w:rsidRDefault="0080493E" w:rsidP="00733C20">
            <w:pPr>
              <w:jc w:val="center"/>
              <w:rPr>
                <w:rFonts w:asciiTheme="majorBidi" w:hAnsiTheme="majorBidi" w:cstheme="majorBidi"/>
              </w:rPr>
            </w:pPr>
            <w:r w:rsidRPr="00783FCF">
              <w:rPr>
                <w:rFonts w:asciiTheme="majorBidi" w:hAnsiTheme="majorBidi" w:cstheme="majorBidi"/>
              </w:rPr>
              <w:t>KD 150,000,000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3C51558C" w14:textId="2CC8FAC9" w:rsidR="0080493E" w:rsidRPr="00783FCF" w:rsidRDefault="0080493E" w:rsidP="00733C20">
            <w:pPr>
              <w:jc w:val="center"/>
              <w:rPr>
                <w:rFonts w:asciiTheme="majorBidi" w:hAnsiTheme="majorBidi" w:cstheme="majorBidi"/>
              </w:rPr>
            </w:pPr>
            <w:r w:rsidRPr="00783FCF">
              <w:rPr>
                <w:rFonts w:asciiTheme="majorBidi" w:hAnsiTheme="majorBidi" w:cstheme="majorBidi"/>
              </w:rPr>
              <w:t>~11.08%</w:t>
            </w:r>
          </w:p>
        </w:tc>
        <w:tc>
          <w:tcPr>
            <w:tcW w:w="0" w:type="auto"/>
            <w:tcBorders>
              <w:top w:val="single" w:sz="4" w:space="0" w:color="auto"/>
              <w:left w:val="single" w:sz="4" w:space="0" w:color="auto"/>
              <w:bottom w:val="single" w:sz="4" w:space="0" w:color="auto"/>
              <w:right w:val="single" w:sz="4" w:space="0" w:color="auto"/>
            </w:tcBorders>
            <w:vAlign w:val="center"/>
          </w:tcPr>
          <w:p w14:paraId="508D1993" w14:textId="299B1C30" w:rsidR="0080493E" w:rsidRPr="00783FCF" w:rsidRDefault="0080493E" w:rsidP="00733C20">
            <w:pPr>
              <w:jc w:val="center"/>
              <w:rPr>
                <w:rFonts w:asciiTheme="majorBidi" w:hAnsiTheme="majorBidi" w:cstheme="majorBidi"/>
              </w:rPr>
            </w:pPr>
            <w:r>
              <w:rPr>
                <w:rFonts w:asciiTheme="majorBidi" w:hAnsiTheme="majorBidi" w:cstheme="majorBidi"/>
              </w:rPr>
              <w:t>49.22%</w:t>
            </w:r>
          </w:p>
        </w:tc>
        <w:tc>
          <w:tcPr>
            <w:tcW w:w="895" w:type="dxa"/>
            <w:tcBorders>
              <w:top w:val="single" w:sz="4" w:space="0" w:color="auto"/>
              <w:left w:val="single" w:sz="4" w:space="0" w:color="auto"/>
              <w:bottom w:val="single" w:sz="4" w:space="0" w:color="auto"/>
              <w:right w:val="single" w:sz="4" w:space="0" w:color="auto"/>
            </w:tcBorders>
            <w:vAlign w:val="center"/>
          </w:tcPr>
          <w:p w14:paraId="426FB71C" w14:textId="3E952080" w:rsidR="0080493E" w:rsidRPr="00783FCF" w:rsidRDefault="0080493E" w:rsidP="00733C20">
            <w:pPr>
              <w:jc w:val="center"/>
              <w:rPr>
                <w:rFonts w:asciiTheme="majorBidi" w:hAnsiTheme="majorBidi" w:cstheme="majorBidi"/>
              </w:rPr>
            </w:pPr>
            <w:r>
              <w:rPr>
                <w:rFonts w:asciiTheme="majorBidi" w:hAnsiTheme="majorBidi" w:cstheme="majorBidi"/>
              </w:rPr>
              <w:t>15.66%</w:t>
            </w:r>
          </w:p>
        </w:tc>
      </w:tr>
      <w:tr w:rsidR="0080493E" w14:paraId="6AFF6B0A" w14:textId="52D07D1F" w:rsidTr="0080493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B5BCA2B" w14:textId="66A29D83" w:rsidR="0080493E" w:rsidRPr="00783FCF" w:rsidRDefault="0080493E" w:rsidP="00733C20">
            <w:pPr>
              <w:jc w:val="center"/>
              <w:rPr>
                <w:rFonts w:asciiTheme="majorBidi" w:hAnsiTheme="majorBidi" w:cstheme="majorBidi"/>
              </w:rPr>
            </w:pPr>
            <w:r w:rsidRPr="00783FCF">
              <w:rPr>
                <w:rFonts w:asciiTheme="majorBidi" w:hAnsiTheme="majorBidi" w:cstheme="majorBidi"/>
              </w:rPr>
              <w:t>NAS Holding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B67B841" w14:textId="76FD70CA" w:rsidR="0080493E" w:rsidRPr="00783FCF" w:rsidRDefault="0080493E" w:rsidP="00733C20">
            <w:pPr>
              <w:jc w:val="center"/>
              <w:rPr>
                <w:rFonts w:asciiTheme="majorBidi" w:hAnsiTheme="majorBidi" w:cstheme="majorBidi"/>
              </w:rPr>
            </w:pPr>
            <w:r w:rsidRPr="00783FCF">
              <w:rPr>
                <w:rFonts w:asciiTheme="majorBidi" w:hAnsiTheme="majorBidi" w:cstheme="majorBidi"/>
              </w:rPr>
              <w:t>Transportation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51446EA" w14:textId="7AF4F935" w:rsidR="0080493E" w:rsidRPr="00783FCF" w:rsidRDefault="0080493E" w:rsidP="00733C20">
            <w:pPr>
              <w:jc w:val="center"/>
              <w:rPr>
                <w:rFonts w:asciiTheme="majorBidi" w:hAnsiTheme="majorBidi" w:cstheme="majorBidi"/>
              </w:rPr>
            </w:pPr>
            <w:r w:rsidRPr="00783FCF">
              <w:rPr>
                <w:rFonts w:asciiTheme="majorBidi" w:hAnsiTheme="majorBidi" w:cstheme="majorBidi"/>
              </w:rPr>
              <w:t>0.66</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16CC8" w14:textId="38EBFC6D" w:rsidR="0080493E" w:rsidRPr="00783FCF" w:rsidRDefault="0080493E" w:rsidP="00733C20">
            <w:pPr>
              <w:jc w:val="center"/>
              <w:rPr>
                <w:rFonts w:asciiTheme="majorBidi" w:hAnsiTheme="majorBidi" w:cstheme="majorBidi"/>
              </w:rPr>
            </w:pPr>
            <w:r w:rsidRPr="00783FCF">
              <w:rPr>
                <w:rFonts w:asciiTheme="majorBidi" w:hAnsiTheme="majorBidi" w:cstheme="majorBidi"/>
              </w:rPr>
              <w:t>KD 140,000,000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39E6EC2E" w14:textId="379C2E25" w:rsidR="0080493E" w:rsidRPr="00783FCF" w:rsidRDefault="0080493E" w:rsidP="00733C20">
            <w:pPr>
              <w:jc w:val="center"/>
              <w:rPr>
                <w:rFonts w:asciiTheme="majorBidi" w:hAnsiTheme="majorBidi" w:cstheme="majorBidi"/>
              </w:rPr>
            </w:pPr>
            <w:r w:rsidRPr="00783FCF">
              <w:rPr>
                <w:rFonts w:asciiTheme="majorBidi" w:hAnsiTheme="majorBidi" w:cstheme="majorBidi"/>
              </w:rPr>
              <w:t>~10.34%</w:t>
            </w:r>
          </w:p>
        </w:tc>
        <w:tc>
          <w:tcPr>
            <w:tcW w:w="0" w:type="auto"/>
            <w:tcBorders>
              <w:top w:val="single" w:sz="4" w:space="0" w:color="auto"/>
              <w:left w:val="single" w:sz="4" w:space="0" w:color="auto"/>
              <w:bottom w:val="single" w:sz="4" w:space="0" w:color="auto"/>
              <w:right w:val="single" w:sz="4" w:space="0" w:color="auto"/>
            </w:tcBorders>
            <w:vAlign w:val="center"/>
          </w:tcPr>
          <w:p w14:paraId="38EEF175" w14:textId="2BDA3F6E" w:rsidR="0080493E" w:rsidRPr="00783FCF" w:rsidRDefault="0080493E" w:rsidP="00733C20">
            <w:pPr>
              <w:jc w:val="center"/>
              <w:rPr>
                <w:rFonts w:asciiTheme="majorBidi" w:hAnsiTheme="majorBidi" w:cstheme="majorBidi"/>
              </w:rPr>
            </w:pPr>
            <w:r>
              <w:rPr>
                <w:rFonts w:asciiTheme="majorBidi" w:hAnsiTheme="majorBidi" w:cstheme="majorBidi"/>
              </w:rPr>
              <w:t>49.22%</w:t>
            </w:r>
          </w:p>
        </w:tc>
        <w:tc>
          <w:tcPr>
            <w:tcW w:w="895" w:type="dxa"/>
            <w:tcBorders>
              <w:top w:val="single" w:sz="4" w:space="0" w:color="auto"/>
              <w:left w:val="single" w:sz="4" w:space="0" w:color="auto"/>
              <w:bottom w:val="single" w:sz="4" w:space="0" w:color="auto"/>
              <w:right w:val="single" w:sz="4" w:space="0" w:color="auto"/>
            </w:tcBorders>
            <w:vAlign w:val="center"/>
          </w:tcPr>
          <w:p w14:paraId="235CE0D6" w14:textId="0ED59C94" w:rsidR="0080493E" w:rsidRPr="00783FCF" w:rsidRDefault="0080493E" w:rsidP="00733C20">
            <w:pPr>
              <w:jc w:val="center"/>
              <w:rPr>
                <w:rFonts w:asciiTheme="majorBidi" w:hAnsiTheme="majorBidi" w:cstheme="majorBidi"/>
              </w:rPr>
            </w:pPr>
            <w:r>
              <w:rPr>
                <w:rFonts w:asciiTheme="majorBidi" w:hAnsiTheme="majorBidi" w:cstheme="majorBidi"/>
              </w:rPr>
              <w:t>15.66%</w:t>
            </w:r>
          </w:p>
        </w:tc>
      </w:tr>
      <w:tr w:rsidR="0080493E" w14:paraId="1702BB11" w14:textId="3D2A2BAA" w:rsidTr="0080493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3BA3FAA" w14:textId="7523CD48" w:rsidR="0080493E" w:rsidRPr="00783FCF" w:rsidRDefault="0080493E" w:rsidP="00733C20">
            <w:pPr>
              <w:jc w:val="center"/>
              <w:rPr>
                <w:rFonts w:asciiTheme="majorBidi" w:hAnsiTheme="majorBidi" w:cstheme="majorBidi"/>
              </w:rPr>
            </w:pPr>
            <w:r w:rsidRPr="00783FCF">
              <w:rPr>
                <w:rFonts w:asciiTheme="majorBidi" w:hAnsiTheme="majorBidi" w:cstheme="majorBidi"/>
              </w:rPr>
              <w:t>Gulf Catering Company</w:t>
            </w:r>
          </w:p>
        </w:tc>
        <w:tc>
          <w:tcPr>
            <w:tcW w:w="0" w:type="auto"/>
            <w:tcBorders>
              <w:top w:val="single" w:sz="4" w:space="0" w:color="auto"/>
              <w:left w:val="single" w:sz="4" w:space="0" w:color="auto"/>
              <w:bottom w:val="single" w:sz="4" w:space="0" w:color="auto"/>
              <w:right w:val="single" w:sz="4" w:space="0" w:color="auto"/>
            </w:tcBorders>
            <w:vAlign w:val="center"/>
            <w:hideMark/>
          </w:tcPr>
          <w:p w14:paraId="7B293F49" w14:textId="5A53B967" w:rsidR="0080493E" w:rsidRPr="00783FCF" w:rsidRDefault="0080493E" w:rsidP="00733C20">
            <w:pPr>
              <w:jc w:val="center"/>
              <w:rPr>
                <w:rFonts w:asciiTheme="majorBidi" w:hAnsiTheme="majorBidi" w:cstheme="majorBidi"/>
              </w:rPr>
            </w:pPr>
            <w:r w:rsidRPr="00783FCF">
              <w:rPr>
                <w:rFonts w:asciiTheme="majorBidi" w:hAnsiTheme="majorBidi" w:cstheme="majorBidi"/>
              </w:rPr>
              <w:t>Restaurant/Dining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86DCE40" w14:textId="69E63740" w:rsidR="0080493E" w:rsidRPr="00783FCF" w:rsidRDefault="0080493E" w:rsidP="00733C20">
            <w:pPr>
              <w:jc w:val="center"/>
              <w:rPr>
                <w:rFonts w:asciiTheme="majorBidi" w:hAnsiTheme="majorBidi" w:cstheme="majorBidi"/>
              </w:rPr>
            </w:pPr>
            <w:r w:rsidRPr="00783FCF">
              <w:rPr>
                <w:rFonts w:asciiTheme="majorBidi" w:hAnsiTheme="majorBidi" w:cstheme="majorBidi"/>
              </w:rPr>
              <w:t>0.79</w:t>
            </w:r>
          </w:p>
        </w:tc>
        <w:tc>
          <w:tcPr>
            <w:tcW w:w="0" w:type="auto"/>
            <w:tcBorders>
              <w:top w:val="single" w:sz="4" w:space="0" w:color="auto"/>
              <w:left w:val="single" w:sz="4" w:space="0" w:color="auto"/>
              <w:bottom w:val="single" w:sz="4" w:space="0" w:color="auto"/>
              <w:right w:val="single" w:sz="4" w:space="0" w:color="auto"/>
            </w:tcBorders>
            <w:vAlign w:val="center"/>
            <w:hideMark/>
          </w:tcPr>
          <w:p w14:paraId="278E5B79" w14:textId="6E47E9C8" w:rsidR="0080493E" w:rsidRPr="00783FCF" w:rsidRDefault="0080493E" w:rsidP="00733C20">
            <w:pPr>
              <w:jc w:val="center"/>
              <w:rPr>
                <w:rFonts w:asciiTheme="majorBidi" w:hAnsiTheme="majorBidi" w:cstheme="majorBidi"/>
              </w:rPr>
            </w:pPr>
            <w:r w:rsidRPr="00783FCF">
              <w:rPr>
                <w:rFonts w:asciiTheme="majorBidi" w:hAnsiTheme="majorBidi" w:cstheme="majorBidi"/>
              </w:rPr>
              <w:t>KD 80,000,000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1B57EBEE" w14:textId="5C463300" w:rsidR="0080493E" w:rsidRPr="00783FCF" w:rsidRDefault="0080493E" w:rsidP="00733C20">
            <w:pPr>
              <w:jc w:val="center"/>
              <w:rPr>
                <w:rFonts w:asciiTheme="majorBidi" w:hAnsiTheme="majorBidi" w:cstheme="majorBidi"/>
              </w:rPr>
            </w:pPr>
            <w:r w:rsidRPr="00783FCF">
              <w:rPr>
                <w:rFonts w:asciiTheme="majorBidi" w:hAnsiTheme="majorBidi" w:cstheme="majorBidi"/>
              </w:rPr>
              <w:t>~5.91%</w:t>
            </w:r>
          </w:p>
        </w:tc>
        <w:tc>
          <w:tcPr>
            <w:tcW w:w="0" w:type="auto"/>
            <w:tcBorders>
              <w:top w:val="single" w:sz="4" w:space="0" w:color="auto"/>
              <w:left w:val="single" w:sz="4" w:space="0" w:color="auto"/>
              <w:bottom w:val="single" w:sz="4" w:space="0" w:color="auto"/>
              <w:right w:val="single" w:sz="4" w:space="0" w:color="auto"/>
            </w:tcBorders>
            <w:vAlign w:val="center"/>
          </w:tcPr>
          <w:p w14:paraId="63152AAE" w14:textId="088A10BA" w:rsidR="0080493E" w:rsidRPr="00783FCF" w:rsidRDefault="0080493E" w:rsidP="00733C20">
            <w:pPr>
              <w:jc w:val="center"/>
              <w:rPr>
                <w:rFonts w:asciiTheme="majorBidi" w:hAnsiTheme="majorBidi" w:cstheme="majorBidi"/>
              </w:rPr>
            </w:pPr>
            <w:r>
              <w:rPr>
                <w:rFonts w:asciiTheme="majorBidi" w:hAnsiTheme="majorBidi" w:cstheme="majorBidi"/>
              </w:rPr>
              <w:t>27.34%</w:t>
            </w:r>
          </w:p>
        </w:tc>
        <w:tc>
          <w:tcPr>
            <w:tcW w:w="895" w:type="dxa"/>
            <w:tcBorders>
              <w:top w:val="single" w:sz="4" w:space="0" w:color="auto"/>
              <w:left w:val="single" w:sz="4" w:space="0" w:color="auto"/>
              <w:bottom w:val="single" w:sz="4" w:space="0" w:color="auto"/>
              <w:right w:val="single" w:sz="4" w:space="0" w:color="auto"/>
            </w:tcBorders>
            <w:vAlign w:val="center"/>
          </w:tcPr>
          <w:p w14:paraId="15D9DBE5" w14:textId="33E4A166" w:rsidR="0080493E" w:rsidRPr="00783FCF" w:rsidRDefault="0080493E" w:rsidP="00733C20">
            <w:pPr>
              <w:jc w:val="center"/>
              <w:rPr>
                <w:rFonts w:asciiTheme="majorBidi" w:hAnsiTheme="majorBidi" w:cstheme="majorBidi"/>
              </w:rPr>
            </w:pPr>
            <w:r>
              <w:rPr>
                <w:rFonts w:asciiTheme="majorBidi" w:hAnsiTheme="majorBidi" w:cstheme="majorBidi"/>
              </w:rPr>
              <w:t>13.82%</w:t>
            </w:r>
          </w:p>
        </w:tc>
      </w:tr>
      <w:tr w:rsidR="0080493E" w14:paraId="0843B7E6" w14:textId="61D5B070" w:rsidTr="0080493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ECF3817" w14:textId="2AF84819" w:rsidR="0080493E" w:rsidRPr="00783FCF" w:rsidRDefault="0080493E" w:rsidP="00733C20">
            <w:pPr>
              <w:jc w:val="center"/>
              <w:rPr>
                <w:rFonts w:asciiTheme="majorBidi" w:hAnsiTheme="majorBidi" w:cstheme="majorBidi"/>
              </w:rPr>
            </w:pPr>
            <w:r w:rsidRPr="00783FCF">
              <w:rPr>
                <w:rFonts w:asciiTheme="majorBidi" w:hAnsiTheme="majorBidi" w:cstheme="majorBidi"/>
              </w:rPr>
              <w:t>MRC (Metal &amp; Recycling Company)</w:t>
            </w:r>
          </w:p>
        </w:tc>
        <w:tc>
          <w:tcPr>
            <w:tcW w:w="0" w:type="auto"/>
            <w:tcBorders>
              <w:top w:val="single" w:sz="4" w:space="0" w:color="auto"/>
              <w:left w:val="single" w:sz="4" w:space="0" w:color="auto"/>
              <w:bottom w:val="single" w:sz="4" w:space="0" w:color="auto"/>
              <w:right w:val="single" w:sz="4" w:space="0" w:color="auto"/>
            </w:tcBorders>
            <w:vAlign w:val="center"/>
            <w:hideMark/>
          </w:tcPr>
          <w:p w14:paraId="4EA7BE0B" w14:textId="37D9E5D5" w:rsidR="0080493E" w:rsidRPr="00783FCF" w:rsidRDefault="0080493E" w:rsidP="00733C20">
            <w:pPr>
              <w:jc w:val="center"/>
              <w:rPr>
                <w:rFonts w:asciiTheme="majorBidi" w:hAnsiTheme="majorBidi" w:cstheme="majorBidi"/>
              </w:rPr>
            </w:pPr>
            <w:r w:rsidRPr="00783FCF">
              <w:rPr>
                <w:rFonts w:asciiTheme="majorBidi" w:hAnsiTheme="majorBidi" w:cstheme="majorBidi"/>
              </w:rPr>
              <w:t>Environmental &amp; Waste Services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4329739" w14:textId="31B1400B" w:rsidR="0080493E" w:rsidRPr="00783FCF" w:rsidRDefault="0080493E" w:rsidP="00733C20">
            <w:pPr>
              <w:jc w:val="center"/>
              <w:rPr>
                <w:rFonts w:asciiTheme="majorBidi" w:hAnsiTheme="majorBidi" w:cstheme="majorBidi"/>
              </w:rPr>
            </w:pPr>
            <w:r w:rsidRPr="00783FCF">
              <w:rPr>
                <w:rFonts w:asciiTheme="majorBidi" w:hAnsiTheme="majorBidi" w:cstheme="majorBidi"/>
              </w:rPr>
              <w:t>0.77</w:t>
            </w:r>
          </w:p>
        </w:tc>
        <w:tc>
          <w:tcPr>
            <w:tcW w:w="0" w:type="auto"/>
            <w:tcBorders>
              <w:top w:val="single" w:sz="4" w:space="0" w:color="auto"/>
              <w:left w:val="single" w:sz="4" w:space="0" w:color="auto"/>
              <w:bottom w:val="single" w:sz="4" w:space="0" w:color="auto"/>
              <w:right w:val="single" w:sz="4" w:space="0" w:color="auto"/>
            </w:tcBorders>
            <w:vAlign w:val="center"/>
            <w:hideMark/>
          </w:tcPr>
          <w:p w14:paraId="73E01668" w14:textId="3696A7D6" w:rsidR="0080493E" w:rsidRPr="00783FCF" w:rsidRDefault="0080493E" w:rsidP="00733C20">
            <w:pPr>
              <w:jc w:val="center"/>
              <w:rPr>
                <w:rFonts w:asciiTheme="majorBidi" w:hAnsiTheme="majorBidi" w:cstheme="majorBidi"/>
              </w:rPr>
            </w:pPr>
            <w:r w:rsidRPr="00783FCF">
              <w:rPr>
                <w:rFonts w:asciiTheme="majorBidi" w:hAnsiTheme="majorBidi" w:cstheme="majorBidi"/>
              </w:rPr>
              <w:t>KD 90,000,000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6C89687" w14:textId="54E7986B" w:rsidR="0080493E" w:rsidRPr="00783FCF" w:rsidRDefault="0080493E" w:rsidP="00733C20">
            <w:pPr>
              <w:jc w:val="center"/>
              <w:rPr>
                <w:rFonts w:asciiTheme="majorBidi" w:hAnsiTheme="majorBidi" w:cstheme="majorBidi"/>
              </w:rPr>
            </w:pPr>
            <w:r w:rsidRPr="00783FCF">
              <w:rPr>
                <w:rFonts w:asciiTheme="majorBidi" w:hAnsiTheme="majorBidi" w:cstheme="majorBidi"/>
              </w:rPr>
              <w:t>~6.65%</w:t>
            </w:r>
          </w:p>
        </w:tc>
        <w:tc>
          <w:tcPr>
            <w:tcW w:w="0" w:type="auto"/>
            <w:tcBorders>
              <w:top w:val="single" w:sz="4" w:space="0" w:color="auto"/>
              <w:left w:val="single" w:sz="4" w:space="0" w:color="auto"/>
              <w:bottom w:val="single" w:sz="4" w:space="0" w:color="auto"/>
              <w:right w:val="single" w:sz="4" w:space="0" w:color="auto"/>
            </w:tcBorders>
            <w:vAlign w:val="center"/>
          </w:tcPr>
          <w:p w14:paraId="051FC7F0" w14:textId="4CF19245" w:rsidR="0080493E" w:rsidRPr="00783FCF" w:rsidRDefault="0080493E" w:rsidP="00733C20">
            <w:pPr>
              <w:jc w:val="center"/>
              <w:rPr>
                <w:rFonts w:asciiTheme="majorBidi" w:hAnsiTheme="majorBidi" w:cstheme="majorBidi"/>
              </w:rPr>
            </w:pPr>
            <w:r>
              <w:rPr>
                <w:rFonts w:asciiTheme="majorBidi" w:hAnsiTheme="majorBidi" w:cstheme="majorBidi"/>
              </w:rPr>
              <w:t>35.01%</w:t>
            </w:r>
          </w:p>
        </w:tc>
        <w:tc>
          <w:tcPr>
            <w:tcW w:w="895" w:type="dxa"/>
            <w:tcBorders>
              <w:top w:val="single" w:sz="4" w:space="0" w:color="auto"/>
              <w:left w:val="single" w:sz="4" w:space="0" w:color="auto"/>
              <w:bottom w:val="single" w:sz="4" w:space="0" w:color="auto"/>
              <w:right w:val="single" w:sz="4" w:space="0" w:color="auto"/>
            </w:tcBorders>
            <w:vAlign w:val="center"/>
          </w:tcPr>
          <w:p w14:paraId="5DDEA721" w14:textId="393D867A" w:rsidR="0080493E" w:rsidRPr="00783FCF" w:rsidRDefault="0080493E" w:rsidP="00733C20">
            <w:pPr>
              <w:jc w:val="center"/>
              <w:rPr>
                <w:rFonts w:asciiTheme="majorBidi" w:hAnsiTheme="majorBidi" w:cstheme="majorBidi"/>
              </w:rPr>
            </w:pPr>
            <w:r>
              <w:rPr>
                <w:rFonts w:asciiTheme="majorBidi" w:hAnsiTheme="majorBidi" w:cstheme="majorBidi"/>
              </w:rPr>
              <w:t>13.22%</w:t>
            </w:r>
          </w:p>
        </w:tc>
      </w:tr>
      <w:tr w:rsidR="0080493E" w14:paraId="171187D3" w14:textId="41BE9327" w:rsidTr="0080493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8F2B9F7" w14:textId="4E54265A" w:rsidR="0080493E" w:rsidRPr="00783FCF" w:rsidRDefault="0080493E" w:rsidP="00733C20">
            <w:pPr>
              <w:jc w:val="center"/>
              <w:rPr>
                <w:rFonts w:asciiTheme="majorBidi" w:hAnsiTheme="majorBidi" w:cstheme="majorBidi"/>
              </w:rPr>
            </w:pPr>
            <w:r w:rsidRPr="00783FCF">
              <w:rPr>
                <w:rFonts w:asciiTheme="majorBidi" w:hAnsiTheme="majorBidi" w:cstheme="majorBidi"/>
              </w:rPr>
              <w:t>Agility Global PLC</w:t>
            </w:r>
          </w:p>
        </w:tc>
        <w:tc>
          <w:tcPr>
            <w:tcW w:w="0" w:type="auto"/>
            <w:tcBorders>
              <w:top w:val="single" w:sz="4" w:space="0" w:color="auto"/>
              <w:left w:val="single" w:sz="4" w:space="0" w:color="auto"/>
              <w:bottom w:val="single" w:sz="4" w:space="0" w:color="auto"/>
              <w:right w:val="single" w:sz="4" w:space="0" w:color="auto"/>
            </w:tcBorders>
            <w:vAlign w:val="center"/>
            <w:hideMark/>
          </w:tcPr>
          <w:p w14:paraId="02D4F02E" w14:textId="66DCF3DC" w:rsidR="0080493E" w:rsidRPr="00783FCF" w:rsidRDefault="0080493E" w:rsidP="00733C20">
            <w:pPr>
              <w:jc w:val="center"/>
              <w:rPr>
                <w:rFonts w:asciiTheme="majorBidi" w:hAnsiTheme="majorBidi" w:cstheme="majorBidi"/>
              </w:rPr>
            </w:pPr>
            <w:r w:rsidRPr="00783FCF">
              <w:rPr>
                <w:rFonts w:asciiTheme="majorBidi" w:hAnsiTheme="majorBidi" w:cstheme="majorBidi"/>
              </w:rPr>
              <w:t>Transportation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E0ED812" w14:textId="7AF29D43" w:rsidR="0080493E" w:rsidRPr="00783FCF" w:rsidRDefault="0080493E" w:rsidP="00733C20">
            <w:pPr>
              <w:jc w:val="center"/>
              <w:rPr>
                <w:rFonts w:asciiTheme="majorBidi" w:hAnsiTheme="majorBidi" w:cstheme="majorBidi"/>
              </w:rPr>
            </w:pPr>
            <w:r w:rsidRPr="00783FCF">
              <w:rPr>
                <w:rFonts w:asciiTheme="majorBidi" w:hAnsiTheme="majorBidi" w:cstheme="majorBidi"/>
              </w:rPr>
              <w:t>0.66</w:t>
            </w:r>
          </w:p>
        </w:tc>
        <w:tc>
          <w:tcPr>
            <w:tcW w:w="0" w:type="auto"/>
            <w:tcBorders>
              <w:top w:val="single" w:sz="4" w:space="0" w:color="auto"/>
              <w:left w:val="single" w:sz="4" w:space="0" w:color="auto"/>
              <w:bottom w:val="single" w:sz="4" w:space="0" w:color="auto"/>
              <w:right w:val="single" w:sz="4" w:space="0" w:color="auto"/>
            </w:tcBorders>
            <w:vAlign w:val="center"/>
            <w:hideMark/>
          </w:tcPr>
          <w:p w14:paraId="5A840FB1" w14:textId="27AD49E2" w:rsidR="0080493E" w:rsidRPr="00783FCF" w:rsidRDefault="0080493E" w:rsidP="00733C20">
            <w:pPr>
              <w:jc w:val="center"/>
              <w:rPr>
                <w:rFonts w:asciiTheme="majorBidi" w:hAnsiTheme="majorBidi" w:cstheme="majorBidi"/>
              </w:rPr>
            </w:pPr>
            <w:r w:rsidRPr="00783FCF">
              <w:rPr>
                <w:rFonts w:asciiTheme="majorBidi" w:hAnsiTheme="majorBidi" w:cstheme="majorBidi"/>
              </w:rPr>
              <w:t>KD 160,000,000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175AF263" w14:textId="73B1C47A" w:rsidR="0080493E" w:rsidRPr="00783FCF" w:rsidRDefault="0080493E" w:rsidP="00733C20">
            <w:pPr>
              <w:jc w:val="center"/>
              <w:rPr>
                <w:rFonts w:asciiTheme="majorBidi" w:hAnsiTheme="majorBidi" w:cstheme="majorBidi"/>
              </w:rPr>
            </w:pPr>
            <w:r w:rsidRPr="00783FCF">
              <w:rPr>
                <w:rFonts w:asciiTheme="majorBidi" w:hAnsiTheme="majorBidi" w:cstheme="majorBidi"/>
              </w:rPr>
              <w:t>~11.83%</w:t>
            </w:r>
          </w:p>
        </w:tc>
        <w:tc>
          <w:tcPr>
            <w:tcW w:w="0" w:type="auto"/>
            <w:tcBorders>
              <w:top w:val="single" w:sz="4" w:space="0" w:color="auto"/>
              <w:left w:val="single" w:sz="4" w:space="0" w:color="auto"/>
              <w:bottom w:val="single" w:sz="4" w:space="0" w:color="auto"/>
              <w:right w:val="single" w:sz="4" w:space="0" w:color="auto"/>
            </w:tcBorders>
            <w:vAlign w:val="center"/>
          </w:tcPr>
          <w:p w14:paraId="276D4945" w14:textId="6DA6B304" w:rsidR="0080493E" w:rsidRPr="00783FCF" w:rsidRDefault="0080493E" w:rsidP="00733C20">
            <w:pPr>
              <w:jc w:val="center"/>
              <w:rPr>
                <w:rFonts w:asciiTheme="majorBidi" w:hAnsiTheme="majorBidi" w:cstheme="majorBidi"/>
              </w:rPr>
            </w:pPr>
            <w:r>
              <w:rPr>
                <w:rFonts w:asciiTheme="majorBidi" w:hAnsiTheme="majorBidi" w:cstheme="majorBidi"/>
              </w:rPr>
              <w:t>49.22%</w:t>
            </w:r>
          </w:p>
        </w:tc>
        <w:tc>
          <w:tcPr>
            <w:tcW w:w="895" w:type="dxa"/>
            <w:tcBorders>
              <w:top w:val="single" w:sz="4" w:space="0" w:color="auto"/>
              <w:left w:val="single" w:sz="4" w:space="0" w:color="auto"/>
              <w:bottom w:val="single" w:sz="4" w:space="0" w:color="auto"/>
              <w:right w:val="single" w:sz="4" w:space="0" w:color="auto"/>
            </w:tcBorders>
            <w:vAlign w:val="center"/>
          </w:tcPr>
          <w:p w14:paraId="472003CD" w14:textId="2F2E9EB5" w:rsidR="0080493E" w:rsidRPr="00783FCF" w:rsidRDefault="0080493E" w:rsidP="00733C20">
            <w:pPr>
              <w:jc w:val="center"/>
              <w:rPr>
                <w:rFonts w:asciiTheme="majorBidi" w:hAnsiTheme="majorBidi" w:cstheme="majorBidi"/>
              </w:rPr>
            </w:pPr>
            <w:r>
              <w:rPr>
                <w:rFonts w:asciiTheme="majorBidi" w:hAnsiTheme="majorBidi" w:cstheme="majorBidi"/>
              </w:rPr>
              <w:t>15.66%</w:t>
            </w:r>
          </w:p>
        </w:tc>
      </w:tr>
      <w:tr w:rsidR="0080493E" w14:paraId="6614484B" w14:textId="323EB800" w:rsidTr="0080493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694648D" w14:textId="662DC3C6" w:rsidR="0080493E" w:rsidRPr="00783FCF" w:rsidRDefault="0080493E" w:rsidP="00733C20">
            <w:pPr>
              <w:jc w:val="center"/>
              <w:rPr>
                <w:rFonts w:asciiTheme="majorBidi" w:hAnsiTheme="majorBidi" w:cstheme="majorBidi"/>
              </w:rPr>
            </w:pPr>
            <w:r w:rsidRPr="00783FCF">
              <w:rPr>
                <w:rFonts w:asciiTheme="majorBidi" w:hAnsiTheme="majorBidi" w:cstheme="majorBidi"/>
              </w:rPr>
              <w:t>Agility Infrastructure Holding Co</w:t>
            </w:r>
          </w:p>
        </w:tc>
        <w:tc>
          <w:tcPr>
            <w:tcW w:w="0" w:type="auto"/>
            <w:tcBorders>
              <w:top w:val="single" w:sz="4" w:space="0" w:color="auto"/>
              <w:left w:val="single" w:sz="4" w:space="0" w:color="auto"/>
              <w:bottom w:val="single" w:sz="4" w:space="0" w:color="auto"/>
              <w:right w:val="single" w:sz="4" w:space="0" w:color="auto"/>
            </w:tcBorders>
            <w:vAlign w:val="center"/>
            <w:hideMark/>
          </w:tcPr>
          <w:p w14:paraId="55E21FDB" w14:textId="2054C072" w:rsidR="0080493E" w:rsidRPr="00783FCF" w:rsidRDefault="0080493E" w:rsidP="00733C20">
            <w:pPr>
              <w:jc w:val="center"/>
              <w:rPr>
                <w:rFonts w:asciiTheme="majorBidi" w:hAnsiTheme="majorBidi" w:cstheme="majorBidi"/>
              </w:rPr>
            </w:pPr>
            <w:r w:rsidRPr="00783FCF">
              <w:rPr>
                <w:rFonts w:asciiTheme="majorBidi" w:hAnsiTheme="majorBidi" w:cstheme="majorBidi"/>
              </w:rPr>
              <w:t>Real Estate (Development)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ECFBF5" w14:textId="17E3E302" w:rsidR="0080493E" w:rsidRPr="00783FCF" w:rsidRDefault="0080493E" w:rsidP="00733C20">
            <w:pPr>
              <w:jc w:val="center"/>
              <w:rPr>
                <w:rFonts w:asciiTheme="majorBidi" w:hAnsiTheme="majorBidi" w:cstheme="majorBidi"/>
              </w:rPr>
            </w:pPr>
            <w:r w:rsidRPr="00783FCF">
              <w:rPr>
                <w:rFonts w:asciiTheme="majorBidi" w:hAnsiTheme="majorBidi" w:cstheme="majorBidi"/>
              </w:rPr>
              <w:t>0.31</w:t>
            </w:r>
          </w:p>
        </w:tc>
        <w:tc>
          <w:tcPr>
            <w:tcW w:w="0" w:type="auto"/>
            <w:tcBorders>
              <w:top w:val="single" w:sz="4" w:space="0" w:color="auto"/>
              <w:left w:val="single" w:sz="4" w:space="0" w:color="auto"/>
              <w:bottom w:val="single" w:sz="4" w:space="0" w:color="auto"/>
              <w:right w:val="single" w:sz="4" w:space="0" w:color="auto"/>
            </w:tcBorders>
            <w:vAlign w:val="center"/>
            <w:hideMark/>
          </w:tcPr>
          <w:p w14:paraId="448AD952" w14:textId="3B490C71" w:rsidR="0080493E" w:rsidRPr="00783FCF" w:rsidRDefault="0080493E" w:rsidP="00733C20">
            <w:pPr>
              <w:jc w:val="center"/>
              <w:rPr>
                <w:rFonts w:asciiTheme="majorBidi" w:hAnsiTheme="majorBidi" w:cstheme="majorBidi"/>
              </w:rPr>
            </w:pPr>
            <w:r w:rsidRPr="00783FCF">
              <w:rPr>
                <w:rFonts w:asciiTheme="majorBidi" w:hAnsiTheme="majorBidi" w:cstheme="majorBidi"/>
              </w:rPr>
              <w:t>KD 80,000,000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1DBFE72C" w14:textId="4D77210E" w:rsidR="0080493E" w:rsidRPr="00783FCF" w:rsidRDefault="0080493E" w:rsidP="00733C20">
            <w:pPr>
              <w:jc w:val="center"/>
              <w:rPr>
                <w:rFonts w:asciiTheme="majorBidi" w:hAnsiTheme="majorBidi" w:cstheme="majorBidi"/>
              </w:rPr>
            </w:pPr>
            <w:r w:rsidRPr="00783FCF">
              <w:rPr>
                <w:rFonts w:asciiTheme="majorBidi" w:hAnsiTheme="majorBidi" w:cstheme="majorBidi"/>
              </w:rPr>
              <w:t>~5.91%</w:t>
            </w:r>
          </w:p>
        </w:tc>
        <w:tc>
          <w:tcPr>
            <w:tcW w:w="0" w:type="auto"/>
            <w:tcBorders>
              <w:top w:val="single" w:sz="4" w:space="0" w:color="auto"/>
              <w:left w:val="single" w:sz="4" w:space="0" w:color="auto"/>
              <w:bottom w:val="single" w:sz="4" w:space="0" w:color="auto"/>
              <w:right w:val="single" w:sz="4" w:space="0" w:color="auto"/>
            </w:tcBorders>
            <w:vAlign w:val="center"/>
          </w:tcPr>
          <w:p w14:paraId="7E1BFAB3" w14:textId="1D723449" w:rsidR="0080493E" w:rsidRPr="00783FCF" w:rsidRDefault="0080493E" w:rsidP="00733C20">
            <w:pPr>
              <w:jc w:val="center"/>
              <w:rPr>
                <w:rFonts w:asciiTheme="majorBidi" w:hAnsiTheme="majorBidi" w:cstheme="majorBidi"/>
              </w:rPr>
            </w:pPr>
            <w:r>
              <w:rPr>
                <w:rFonts w:asciiTheme="majorBidi" w:hAnsiTheme="majorBidi" w:cstheme="majorBidi"/>
              </w:rPr>
              <w:t>248.91%</w:t>
            </w:r>
          </w:p>
        </w:tc>
        <w:tc>
          <w:tcPr>
            <w:tcW w:w="895" w:type="dxa"/>
            <w:tcBorders>
              <w:top w:val="single" w:sz="4" w:space="0" w:color="auto"/>
              <w:left w:val="single" w:sz="4" w:space="0" w:color="auto"/>
              <w:bottom w:val="single" w:sz="4" w:space="0" w:color="auto"/>
              <w:right w:val="single" w:sz="4" w:space="0" w:color="auto"/>
            </w:tcBorders>
            <w:vAlign w:val="center"/>
          </w:tcPr>
          <w:p w14:paraId="2B259A63" w14:textId="414C90E9" w:rsidR="0080493E" w:rsidRPr="00783FCF" w:rsidRDefault="0080493E" w:rsidP="00733C20">
            <w:pPr>
              <w:jc w:val="center"/>
              <w:rPr>
                <w:rFonts w:asciiTheme="majorBidi" w:hAnsiTheme="majorBidi" w:cstheme="majorBidi"/>
              </w:rPr>
            </w:pPr>
            <w:r>
              <w:rPr>
                <w:rFonts w:asciiTheme="majorBidi" w:hAnsiTheme="majorBidi" w:cstheme="majorBidi"/>
              </w:rPr>
              <w:t>14.39%</w:t>
            </w:r>
          </w:p>
        </w:tc>
      </w:tr>
      <w:tr w:rsidR="0080493E" w14:paraId="50A4DE87" w14:textId="5CA09F41" w:rsidTr="0080493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3263FC3" w14:textId="0AF4B9D8" w:rsidR="0080493E" w:rsidRPr="00783FCF" w:rsidRDefault="0080493E" w:rsidP="00733C20">
            <w:pPr>
              <w:jc w:val="center"/>
              <w:rPr>
                <w:rFonts w:asciiTheme="majorBidi" w:hAnsiTheme="majorBidi" w:cstheme="majorBidi"/>
              </w:rPr>
            </w:pPr>
            <w:r w:rsidRPr="00783FCF">
              <w:rPr>
                <w:rFonts w:asciiTheme="majorBidi" w:hAnsiTheme="majorBidi" w:cstheme="majorBidi"/>
              </w:rPr>
              <w:t>Global Clearing House Systems K.S.C.C.</w:t>
            </w:r>
          </w:p>
        </w:tc>
        <w:tc>
          <w:tcPr>
            <w:tcW w:w="0" w:type="auto"/>
            <w:tcBorders>
              <w:top w:val="single" w:sz="4" w:space="0" w:color="auto"/>
              <w:left w:val="single" w:sz="4" w:space="0" w:color="auto"/>
              <w:bottom w:val="single" w:sz="4" w:space="0" w:color="auto"/>
              <w:right w:val="single" w:sz="4" w:space="0" w:color="auto"/>
            </w:tcBorders>
            <w:vAlign w:val="center"/>
            <w:hideMark/>
          </w:tcPr>
          <w:p w14:paraId="5D68DF80" w14:textId="60FF403E" w:rsidR="0080493E" w:rsidRPr="00783FCF" w:rsidRDefault="0080493E" w:rsidP="00733C20">
            <w:pPr>
              <w:jc w:val="center"/>
              <w:rPr>
                <w:rFonts w:asciiTheme="majorBidi" w:hAnsiTheme="majorBidi" w:cstheme="majorBidi"/>
              </w:rPr>
            </w:pPr>
            <w:r w:rsidRPr="00783FCF">
              <w:rPr>
                <w:rFonts w:asciiTheme="majorBidi" w:hAnsiTheme="majorBidi" w:cstheme="majorBidi"/>
              </w:rPr>
              <w:t>Software (System &amp; Application)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B530C2A" w14:textId="1A62C4B4" w:rsidR="0080493E" w:rsidRPr="00783FCF" w:rsidRDefault="0080493E" w:rsidP="00733C20">
            <w:pPr>
              <w:jc w:val="center"/>
              <w:rPr>
                <w:rFonts w:asciiTheme="majorBidi" w:hAnsiTheme="majorBidi" w:cstheme="majorBidi"/>
              </w:rPr>
            </w:pPr>
            <w:r w:rsidRPr="00783FCF">
              <w:rPr>
                <w:rFonts w:asciiTheme="majorBidi" w:hAnsiTheme="majorBidi" w:cstheme="majorBidi"/>
              </w:rPr>
              <w:t>1.23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C0678DA" w14:textId="3D30F5DC" w:rsidR="0080493E" w:rsidRPr="00783FCF" w:rsidRDefault="0080493E" w:rsidP="00733C20">
            <w:pPr>
              <w:jc w:val="center"/>
              <w:rPr>
                <w:rFonts w:asciiTheme="majorBidi" w:hAnsiTheme="majorBidi" w:cstheme="majorBidi"/>
              </w:rPr>
            </w:pPr>
            <w:r w:rsidRPr="00783FCF">
              <w:rPr>
                <w:rFonts w:asciiTheme="majorBidi" w:hAnsiTheme="majorBidi" w:cstheme="majorBidi"/>
              </w:rPr>
              <w:t>KD 53,023,000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F573BFA" w14:textId="434BB2D5" w:rsidR="0080493E" w:rsidRPr="00783FCF" w:rsidRDefault="0080493E" w:rsidP="00733C20">
            <w:pPr>
              <w:jc w:val="center"/>
              <w:rPr>
                <w:rFonts w:asciiTheme="majorBidi" w:hAnsiTheme="majorBidi" w:cstheme="majorBidi"/>
              </w:rPr>
            </w:pPr>
            <w:r w:rsidRPr="00783FCF">
              <w:rPr>
                <w:rFonts w:asciiTheme="majorBidi" w:hAnsiTheme="majorBidi" w:cstheme="majorBidi"/>
              </w:rPr>
              <w:t>~3.92%</w:t>
            </w:r>
          </w:p>
        </w:tc>
        <w:tc>
          <w:tcPr>
            <w:tcW w:w="0" w:type="auto"/>
            <w:tcBorders>
              <w:top w:val="single" w:sz="4" w:space="0" w:color="auto"/>
              <w:left w:val="single" w:sz="4" w:space="0" w:color="auto"/>
              <w:bottom w:val="single" w:sz="4" w:space="0" w:color="auto"/>
              <w:right w:val="single" w:sz="4" w:space="0" w:color="auto"/>
            </w:tcBorders>
            <w:vAlign w:val="center"/>
          </w:tcPr>
          <w:p w14:paraId="1400F341" w14:textId="4FF01C56" w:rsidR="0080493E" w:rsidRPr="00783FCF" w:rsidRDefault="0080493E" w:rsidP="00733C20">
            <w:pPr>
              <w:jc w:val="center"/>
              <w:rPr>
                <w:rFonts w:asciiTheme="majorBidi" w:hAnsiTheme="majorBidi" w:cstheme="majorBidi"/>
              </w:rPr>
            </w:pPr>
            <w:r>
              <w:rPr>
                <w:rFonts w:asciiTheme="majorBidi" w:hAnsiTheme="majorBidi" w:cstheme="majorBidi"/>
              </w:rPr>
              <w:t>6.21%</w:t>
            </w:r>
          </w:p>
        </w:tc>
        <w:tc>
          <w:tcPr>
            <w:tcW w:w="895" w:type="dxa"/>
            <w:tcBorders>
              <w:top w:val="single" w:sz="4" w:space="0" w:color="auto"/>
              <w:left w:val="single" w:sz="4" w:space="0" w:color="auto"/>
              <w:bottom w:val="single" w:sz="4" w:space="0" w:color="auto"/>
              <w:right w:val="single" w:sz="4" w:space="0" w:color="auto"/>
            </w:tcBorders>
            <w:vAlign w:val="center"/>
          </w:tcPr>
          <w:p w14:paraId="190A71E8" w14:textId="1DA76A23" w:rsidR="0080493E" w:rsidRPr="00783FCF" w:rsidRDefault="0080493E" w:rsidP="00733C20">
            <w:pPr>
              <w:jc w:val="center"/>
              <w:rPr>
                <w:rFonts w:asciiTheme="majorBidi" w:hAnsiTheme="majorBidi" w:cstheme="majorBidi"/>
              </w:rPr>
            </w:pPr>
            <w:r>
              <w:rPr>
                <w:rFonts w:asciiTheme="majorBidi" w:hAnsiTheme="majorBidi" w:cstheme="majorBidi"/>
              </w:rPr>
              <w:t>8.18%</w:t>
            </w:r>
          </w:p>
        </w:tc>
      </w:tr>
      <w:tr w:rsidR="0080493E" w14:paraId="6869D742" w14:textId="40C09D55" w:rsidTr="0080493E">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1043BDB" w14:textId="08EFA677" w:rsidR="0080493E" w:rsidRPr="00783FCF" w:rsidRDefault="0080493E" w:rsidP="00733C20">
            <w:pPr>
              <w:jc w:val="center"/>
              <w:rPr>
                <w:rFonts w:asciiTheme="majorBidi" w:hAnsiTheme="majorBidi" w:cstheme="majorBidi"/>
              </w:rPr>
            </w:pPr>
            <w:r w:rsidRPr="00783FCF">
              <w:rPr>
                <w:rFonts w:asciiTheme="majorBidi" w:hAnsiTheme="majorBidi" w:cstheme="majorBidi"/>
              </w:rPr>
              <w:t>Other Revenue Sources</w:t>
            </w:r>
          </w:p>
        </w:tc>
        <w:tc>
          <w:tcPr>
            <w:tcW w:w="0" w:type="auto"/>
            <w:tcBorders>
              <w:top w:val="single" w:sz="4" w:space="0" w:color="auto"/>
              <w:left w:val="single" w:sz="4" w:space="0" w:color="auto"/>
              <w:bottom w:val="single" w:sz="4" w:space="0" w:color="auto"/>
              <w:right w:val="single" w:sz="4" w:space="0" w:color="auto"/>
            </w:tcBorders>
            <w:vAlign w:val="center"/>
          </w:tcPr>
          <w:p w14:paraId="4E4DA265" w14:textId="4A79E02A" w:rsidR="0080493E" w:rsidRPr="00783FCF" w:rsidRDefault="0080493E" w:rsidP="00733C20">
            <w:pPr>
              <w:jc w:val="center"/>
              <w:rPr>
                <w:rFonts w:asciiTheme="majorBidi" w:hAnsiTheme="majorBidi" w:cstheme="majorBidi"/>
              </w:rPr>
            </w:pPr>
            <w:r w:rsidRPr="00783FCF">
              <w:rPr>
                <w:rFonts w:asciiTheme="majorBidi" w:hAnsiTheme="majorBidi" w:cstheme="majorBidi"/>
              </w:rPr>
              <w:t>Various</w:t>
            </w:r>
          </w:p>
        </w:tc>
        <w:tc>
          <w:tcPr>
            <w:tcW w:w="0" w:type="auto"/>
            <w:tcBorders>
              <w:top w:val="single" w:sz="4" w:space="0" w:color="auto"/>
              <w:left w:val="single" w:sz="4" w:space="0" w:color="auto"/>
              <w:bottom w:val="single" w:sz="4" w:space="0" w:color="auto"/>
              <w:right w:val="single" w:sz="4" w:space="0" w:color="auto"/>
            </w:tcBorders>
            <w:vAlign w:val="center"/>
          </w:tcPr>
          <w:p w14:paraId="135BEC56" w14:textId="40999116" w:rsidR="0080493E" w:rsidRPr="00783FCF" w:rsidRDefault="0080493E" w:rsidP="00733C20">
            <w:pPr>
              <w:jc w:val="center"/>
              <w:rPr>
                <w:rFonts w:asciiTheme="majorBidi" w:hAnsiTheme="majorBidi" w:cstheme="majorBidi"/>
              </w:rPr>
            </w:pPr>
            <w:r w:rsidRPr="00783FCF">
              <w:rPr>
                <w:rFonts w:asciiTheme="majorBidi" w:hAnsiTheme="majorBidi" w:cstheme="majorBidi"/>
              </w:rPr>
              <w:t>N/A</w:t>
            </w:r>
          </w:p>
        </w:tc>
        <w:tc>
          <w:tcPr>
            <w:tcW w:w="0" w:type="auto"/>
            <w:tcBorders>
              <w:top w:val="single" w:sz="4" w:space="0" w:color="auto"/>
              <w:left w:val="single" w:sz="4" w:space="0" w:color="auto"/>
              <w:bottom w:val="single" w:sz="4" w:space="0" w:color="auto"/>
              <w:right w:val="single" w:sz="4" w:space="0" w:color="auto"/>
            </w:tcBorders>
            <w:vAlign w:val="center"/>
          </w:tcPr>
          <w:p w14:paraId="48866B72" w14:textId="5E5FCD0F" w:rsidR="0080493E" w:rsidRPr="00783FCF" w:rsidRDefault="0080493E" w:rsidP="00733C20">
            <w:pPr>
              <w:jc w:val="center"/>
              <w:rPr>
                <w:rFonts w:asciiTheme="majorBidi" w:hAnsiTheme="majorBidi" w:cstheme="majorBidi"/>
              </w:rPr>
            </w:pPr>
            <w:r w:rsidRPr="00783FCF">
              <w:rPr>
                <w:rFonts w:asciiTheme="majorBidi" w:hAnsiTheme="majorBidi" w:cstheme="majorBidi"/>
              </w:rPr>
              <w:t>KD 100,000,000</w:t>
            </w:r>
          </w:p>
        </w:tc>
        <w:tc>
          <w:tcPr>
            <w:tcW w:w="0" w:type="auto"/>
            <w:tcBorders>
              <w:top w:val="single" w:sz="4" w:space="0" w:color="auto"/>
              <w:left w:val="single" w:sz="4" w:space="0" w:color="auto"/>
              <w:bottom w:val="single" w:sz="4" w:space="0" w:color="auto"/>
              <w:right w:val="single" w:sz="4" w:space="0" w:color="auto"/>
            </w:tcBorders>
            <w:vAlign w:val="center"/>
          </w:tcPr>
          <w:p w14:paraId="67D4C3D6" w14:textId="1C4AB103" w:rsidR="0080493E" w:rsidRPr="00783FCF" w:rsidRDefault="0080493E" w:rsidP="00733C20">
            <w:pPr>
              <w:jc w:val="center"/>
              <w:rPr>
                <w:rFonts w:asciiTheme="majorBidi" w:hAnsiTheme="majorBidi" w:cstheme="majorBidi"/>
              </w:rPr>
            </w:pPr>
            <w:r w:rsidRPr="00783FCF">
              <w:rPr>
                <w:rFonts w:asciiTheme="majorBidi" w:hAnsiTheme="majorBidi" w:cstheme="majorBidi"/>
              </w:rPr>
              <w:t>~7.39%</w:t>
            </w:r>
          </w:p>
        </w:tc>
        <w:tc>
          <w:tcPr>
            <w:tcW w:w="0" w:type="auto"/>
            <w:tcBorders>
              <w:top w:val="single" w:sz="4" w:space="0" w:color="auto"/>
              <w:left w:val="single" w:sz="4" w:space="0" w:color="auto"/>
              <w:bottom w:val="single" w:sz="4" w:space="0" w:color="auto"/>
              <w:right w:val="single" w:sz="4" w:space="0" w:color="auto"/>
            </w:tcBorders>
            <w:vAlign w:val="center"/>
          </w:tcPr>
          <w:p w14:paraId="7DD5287F" w14:textId="23823CD5" w:rsidR="0080493E" w:rsidRPr="00783FCF" w:rsidRDefault="0080493E" w:rsidP="00733C20">
            <w:pPr>
              <w:jc w:val="center"/>
              <w:rPr>
                <w:rFonts w:asciiTheme="majorBidi" w:hAnsiTheme="majorBidi" w:cstheme="majorBidi"/>
              </w:rPr>
            </w:pPr>
            <w:r>
              <w:rPr>
                <w:rFonts w:asciiTheme="majorBidi" w:hAnsiTheme="majorBidi" w:cstheme="majorBidi"/>
              </w:rPr>
              <w:t>49.22%</w:t>
            </w:r>
          </w:p>
        </w:tc>
        <w:tc>
          <w:tcPr>
            <w:tcW w:w="895" w:type="dxa"/>
            <w:tcBorders>
              <w:top w:val="single" w:sz="4" w:space="0" w:color="auto"/>
              <w:left w:val="single" w:sz="4" w:space="0" w:color="auto"/>
              <w:bottom w:val="single" w:sz="4" w:space="0" w:color="auto"/>
              <w:right w:val="single" w:sz="4" w:space="0" w:color="auto"/>
            </w:tcBorders>
            <w:vAlign w:val="center"/>
          </w:tcPr>
          <w:p w14:paraId="3860ADBB" w14:textId="56648A53" w:rsidR="0080493E" w:rsidRPr="00783FCF" w:rsidRDefault="0080493E" w:rsidP="00733C20">
            <w:pPr>
              <w:jc w:val="center"/>
              <w:rPr>
                <w:rFonts w:asciiTheme="majorBidi" w:hAnsiTheme="majorBidi" w:cstheme="majorBidi"/>
              </w:rPr>
            </w:pPr>
            <w:r>
              <w:rPr>
                <w:rFonts w:asciiTheme="majorBidi" w:hAnsiTheme="majorBidi" w:cstheme="majorBidi"/>
              </w:rPr>
              <w:t>15.66%</w:t>
            </w:r>
          </w:p>
        </w:tc>
      </w:tr>
      <w:tr w:rsidR="0080493E" w14:paraId="03A8DD59" w14:textId="6FF5AF54" w:rsidTr="0080493E">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055F74D" w14:textId="78757D87" w:rsidR="0080493E" w:rsidRPr="00783FCF" w:rsidRDefault="0080493E" w:rsidP="00733C20">
            <w:pPr>
              <w:jc w:val="center"/>
              <w:rPr>
                <w:rFonts w:asciiTheme="majorBidi" w:hAnsiTheme="majorBidi" w:cstheme="majorBidi"/>
              </w:rPr>
            </w:pPr>
            <w:r w:rsidRPr="00783FCF">
              <w:rPr>
                <w:rFonts w:asciiTheme="majorBidi" w:hAnsiTheme="majorBidi" w:cstheme="majorBidi"/>
              </w:rPr>
              <w:t>Total</w:t>
            </w:r>
          </w:p>
        </w:tc>
        <w:tc>
          <w:tcPr>
            <w:tcW w:w="0" w:type="auto"/>
            <w:tcBorders>
              <w:top w:val="single" w:sz="4" w:space="0" w:color="auto"/>
              <w:left w:val="single" w:sz="4" w:space="0" w:color="auto"/>
              <w:bottom w:val="single" w:sz="4" w:space="0" w:color="auto"/>
              <w:right w:val="single" w:sz="4" w:space="0" w:color="auto"/>
            </w:tcBorders>
            <w:vAlign w:val="center"/>
          </w:tcPr>
          <w:p w14:paraId="1E0B1A04" w14:textId="77777777" w:rsidR="0080493E" w:rsidRPr="00783FCF" w:rsidRDefault="0080493E" w:rsidP="00733C20">
            <w:pPr>
              <w:jc w:val="center"/>
              <w:rPr>
                <w:rFonts w:asciiTheme="majorBidi" w:hAnsiTheme="majorBidi" w:cstheme="majorBidi"/>
              </w:rPr>
            </w:pPr>
          </w:p>
        </w:tc>
        <w:tc>
          <w:tcPr>
            <w:tcW w:w="0" w:type="auto"/>
            <w:tcBorders>
              <w:top w:val="single" w:sz="4" w:space="0" w:color="auto"/>
              <w:left w:val="single" w:sz="4" w:space="0" w:color="auto"/>
              <w:bottom w:val="single" w:sz="4" w:space="0" w:color="auto"/>
              <w:right w:val="single" w:sz="4" w:space="0" w:color="auto"/>
            </w:tcBorders>
            <w:vAlign w:val="center"/>
          </w:tcPr>
          <w:p w14:paraId="2AF1C18E" w14:textId="77777777" w:rsidR="0080493E" w:rsidRPr="00783FCF" w:rsidRDefault="0080493E" w:rsidP="00733C20">
            <w:pPr>
              <w:jc w:val="center"/>
              <w:rPr>
                <w:rFonts w:asciiTheme="majorBidi" w:hAnsiTheme="majorBidi" w:cstheme="majorBidi"/>
              </w:rPr>
            </w:pPr>
          </w:p>
        </w:tc>
        <w:tc>
          <w:tcPr>
            <w:tcW w:w="0" w:type="auto"/>
            <w:tcBorders>
              <w:top w:val="single" w:sz="4" w:space="0" w:color="auto"/>
              <w:left w:val="single" w:sz="4" w:space="0" w:color="auto"/>
              <w:bottom w:val="single" w:sz="4" w:space="0" w:color="auto"/>
              <w:right w:val="single" w:sz="4" w:space="0" w:color="auto"/>
            </w:tcBorders>
            <w:vAlign w:val="center"/>
          </w:tcPr>
          <w:p w14:paraId="179B1D9C" w14:textId="4E5DA226" w:rsidR="0080493E" w:rsidRPr="00783FCF" w:rsidRDefault="0080493E" w:rsidP="00733C20">
            <w:pPr>
              <w:jc w:val="center"/>
              <w:rPr>
                <w:rFonts w:asciiTheme="majorBidi" w:hAnsiTheme="majorBidi" w:cstheme="majorBidi"/>
              </w:rPr>
            </w:pPr>
            <w:r w:rsidRPr="00783FCF">
              <w:rPr>
                <w:rFonts w:asciiTheme="majorBidi" w:hAnsiTheme="majorBidi" w:cstheme="majorBidi"/>
              </w:rPr>
              <w:t>KD 1,353,023,000</w:t>
            </w:r>
          </w:p>
        </w:tc>
        <w:tc>
          <w:tcPr>
            <w:tcW w:w="0" w:type="auto"/>
            <w:tcBorders>
              <w:top w:val="single" w:sz="4" w:space="0" w:color="auto"/>
              <w:left w:val="single" w:sz="4" w:space="0" w:color="auto"/>
              <w:bottom w:val="single" w:sz="4" w:space="0" w:color="auto"/>
              <w:right w:val="single" w:sz="4" w:space="0" w:color="auto"/>
            </w:tcBorders>
            <w:vAlign w:val="center"/>
          </w:tcPr>
          <w:p w14:paraId="34CBA5EA" w14:textId="79225A40" w:rsidR="0080493E" w:rsidRPr="00783FCF" w:rsidRDefault="0080493E" w:rsidP="00733C20">
            <w:pPr>
              <w:jc w:val="center"/>
              <w:rPr>
                <w:rFonts w:asciiTheme="majorBidi" w:hAnsiTheme="majorBidi" w:cstheme="majorBidi"/>
              </w:rPr>
            </w:pPr>
            <w:r w:rsidRPr="00783FCF">
              <w:rPr>
                <w:rFonts w:asciiTheme="majorBidi" w:hAnsiTheme="majorBidi" w:cstheme="majorBidi"/>
              </w:rPr>
              <w:t>100%</w:t>
            </w:r>
          </w:p>
        </w:tc>
        <w:tc>
          <w:tcPr>
            <w:tcW w:w="0" w:type="auto"/>
            <w:tcBorders>
              <w:top w:val="single" w:sz="4" w:space="0" w:color="auto"/>
              <w:left w:val="single" w:sz="4" w:space="0" w:color="auto"/>
              <w:bottom w:val="single" w:sz="4" w:space="0" w:color="auto"/>
              <w:right w:val="single" w:sz="4" w:space="0" w:color="auto"/>
            </w:tcBorders>
          </w:tcPr>
          <w:p w14:paraId="387B1AAB" w14:textId="77777777" w:rsidR="0080493E" w:rsidRPr="00783FCF" w:rsidRDefault="0080493E" w:rsidP="00733C20">
            <w:pPr>
              <w:jc w:val="center"/>
              <w:rPr>
                <w:rFonts w:asciiTheme="majorBidi" w:hAnsiTheme="majorBidi" w:cstheme="majorBidi"/>
              </w:rPr>
            </w:pPr>
          </w:p>
        </w:tc>
        <w:tc>
          <w:tcPr>
            <w:tcW w:w="895" w:type="dxa"/>
            <w:tcBorders>
              <w:top w:val="single" w:sz="4" w:space="0" w:color="auto"/>
              <w:left w:val="single" w:sz="4" w:space="0" w:color="auto"/>
              <w:bottom w:val="single" w:sz="4" w:space="0" w:color="auto"/>
              <w:right w:val="single" w:sz="4" w:space="0" w:color="auto"/>
            </w:tcBorders>
          </w:tcPr>
          <w:p w14:paraId="3F5425E6" w14:textId="77777777" w:rsidR="0080493E" w:rsidRPr="00783FCF" w:rsidRDefault="0080493E" w:rsidP="00733C20">
            <w:pPr>
              <w:jc w:val="center"/>
              <w:rPr>
                <w:rFonts w:asciiTheme="majorBidi" w:hAnsiTheme="majorBidi" w:cstheme="majorBidi"/>
              </w:rPr>
            </w:pPr>
          </w:p>
        </w:tc>
      </w:tr>
    </w:tbl>
    <w:p w14:paraId="5FF9D2DB" w14:textId="77777777" w:rsidR="002932B1" w:rsidRDefault="002932B1" w:rsidP="002932B1">
      <w:pPr>
        <w:rPr>
          <w:rFonts w:asciiTheme="majorBidi" w:hAnsiTheme="majorBidi" w:cstheme="majorBidi"/>
        </w:rPr>
      </w:pPr>
    </w:p>
    <w:tbl>
      <w:tblPr>
        <w:tblStyle w:val="TableGrid"/>
        <w:tblpPr w:leftFromText="180" w:rightFromText="180" w:vertAnchor="page" w:horzAnchor="margin" w:tblpXSpec="center" w:tblpY="564"/>
        <w:tblW w:w="11185" w:type="dxa"/>
        <w:tblLook w:val="04A0" w:firstRow="1" w:lastRow="0" w:firstColumn="1" w:lastColumn="0" w:noHBand="0" w:noVBand="1"/>
      </w:tblPr>
      <w:tblGrid>
        <w:gridCol w:w="1893"/>
        <w:gridCol w:w="1173"/>
        <w:gridCol w:w="1532"/>
        <w:gridCol w:w="1388"/>
        <w:gridCol w:w="1337"/>
        <w:gridCol w:w="929"/>
        <w:gridCol w:w="973"/>
        <w:gridCol w:w="980"/>
        <w:gridCol w:w="980"/>
      </w:tblGrid>
      <w:tr w:rsidR="00DE67A3" w:rsidRPr="00DE67A3" w14:paraId="16AEB5AC" w14:textId="196FB52D" w:rsidTr="000E42EF">
        <w:trPr>
          <w:trHeight w:val="760"/>
        </w:trPr>
        <w:tc>
          <w:tcPr>
            <w:tcW w:w="1893" w:type="dxa"/>
            <w:shd w:val="clear" w:color="auto" w:fill="EEECE1" w:themeFill="background2"/>
            <w:vAlign w:val="center"/>
          </w:tcPr>
          <w:p w14:paraId="49227DFD" w14:textId="77777777" w:rsidR="00DE67A3" w:rsidRPr="00DE67A3" w:rsidRDefault="00DE67A3" w:rsidP="00DE67A3">
            <w:pPr>
              <w:jc w:val="center"/>
              <w:rPr>
                <w:rFonts w:asciiTheme="majorBidi" w:hAnsiTheme="majorBidi" w:cstheme="majorBidi"/>
              </w:rPr>
            </w:pPr>
            <w:r w:rsidRPr="00DE67A3">
              <w:rPr>
                <w:rFonts w:asciiTheme="majorBidi" w:hAnsiTheme="majorBidi" w:cstheme="majorBidi"/>
              </w:rPr>
              <w:lastRenderedPageBreak/>
              <w:t>Sectors</w:t>
            </w:r>
          </w:p>
        </w:tc>
        <w:tc>
          <w:tcPr>
            <w:tcW w:w="1173" w:type="dxa"/>
            <w:shd w:val="clear" w:color="auto" w:fill="EEECE1" w:themeFill="background2"/>
            <w:vAlign w:val="center"/>
          </w:tcPr>
          <w:p w14:paraId="4B4833DE" w14:textId="77777777" w:rsidR="00DE67A3" w:rsidRPr="00DE67A3" w:rsidRDefault="00DE67A3" w:rsidP="00DE67A3">
            <w:pPr>
              <w:jc w:val="center"/>
              <w:rPr>
                <w:rFonts w:asciiTheme="majorBidi" w:hAnsiTheme="majorBidi" w:cstheme="majorBidi"/>
              </w:rPr>
            </w:pPr>
            <w:r w:rsidRPr="00DE67A3">
              <w:rPr>
                <w:rFonts w:asciiTheme="majorBidi" w:hAnsiTheme="majorBidi" w:cstheme="majorBidi"/>
              </w:rPr>
              <w:t>Unlevered Beta</w:t>
            </w:r>
          </w:p>
        </w:tc>
        <w:tc>
          <w:tcPr>
            <w:tcW w:w="1532" w:type="dxa"/>
            <w:shd w:val="clear" w:color="auto" w:fill="EEECE1" w:themeFill="background2"/>
            <w:vAlign w:val="center"/>
          </w:tcPr>
          <w:p w14:paraId="2BFAA723" w14:textId="77777777" w:rsidR="00DE67A3" w:rsidRPr="00DE67A3" w:rsidRDefault="00DE67A3" w:rsidP="00DE67A3">
            <w:pPr>
              <w:jc w:val="center"/>
              <w:rPr>
                <w:rFonts w:asciiTheme="majorBidi" w:hAnsiTheme="majorBidi" w:cstheme="majorBidi"/>
              </w:rPr>
            </w:pPr>
            <w:r w:rsidRPr="00DE67A3">
              <w:rPr>
                <w:rFonts w:asciiTheme="majorBidi" w:hAnsiTheme="majorBidi" w:cstheme="majorBidi"/>
              </w:rPr>
              <w:t>Estimated Revenue (KD)</w:t>
            </w:r>
          </w:p>
        </w:tc>
        <w:tc>
          <w:tcPr>
            <w:tcW w:w="1388" w:type="dxa"/>
            <w:shd w:val="clear" w:color="auto" w:fill="EEECE1" w:themeFill="background2"/>
            <w:vAlign w:val="center"/>
          </w:tcPr>
          <w:p w14:paraId="49EABB3D" w14:textId="77777777" w:rsidR="00DE67A3" w:rsidRPr="00DE67A3" w:rsidRDefault="00DE67A3" w:rsidP="00DE67A3">
            <w:pPr>
              <w:jc w:val="center"/>
              <w:rPr>
                <w:rFonts w:asciiTheme="majorBidi" w:hAnsiTheme="majorBidi" w:cstheme="majorBidi"/>
              </w:rPr>
            </w:pPr>
            <w:r w:rsidRPr="00DE67A3">
              <w:rPr>
                <w:rFonts w:asciiTheme="majorBidi" w:hAnsiTheme="majorBidi" w:cstheme="majorBidi"/>
              </w:rPr>
              <w:t>% Contribution</w:t>
            </w:r>
          </w:p>
        </w:tc>
        <w:tc>
          <w:tcPr>
            <w:tcW w:w="1337" w:type="dxa"/>
            <w:shd w:val="clear" w:color="auto" w:fill="EEECE1" w:themeFill="background2"/>
            <w:vAlign w:val="center"/>
          </w:tcPr>
          <w:p w14:paraId="4D1DDE9D" w14:textId="77777777" w:rsidR="00DE67A3" w:rsidRPr="00DE67A3" w:rsidRDefault="00DE67A3" w:rsidP="00DE67A3">
            <w:pPr>
              <w:jc w:val="center"/>
              <w:rPr>
                <w:rFonts w:asciiTheme="majorBidi" w:hAnsiTheme="majorBidi" w:cstheme="majorBidi"/>
              </w:rPr>
            </w:pPr>
            <w:r w:rsidRPr="00DE67A3">
              <w:rPr>
                <w:rFonts w:asciiTheme="majorBidi" w:hAnsiTheme="majorBidi" w:cstheme="majorBidi"/>
              </w:rPr>
              <w:t>Debt/Equity Ratio</w:t>
            </w:r>
          </w:p>
        </w:tc>
        <w:tc>
          <w:tcPr>
            <w:tcW w:w="929" w:type="dxa"/>
            <w:shd w:val="clear" w:color="auto" w:fill="EEECE1" w:themeFill="background2"/>
            <w:vAlign w:val="center"/>
          </w:tcPr>
          <w:p w14:paraId="0DF20381" w14:textId="77777777" w:rsidR="00DE67A3" w:rsidRPr="00DE67A3" w:rsidRDefault="00DE67A3" w:rsidP="00DE67A3">
            <w:pPr>
              <w:jc w:val="center"/>
              <w:rPr>
                <w:rFonts w:asciiTheme="majorBidi" w:hAnsiTheme="majorBidi" w:cstheme="majorBidi"/>
              </w:rPr>
            </w:pPr>
            <w:r w:rsidRPr="00DE67A3">
              <w:rPr>
                <w:rFonts w:asciiTheme="majorBidi" w:hAnsiTheme="majorBidi" w:cstheme="majorBidi"/>
              </w:rPr>
              <w:t>Tax Rate</w:t>
            </w:r>
          </w:p>
        </w:tc>
        <w:tc>
          <w:tcPr>
            <w:tcW w:w="973" w:type="dxa"/>
            <w:shd w:val="clear" w:color="auto" w:fill="EEECE1" w:themeFill="background2"/>
            <w:vAlign w:val="center"/>
          </w:tcPr>
          <w:p w14:paraId="187D36DF" w14:textId="77777777" w:rsidR="00DE67A3" w:rsidRPr="00DE67A3" w:rsidRDefault="00DE67A3" w:rsidP="00DE67A3">
            <w:pPr>
              <w:jc w:val="center"/>
              <w:rPr>
                <w:rFonts w:asciiTheme="majorBidi" w:hAnsiTheme="majorBidi" w:cstheme="majorBidi"/>
              </w:rPr>
            </w:pPr>
            <w:r w:rsidRPr="00DE67A3">
              <w:rPr>
                <w:rFonts w:asciiTheme="majorBidi" w:hAnsiTheme="majorBidi" w:cstheme="majorBidi"/>
              </w:rPr>
              <w:t>Levered Beta</w:t>
            </w:r>
          </w:p>
        </w:tc>
        <w:tc>
          <w:tcPr>
            <w:tcW w:w="980" w:type="dxa"/>
            <w:shd w:val="clear" w:color="auto" w:fill="EEECE1" w:themeFill="background2"/>
            <w:vAlign w:val="center"/>
          </w:tcPr>
          <w:p w14:paraId="73D372E0" w14:textId="532740F3" w:rsidR="00DE67A3" w:rsidRPr="00DE67A3" w:rsidRDefault="00DE67A3" w:rsidP="00DE67A3">
            <w:pPr>
              <w:jc w:val="center"/>
              <w:rPr>
                <w:rFonts w:asciiTheme="majorBidi" w:hAnsiTheme="majorBidi" w:cstheme="majorBidi"/>
              </w:rPr>
            </w:pPr>
            <w:r w:rsidRPr="00DE67A3">
              <w:rPr>
                <w:rFonts w:asciiTheme="majorBidi" w:hAnsiTheme="majorBidi" w:cstheme="majorBidi"/>
              </w:rPr>
              <w:t>Weight * Levered Beta</w:t>
            </w:r>
          </w:p>
        </w:tc>
        <w:tc>
          <w:tcPr>
            <w:tcW w:w="980" w:type="dxa"/>
            <w:shd w:val="clear" w:color="auto" w:fill="EEECE1" w:themeFill="background2"/>
            <w:vAlign w:val="center"/>
          </w:tcPr>
          <w:p w14:paraId="6D863033" w14:textId="23F39B6C" w:rsidR="00DE67A3" w:rsidRPr="00DE67A3" w:rsidRDefault="00DE67A3" w:rsidP="00DE67A3">
            <w:pPr>
              <w:jc w:val="center"/>
              <w:rPr>
                <w:rFonts w:asciiTheme="majorBidi" w:hAnsiTheme="majorBidi" w:cstheme="majorBidi"/>
              </w:rPr>
            </w:pPr>
            <w:r w:rsidRPr="00DE67A3">
              <w:rPr>
                <w:rFonts w:asciiTheme="majorBidi" w:hAnsiTheme="majorBidi" w:cstheme="majorBidi"/>
              </w:rPr>
              <w:t>Weight * Levered Beta</w:t>
            </w:r>
          </w:p>
        </w:tc>
      </w:tr>
      <w:tr w:rsidR="00DE67A3" w:rsidRPr="00DE67A3" w14:paraId="22681770" w14:textId="4FF3FEDA" w:rsidTr="000E42EF">
        <w:trPr>
          <w:trHeight w:val="499"/>
        </w:trPr>
        <w:tc>
          <w:tcPr>
            <w:tcW w:w="1893" w:type="dxa"/>
            <w:shd w:val="clear" w:color="auto" w:fill="EEECE1" w:themeFill="background2"/>
            <w:vAlign w:val="center"/>
          </w:tcPr>
          <w:p w14:paraId="477C44DA"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Environmental &amp; Waste Services</w:t>
            </w:r>
          </w:p>
        </w:tc>
        <w:tc>
          <w:tcPr>
            <w:tcW w:w="1173" w:type="dxa"/>
            <w:vAlign w:val="center"/>
          </w:tcPr>
          <w:p w14:paraId="056A2FF9"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0.77</w:t>
            </w:r>
          </w:p>
        </w:tc>
        <w:tc>
          <w:tcPr>
            <w:tcW w:w="1532" w:type="dxa"/>
            <w:vAlign w:val="center"/>
          </w:tcPr>
          <w:p w14:paraId="55BF0F97"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90,000,000</w:t>
            </w:r>
          </w:p>
        </w:tc>
        <w:tc>
          <w:tcPr>
            <w:tcW w:w="1388" w:type="dxa"/>
            <w:vAlign w:val="center"/>
          </w:tcPr>
          <w:p w14:paraId="1DC5ED2C"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~6.65%</w:t>
            </w:r>
          </w:p>
        </w:tc>
        <w:tc>
          <w:tcPr>
            <w:tcW w:w="1337" w:type="dxa"/>
            <w:vAlign w:val="center"/>
          </w:tcPr>
          <w:p w14:paraId="4D28783E"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35.01%</w:t>
            </w:r>
          </w:p>
        </w:tc>
        <w:tc>
          <w:tcPr>
            <w:tcW w:w="929" w:type="dxa"/>
            <w:vAlign w:val="center"/>
          </w:tcPr>
          <w:p w14:paraId="2499B266"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13.22%</w:t>
            </w:r>
          </w:p>
        </w:tc>
        <w:tc>
          <w:tcPr>
            <w:tcW w:w="973" w:type="dxa"/>
            <w:vAlign w:val="center"/>
          </w:tcPr>
          <w:p w14:paraId="375DBEA8"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1.0039</w:t>
            </w:r>
          </w:p>
        </w:tc>
        <w:tc>
          <w:tcPr>
            <w:tcW w:w="980" w:type="dxa"/>
            <w:vAlign w:val="center"/>
          </w:tcPr>
          <w:p w14:paraId="7B2A57E5" w14:textId="3EE45F7B" w:rsidR="00DE67A3" w:rsidRPr="00DE67A3" w:rsidRDefault="00DE67A3" w:rsidP="00DE67A3">
            <w:pPr>
              <w:jc w:val="center"/>
              <w:rPr>
                <w:rFonts w:asciiTheme="majorBidi" w:hAnsiTheme="majorBidi" w:cstheme="majorBidi"/>
              </w:rPr>
            </w:pPr>
            <w:r w:rsidRPr="00DE67A3">
              <w:rPr>
                <w:rFonts w:asciiTheme="majorBidi" w:hAnsiTheme="majorBidi" w:cstheme="majorBidi"/>
              </w:rPr>
              <w:t>0.0668</w:t>
            </w:r>
          </w:p>
        </w:tc>
        <w:tc>
          <w:tcPr>
            <w:tcW w:w="980" w:type="dxa"/>
            <w:vAlign w:val="center"/>
          </w:tcPr>
          <w:p w14:paraId="5E84C171" w14:textId="5A2FCFCB" w:rsidR="00DE67A3" w:rsidRPr="00DE67A3" w:rsidRDefault="00DE67A3" w:rsidP="00DE67A3">
            <w:pPr>
              <w:jc w:val="center"/>
              <w:rPr>
                <w:rFonts w:asciiTheme="majorBidi" w:hAnsiTheme="majorBidi" w:cstheme="majorBidi"/>
              </w:rPr>
            </w:pPr>
            <w:r w:rsidRPr="00DE67A3">
              <w:rPr>
                <w:rFonts w:asciiTheme="majorBidi" w:hAnsiTheme="majorBidi" w:cstheme="majorBidi"/>
              </w:rPr>
              <w:t>0.0668</w:t>
            </w:r>
          </w:p>
        </w:tc>
      </w:tr>
      <w:tr w:rsidR="00DE67A3" w:rsidRPr="00DE67A3" w14:paraId="4208962A" w14:textId="25FDFA7F" w:rsidTr="000E42EF">
        <w:trPr>
          <w:trHeight w:val="506"/>
        </w:trPr>
        <w:tc>
          <w:tcPr>
            <w:tcW w:w="1893" w:type="dxa"/>
            <w:shd w:val="clear" w:color="auto" w:fill="EEECE1" w:themeFill="background2"/>
            <w:vAlign w:val="center"/>
          </w:tcPr>
          <w:p w14:paraId="0E57E674"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Real Estate (Development)</w:t>
            </w:r>
          </w:p>
        </w:tc>
        <w:tc>
          <w:tcPr>
            <w:tcW w:w="1173" w:type="dxa"/>
            <w:vAlign w:val="center"/>
          </w:tcPr>
          <w:p w14:paraId="5D309D8C"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0.31</w:t>
            </w:r>
          </w:p>
        </w:tc>
        <w:tc>
          <w:tcPr>
            <w:tcW w:w="1532" w:type="dxa"/>
            <w:vAlign w:val="center"/>
          </w:tcPr>
          <w:p w14:paraId="2D18E08C"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200,000,000</w:t>
            </w:r>
          </w:p>
        </w:tc>
        <w:tc>
          <w:tcPr>
            <w:tcW w:w="1388" w:type="dxa"/>
            <w:vAlign w:val="center"/>
          </w:tcPr>
          <w:p w14:paraId="2E6B28C9"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~8.87%</w:t>
            </w:r>
          </w:p>
        </w:tc>
        <w:tc>
          <w:tcPr>
            <w:tcW w:w="1337" w:type="dxa"/>
            <w:vAlign w:val="center"/>
          </w:tcPr>
          <w:p w14:paraId="60087D43"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248.91%</w:t>
            </w:r>
          </w:p>
        </w:tc>
        <w:tc>
          <w:tcPr>
            <w:tcW w:w="929" w:type="dxa"/>
            <w:vAlign w:val="center"/>
          </w:tcPr>
          <w:p w14:paraId="40BA4FCD"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14.39%</w:t>
            </w:r>
          </w:p>
        </w:tc>
        <w:tc>
          <w:tcPr>
            <w:tcW w:w="973" w:type="dxa"/>
            <w:vAlign w:val="center"/>
          </w:tcPr>
          <w:p w14:paraId="46944ADB"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0.9706</w:t>
            </w:r>
          </w:p>
        </w:tc>
        <w:tc>
          <w:tcPr>
            <w:tcW w:w="980" w:type="dxa"/>
            <w:vAlign w:val="center"/>
          </w:tcPr>
          <w:p w14:paraId="5E2DEEA5" w14:textId="1E6944C5" w:rsidR="00DE67A3" w:rsidRPr="00DE67A3" w:rsidRDefault="00DE67A3" w:rsidP="00DE67A3">
            <w:pPr>
              <w:jc w:val="center"/>
              <w:rPr>
                <w:rFonts w:asciiTheme="majorBidi" w:hAnsiTheme="majorBidi" w:cstheme="majorBidi"/>
              </w:rPr>
            </w:pPr>
            <w:r w:rsidRPr="00DE67A3">
              <w:rPr>
                <w:rFonts w:asciiTheme="majorBidi" w:hAnsiTheme="majorBidi" w:cstheme="majorBidi"/>
              </w:rPr>
              <w:t>0.1435</w:t>
            </w:r>
          </w:p>
        </w:tc>
        <w:tc>
          <w:tcPr>
            <w:tcW w:w="980" w:type="dxa"/>
            <w:vAlign w:val="center"/>
          </w:tcPr>
          <w:p w14:paraId="1B7FA9F0" w14:textId="5031E262" w:rsidR="00DE67A3" w:rsidRPr="00DE67A3" w:rsidRDefault="00DE67A3" w:rsidP="00DE67A3">
            <w:pPr>
              <w:jc w:val="center"/>
              <w:rPr>
                <w:rFonts w:asciiTheme="majorBidi" w:hAnsiTheme="majorBidi" w:cstheme="majorBidi"/>
              </w:rPr>
            </w:pPr>
            <w:r w:rsidRPr="00DE67A3">
              <w:rPr>
                <w:rFonts w:asciiTheme="majorBidi" w:hAnsiTheme="majorBidi" w:cstheme="majorBidi"/>
              </w:rPr>
              <w:t>0.0458</w:t>
            </w:r>
          </w:p>
        </w:tc>
      </w:tr>
      <w:tr w:rsidR="00DE67A3" w:rsidRPr="00DE67A3" w14:paraId="3FEB31CF" w14:textId="0BA720D3" w:rsidTr="000E42EF">
        <w:trPr>
          <w:trHeight w:val="506"/>
        </w:trPr>
        <w:tc>
          <w:tcPr>
            <w:tcW w:w="1893" w:type="dxa"/>
            <w:shd w:val="clear" w:color="auto" w:fill="EEECE1" w:themeFill="background2"/>
            <w:vAlign w:val="center"/>
          </w:tcPr>
          <w:p w14:paraId="5E75A498"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Restaurant/Dining</w:t>
            </w:r>
          </w:p>
        </w:tc>
        <w:tc>
          <w:tcPr>
            <w:tcW w:w="1173" w:type="dxa"/>
            <w:vAlign w:val="center"/>
          </w:tcPr>
          <w:p w14:paraId="6238452A"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0.79</w:t>
            </w:r>
          </w:p>
        </w:tc>
        <w:tc>
          <w:tcPr>
            <w:tcW w:w="1532" w:type="dxa"/>
            <w:vAlign w:val="center"/>
          </w:tcPr>
          <w:p w14:paraId="23C25651"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80,000,000</w:t>
            </w:r>
          </w:p>
        </w:tc>
        <w:tc>
          <w:tcPr>
            <w:tcW w:w="1388" w:type="dxa"/>
            <w:vAlign w:val="center"/>
          </w:tcPr>
          <w:p w14:paraId="71763724"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~5.91%</w:t>
            </w:r>
          </w:p>
        </w:tc>
        <w:tc>
          <w:tcPr>
            <w:tcW w:w="1337" w:type="dxa"/>
            <w:vAlign w:val="center"/>
          </w:tcPr>
          <w:p w14:paraId="5F2E587C"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27.34%</w:t>
            </w:r>
          </w:p>
        </w:tc>
        <w:tc>
          <w:tcPr>
            <w:tcW w:w="929" w:type="dxa"/>
            <w:vAlign w:val="center"/>
          </w:tcPr>
          <w:p w14:paraId="1005895B"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13.82%</w:t>
            </w:r>
          </w:p>
        </w:tc>
        <w:tc>
          <w:tcPr>
            <w:tcW w:w="973" w:type="dxa"/>
            <w:vAlign w:val="center"/>
          </w:tcPr>
          <w:p w14:paraId="3F7328A6"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0.9761</w:t>
            </w:r>
          </w:p>
        </w:tc>
        <w:tc>
          <w:tcPr>
            <w:tcW w:w="980" w:type="dxa"/>
            <w:vAlign w:val="center"/>
          </w:tcPr>
          <w:p w14:paraId="7A99961B" w14:textId="0298C08F" w:rsidR="00DE67A3" w:rsidRPr="00DE67A3" w:rsidRDefault="00DE67A3" w:rsidP="00DE67A3">
            <w:pPr>
              <w:jc w:val="center"/>
              <w:rPr>
                <w:rFonts w:asciiTheme="majorBidi" w:hAnsiTheme="majorBidi" w:cstheme="majorBidi"/>
              </w:rPr>
            </w:pPr>
            <w:r w:rsidRPr="00DE67A3">
              <w:rPr>
                <w:rFonts w:asciiTheme="majorBidi" w:hAnsiTheme="majorBidi" w:cstheme="majorBidi"/>
              </w:rPr>
              <w:t>0.0577</w:t>
            </w:r>
          </w:p>
        </w:tc>
        <w:tc>
          <w:tcPr>
            <w:tcW w:w="980" w:type="dxa"/>
            <w:vAlign w:val="center"/>
          </w:tcPr>
          <w:p w14:paraId="25A300D1" w14:textId="2A4165BD" w:rsidR="00DE67A3" w:rsidRPr="00DE67A3" w:rsidRDefault="00DE67A3" w:rsidP="00DE67A3">
            <w:pPr>
              <w:jc w:val="center"/>
              <w:rPr>
                <w:rFonts w:asciiTheme="majorBidi" w:hAnsiTheme="majorBidi" w:cstheme="majorBidi"/>
              </w:rPr>
            </w:pPr>
            <w:r w:rsidRPr="00DE67A3">
              <w:rPr>
                <w:rFonts w:asciiTheme="majorBidi" w:hAnsiTheme="majorBidi" w:cstheme="majorBidi"/>
              </w:rPr>
              <w:t>0.0467</w:t>
            </w:r>
          </w:p>
        </w:tc>
      </w:tr>
      <w:tr w:rsidR="00DE67A3" w:rsidRPr="00DE67A3" w14:paraId="5B8FFCC5" w14:textId="7963144F" w:rsidTr="000E42EF">
        <w:trPr>
          <w:trHeight w:val="753"/>
        </w:trPr>
        <w:tc>
          <w:tcPr>
            <w:tcW w:w="1893" w:type="dxa"/>
            <w:shd w:val="clear" w:color="auto" w:fill="EEECE1" w:themeFill="background2"/>
            <w:vAlign w:val="center"/>
          </w:tcPr>
          <w:p w14:paraId="3CE2B34F"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Software (System &amp; Application)</w:t>
            </w:r>
          </w:p>
        </w:tc>
        <w:tc>
          <w:tcPr>
            <w:tcW w:w="1173" w:type="dxa"/>
            <w:vAlign w:val="center"/>
          </w:tcPr>
          <w:p w14:paraId="6005A0C2"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1.23</w:t>
            </w:r>
          </w:p>
        </w:tc>
        <w:tc>
          <w:tcPr>
            <w:tcW w:w="1532" w:type="dxa"/>
            <w:vAlign w:val="center"/>
          </w:tcPr>
          <w:p w14:paraId="52F5221E"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53,023,000</w:t>
            </w:r>
          </w:p>
        </w:tc>
        <w:tc>
          <w:tcPr>
            <w:tcW w:w="1388" w:type="dxa"/>
            <w:vAlign w:val="center"/>
          </w:tcPr>
          <w:p w14:paraId="212ACB77"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~3.92%</w:t>
            </w:r>
          </w:p>
        </w:tc>
        <w:tc>
          <w:tcPr>
            <w:tcW w:w="1337" w:type="dxa"/>
            <w:vAlign w:val="center"/>
          </w:tcPr>
          <w:p w14:paraId="01CC63A9"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6.21%</w:t>
            </w:r>
          </w:p>
        </w:tc>
        <w:tc>
          <w:tcPr>
            <w:tcW w:w="929" w:type="dxa"/>
            <w:vAlign w:val="center"/>
          </w:tcPr>
          <w:p w14:paraId="1917EC31"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8.18%</w:t>
            </w:r>
          </w:p>
        </w:tc>
        <w:tc>
          <w:tcPr>
            <w:tcW w:w="973" w:type="dxa"/>
            <w:vAlign w:val="center"/>
          </w:tcPr>
          <w:p w14:paraId="45CCC435"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1.3001</w:t>
            </w:r>
          </w:p>
        </w:tc>
        <w:tc>
          <w:tcPr>
            <w:tcW w:w="980" w:type="dxa"/>
            <w:vAlign w:val="center"/>
          </w:tcPr>
          <w:p w14:paraId="0897C40D" w14:textId="44B43881" w:rsidR="00DE67A3" w:rsidRPr="00DE67A3" w:rsidRDefault="00DE67A3" w:rsidP="00DE67A3">
            <w:pPr>
              <w:jc w:val="center"/>
              <w:rPr>
                <w:rFonts w:asciiTheme="majorBidi" w:hAnsiTheme="majorBidi" w:cstheme="majorBidi"/>
              </w:rPr>
            </w:pPr>
            <w:r w:rsidRPr="00DE67A3">
              <w:rPr>
                <w:rFonts w:asciiTheme="majorBidi" w:hAnsiTheme="majorBidi" w:cstheme="majorBidi"/>
              </w:rPr>
              <w:t>0.0509</w:t>
            </w:r>
          </w:p>
        </w:tc>
        <w:tc>
          <w:tcPr>
            <w:tcW w:w="980" w:type="dxa"/>
            <w:vAlign w:val="center"/>
          </w:tcPr>
          <w:p w14:paraId="690F185A" w14:textId="7C389CF0" w:rsidR="00DE67A3" w:rsidRPr="00DE67A3" w:rsidRDefault="00DE67A3" w:rsidP="00DE67A3">
            <w:pPr>
              <w:jc w:val="center"/>
              <w:rPr>
                <w:rFonts w:asciiTheme="majorBidi" w:hAnsiTheme="majorBidi" w:cstheme="majorBidi"/>
              </w:rPr>
            </w:pPr>
            <w:r w:rsidRPr="00DE67A3">
              <w:rPr>
                <w:rFonts w:asciiTheme="majorBidi" w:hAnsiTheme="majorBidi" w:cstheme="majorBidi"/>
              </w:rPr>
              <w:t>0.0482</w:t>
            </w:r>
          </w:p>
        </w:tc>
      </w:tr>
      <w:tr w:rsidR="00DE67A3" w:rsidRPr="00DE67A3" w14:paraId="2D8F7628" w14:textId="03262611" w:rsidTr="000E42EF">
        <w:trPr>
          <w:trHeight w:val="506"/>
        </w:trPr>
        <w:tc>
          <w:tcPr>
            <w:tcW w:w="1893" w:type="dxa"/>
            <w:shd w:val="clear" w:color="auto" w:fill="EEECE1" w:themeFill="background2"/>
            <w:vAlign w:val="center"/>
          </w:tcPr>
          <w:p w14:paraId="3DE0F166"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Transportation</w:t>
            </w:r>
          </w:p>
        </w:tc>
        <w:tc>
          <w:tcPr>
            <w:tcW w:w="1173" w:type="dxa"/>
            <w:vAlign w:val="center"/>
          </w:tcPr>
          <w:p w14:paraId="7999BC1B"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0.66</w:t>
            </w:r>
          </w:p>
        </w:tc>
        <w:tc>
          <w:tcPr>
            <w:tcW w:w="1532" w:type="dxa"/>
            <w:vAlign w:val="center"/>
          </w:tcPr>
          <w:p w14:paraId="19D240C9"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930,000,000</w:t>
            </w:r>
          </w:p>
        </w:tc>
        <w:tc>
          <w:tcPr>
            <w:tcW w:w="1388" w:type="dxa"/>
            <w:vAlign w:val="center"/>
          </w:tcPr>
          <w:p w14:paraId="320C24EE"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~14.78%</w:t>
            </w:r>
          </w:p>
        </w:tc>
        <w:tc>
          <w:tcPr>
            <w:tcW w:w="1337" w:type="dxa"/>
            <w:vAlign w:val="center"/>
          </w:tcPr>
          <w:p w14:paraId="16F183FF"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49.22%</w:t>
            </w:r>
          </w:p>
        </w:tc>
        <w:tc>
          <w:tcPr>
            <w:tcW w:w="929" w:type="dxa"/>
            <w:vAlign w:val="center"/>
          </w:tcPr>
          <w:p w14:paraId="4A6196B1"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15.66%</w:t>
            </w:r>
          </w:p>
        </w:tc>
        <w:tc>
          <w:tcPr>
            <w:tcW w:w="973" w:type="dxa"/>
            <w:vAlign w:val="center"/>
          </w:tcPr>
          <w:p w14:paraId="1CDEE1F7"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0.9340</w:t>
            </w:r>
          </w:p>
        </w:tc>
        <w:tc>
          <w:tcPr>
            <w:tcW w:w="980" w:type="dxa"/>
            <w:vAlign w:val="center"/>
          </w:tcPr>
          <w:p w14:paraId="2160B9CA" w14:textId="6E447DA1" w:rsidR="00DE67A3" w:rsidRPr="00DE67A3" w:rsidRDefault="00DE67A3" w:rsidP="00DE67A3">
            <w:pPr>
              <w:jc w:val="center"/>
              <w:rPr>
                <w:rFonts w:asciiTheme="majorBidi" w:hAnsiTheme="majorBidi" w:cstheme="majorBidi"/>
              </w:rPr>
            </w:pPr>
            <w:r w:rsidRPr="00DE67A3">
              <w:rPr>
                <w:rFonts w:asciiTheme="majorBidi" w:hAnsiTheme="majorBidi" w:cstheme="majorBidi"/>
              </w:rPr>
              <w:t>0.6419</w:t>
            </w:r>
          </w:p>
        </w:tc>
        <w:tc>
          <w:tcPr>
            <w:tcW w:w="980" w:type="dxa"/>
            <w:vAlign w:val="center"/>
          </w:tcPr>
          <w:p w14:paraId="698F06D5" w14:textId="22E9A32B" w:rsidR="00DE67A3" w:rsidRPr="00DE67A3" w:rsidRDefault="00DE67A3" w:rsidP="00DE67A3">
            <w:pPr>
              <w:jc w:val="center"/>
              <w:rPr>
                <w:rFonts w:asciiTheme="majorBidi" w:hAnsiTheme="majorBidi" w:cstheme="majorBidi"/>
              </w:rPr>
            </w:pPr>
            <w:r w:rsidRPr="00DE67A3">
              <w:rPr>
                <w:rFonts w:asciiTheme="majorBidi" w:hAnsiTheme="majorBidi" w:cstheme="majorBidi"/>
              </w:rPr>
              <w:t>0.4537</w:t>
            </w:r>
          </w:p>
        </w:tc>
      </w:tr>
      <w:tr w:rsidR="00DE67A3" w:rsidRPr="00DE67A3" w14:paraId="393302C7" w14:textId="2F05FD1D" w:rsidTr="000E42EF">
        <w:trPr>
          <w:trHeight w:val="506"/>
        </w:trPr>
        <w:tc>
          <w:tcPr>
            <w:tcW w:w="1893" w:type="dxa"/>
            <w:shd w:val="clear" w:color="auto" w:fill="EEECE1" w:themeFill="background2"/>
            <w:vAlign w:val="center"/>
          </w:tcPr>
          <w:p w14:paraId="73B4A38F"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Total</w:t>
            </w:r>
          </w:p>
        </w:tc>
        <w:tc>
          <w:tcPr>
            <w:tcW w:w="1173" w:type="dxa"/>
            <w:vAlign w:val="center"/>
          </w:tcPr>
          <w:p w14:paraId="73F3ACA4" w14:textId="77777777" w:rsidR="00DE67A3" w:rsidRPr="00DE67A3" w:rsidRDefault="00DE67A3" w:rsidP="00DE67A3">
            <w:pPr>
              <w:jc w:val="center"/>
              <w:rPr>
                <w:rFonts w:asciiTheme="majorBidi" w:hAnsiTheme="majorBidi" w:cstheme="majorBidi"/>
                <w:b/>
                <w:bCs/>
              </w:rPr>
            </w:pPr>
          </w:p>
        </w:tc>
        <w:tc>
          <w:tcPr>
            <w:tcW w:w="1532" w:type="dxa"/>
            <w:vAlign w:val="center"/>
          </w:tcPr>
          <w:p w14:paraId="66330DFB"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1,353,023,000</w:t>
            </w:r>
          </w:p>
        </w:tc>
        <w:tc>
          <w:tcPr>
            <w:tcW w:w="1388" w:type="dxa"/>
            <w:vAlign w:val="center"/>
          </w:tcPr>
          <w:p w14:paraId="4FAC4082" w14:textId="77777777" w:rsidR="00DE67A3" w:rsidRPr="00DE67A3" w:rsidRDefault="00DE67A3" w:rsidP="00DE67A3">
            <w:pPr>
              <w:jc w:val="center"/>
              <w:rPr>
                <w:rFonts w:asciiTheme="majorBidi" w:hAnsiTheme="majorBidi" w:cstheme="majorBidi"/>
                <w:b/>
                <w:bCs/>
              </w:rPr>
            </w:pPr>
            <w:r w:rsidRPr="00DE67A3">
              <w:rPr>
                <w:rFonts w:asciiTheme="majorBidi" w:hAnsiTheme="majorBidi" w:cstheme="majorBidi"/>
              </w:rPr>
              <w:t>100%</w:t>
            </w:r>
          </w:p>
        </w:tc>
        <w:tc>
          <w:tcPr>
            <w:tcW w:w="1337" w:type="dxa"/>
            <w:vAlign w:val="center"/>
          </w:tcPr>
          <w:p w14:paraId="1E338B67" w14:textId="77777777" w:rsidR="00DE67A3" w:rsidRPr="00DE67A3" w:rsidRDefault="00DE67A3" w:rsidP="00DE67A3">
            <w:pPr>
              <w:jc w:val="center"/>
              <w:rPr>
                <w:rFonts w:asciiTheme="majorBidi" w:hAnsiTheme="majorBidi" w:cstheme="majorBidi"/>
                <w:b/>
                <w:bCs/>
              </w:rPr>
            </w:pPr>
          </w:p>
        </w:tc>
        <w:tc>
          <w:tcPr>
            <w:tcW w:w="929" w:type="dxa"/>
            <w:vAlign w:val="center"/>
          </w:tcPr>
          <w:p w14:paraId="3A77AF88" w14:textId="77777777" w:rsidR="00DE67A3" w:rsidRPr="00DE67A3" w:rsidRDefault="00DE67A3" w:rsidP="00DE67A3">
            <w:pPr>
              <w:jc w:val="center"/>
              <w:rPr>
                <w:rFonts w:asciiTheme="majorBidi" w:hAnsiTheme="majorBidi" w:cstheme="majorBidi"/>
                <w:b/>
                <w:bCs/>
              </w:rPr>
            </w:pPr>
          </w:p>
        </w:tc>
        <w:tc>
          <w:tcPr>
            <w:tcW w:w="973" w:type="dxa"/>
            <w:vAlign w:val="center"/>
          </w:tcPr>
          <w:p w14:paraId="1C95C854" w14:textId="77777777" w:rsidR="00DE67A3" w:rsidRPr="00DE67A3" w:rsidRDefault="00DE67A3" w:rsidP="00DE67A3">
            <w:pPr>
              <w:jc w:val="center"/>
              <w:rPr>
                <w:rFonts w:asciiTheme="majorBidi" w:hAnsiTheme="majorBidi" w:cstheme="majorBidi"/>
                <w:b/>
                <w:bCs/>
              </w:rPr>
            </w:pPr>
          </w:p>
        </w:tc>
        <w:tc>
          <w:tcPr>
            <w:tcW w:w="980" w:type="dxa"/>
            <w:vAlign w:val="center"/>
          </w:tcPr>
          <w:p w14:paraId="028FBB06" w14:textId="5D3F50D9" w:rsidR="00DE67A3" w:rsidRPr="00DE67A3" w:rsidRDefault="00DE67A3" w:rsidP="00DE67A3">
            <w:pPr>
              <w:jc w:val="center"/>
              <w:rPr>
                <w:rFonts w:asciiTheme="majorBidi" w:hAnsiTheme="majorBidi" w:cstheme="majorBidi"/>
              </w:rPr>
            </w:pPr>
            <w:r w:rsidRPr="00DE67A3">
              <w:rPr>
                <w:rFonts w:asciiTheme="majorBidi" w:hAnsiTheme="majorBidi" w:cstheme="majorBidi"/>
              </w:rPr>
              <w:t>0.9609</w:t>
            </w:r>
          </w:p>
        </w:tc>
        <w:tc>
          <w:tcPr>
            <w:tcW w:w="980" w:type="dxa"/>
            <w:vAlign w:val="center"/>
          </w:tcPr>
          <w:p w14:paraId="13CC02F3" w14:textId="2854564B" w:rsidR="00DE67A3" w:rsidRPr="00DE67A3" w:rsidRDefault="00DE67A3" w:rsidP="00DE67A3">
            <w:pPr>
              <w:jc w:val="center"/>
              <w:rPr>
                <w:rFonts w:asciiTheme="majorBidi" w:hAnsiTheme="majorBidi" w:cstheme="majorBidi"/>
              </w:rPr>
            </w:pPr>
            <w:r w:rsidRPr="00DE67A3">
              <w:rPr>
                <w:rFonts w:asciiTheme="majorBidi" w:hAnsiTheme="majorBidi" w:cstheme="majorBidi"/>
              </w:rPr>
              <w:t>0.6456</w:t>
            </w:r>
          </w:p>
        </w:tc>
      </w:tr>
    </w:tbl>
    <w:p w14:paraId="201CE091" w14:textId="77777777" w:rsidR="00551A48" w:rsidRDefault="00551A48" w:rsidP="00E4403B">
      <w:pPr>
        <w:rPr>
          <w:rFonts w:asciiTheme="majorBidi" w:eastAsiaTheme="majorEastAsia" w:hAnsiTheme="majorBidi" w:cstheme="majorBidi"/>
          <w:b/>
          <w:bCs/>
          <w:color w:val="365F91" w:themeColor="accent1" w:themeShade="BF"/>
          <w:sz w:val="28"/>
          <w:szCs w:val="28"/>
        </w:rPr>
      </w:pPr>
    </w:p>
    <w:p w14:paraId="47A78885" w14:textId="389AA79C" w:rsidR="00E4403B" w:rsidRDefault="00E4403B" w:rsidP="00E4403B">
      <w:pPr>
        <w:rPr>
          <w:rFonts w:asciiTheme="majorBidi" w:eastAsiaTheme="majorEastAsia" w:hAnsiTheme="majorBidi" w:cstheme="majorBidi"/>
          <w:b/>
          <w:bCs/>
          <w:color w:val="365F91" w:themeColor="accent1" w:themeShade="BF"/>
          <w:sz w:val="28"/>
          <w:szCs w:val="28"/>
        </w:rPr>
      </w:pPr>
      <w:r w:rsidRPr="00E4403B">
        <w:rPr>
          <w:rFonts w:asciiTheme="majorBidi" w:eastAsiaTheme="majorEastAsia" w:hAnsiTheme="majorBidi" w:cstheme="majorBidi"/>
          <w:b/>
          <w:bCs/>
          <w:color w:val="365F91" w:themeColor="accent1" w:themeShade="BF"/>
          <w:sz w:val="28"/>
          <w:szCs w:val="28"/>
        </w:rPr>
        <w:t>Comparing to Sector Betas (Bottom-up Betas)</w:t>
      </w:r>
    </w:p>
    <w:p w14:paraId="49C57EA9" w14:textId="77777777" w:rsidR="00314EBB" w:rsidRPr="00314EBB" w:rsidRDefault="00314EBB" w:rsidP="00314EBB">
      <w:pPr>
        <w:pStyle w:val="NormalWeb"/>
        <w:rPr>
          <w:highlight w:val="yellow"/>
        </w:rPr>
      </w:pPr>
      <w:r w:rsidRPr="00314EBB">
        <w:rPr>
          <w:highlight w:val="yellow"/>
        </w:rPr>
        <w:t xml:space="preserve">For Agility, the choice between top-down and bottom-up beta is crucial. While the </w:t>
      </w:r>
      <w:r w:rsidRPr="00314EBB">
        <w:rPr>
          <w:rStyle w:val="Strong"/>
          <w:highlight w:val="yellow"/>
        </w:rPr>
        <w:t>top-down beta</w:t>
      </w:r>
      <w:r w:rsidRPr="00314EBB">
        <w:rPr>
          <w:highlight w:val="yellow"/>
        </w:rPr>
        <w:t xml:space="preserve"> derived from historical regression data (beta of 1.583) reflects past market behavior and provides an overview of the firm's sensitivity to the market, it may not capture current structural changes, such as the 2024 spin-off. The </w:t>
      </w:r>
      <w:r w:rsidRPr="00314EBB">
        <w:rPr>
          <w:rStyle w:val="Strong"/>
          <w:highlight w:val="yellow"/>
        </w:rPr>
        <w:t>bottom-up beta</w:t>
      </w:r>
      <w:r w:rsidRPr="00314EBB">
        <w:rPr>
          <w:highlight w:val="yellow"/>
        </w:rPr>
        <w:t>, calculated by breaking down Agility into its business components and estimating weighted unlevered and levered betas for each segment, is more forward-looking and reliable. This method leverages industry data to assess the specific risk of each segment, adjusted for financial leverage using the Hamada equation, and provides a comprehensive view that incorporates current business and financial risks.</w:t>
      </w:r>
    </w:p>
    <w:p w14:paraId="74B8075F" w14:textId="0C862AA0" w:rsidR="002337D8" w:rsidRPr="000E42EF" w:rsidRDefault="002337D8" w:rsidP="002337D8">
      <w:pPr>
        <w:pStyle w:val="NormalWeb"/>
        <w:rPr>
          <w:highlight w:val="yellow"/>
        </w:rPr>
      </w:pPr>
      <w:r w:rsidRPr="002337D8">
        <w:rPr>
          <w:highlight w:val="yellow"/>
        </w:rPr>
        <w:t xml:space="preserve">For estimating the expected return on equity for Agility, we can use the CAPM model to reflect different investment horizons. For a </w:t>
      </w:r>
      <w:r w:rsidRPr="002337D8">
        <w:rPr>
          <w:rStyle w:val="Strong"/>
          <w:highlight w:val="yellow"/>
        </w:rPr>
        <w:t>short-term investor</w:t>
      </w:r>
      <w:r w:rsidRPr="002337D8">
        <w:rPr>
          <w:highlight w:val="yellow"/>
        </w:rPr>
        <w:t xml:space="preserve">, the focus is on immediate returns, so we rely on the </w:t>
      </w:r>
      <w:r w:rsidRPr="002337D8">
        <w:rPr>
          <w:rStyle w:val="Strong"/>
          <w:highlight w:val="yellow"/>
        </w:rPr>
        <w:t>levered beta</w:t>
      </w:r>
      <w:r w:rsidRPr="002337D8">
        <w:rPr>
          <w:highlight w:val="yellow"/>
        </w:rPr>
        <w:t xml:space="preserve">, which includes the effect of the company's </w:t>
      </w:r>
      <w:r w:rsidRPr="000E42EF">
        <w:rPr>
          <w:highlight w:val="yellow"/>
        </w:rPr>
        <w:t xml:space="preserve">financial leverage. With the current market conditions, this suggests an expected return of about </w:t>
      </w:r>
      <w:r w:rsidR="005675A7" w:rsidRPr="000E42EF">
        <w:rPr>
          <w:highlight w:val="yellow"/>
        </w:rPr>
        <w:t>5.480%</w:t>
      </w:r>
      <w:r w:rsidRPr="000E42EF">
        <w:rPr>
          <w:highlight w:val="yellow"/>
        </w:rPr>
        <w:t>. This higher return indicates that while short-term investments in Agility come with the potential for greater rewards, they also carry higher risk due to market volatility and the company’s leverage.</w:t>
      </w:r>
    </w:p>
    <w:p w14:paraId="52FFCBD6" w14:textId="5508E18E" w:rsidR="002337D8" w:rsidRPr="002337D8" w:rsidRDefault="002337D8" w:rsidP="002337D8">
      <w:pPr>
        <w:pStyle w:val="NormalWeb"/>
        <w:rPr>
          <w:highlight w:val="yellow"/>
        </w:rPr>
      </w:pPr>
      <w:r w:rsidRPr="000E42EF">
        <w:rPr>
          <w:highlight w:val="yellow"/>
        </w:rPr>
        <w:t xml:space="preserve">On the other hand, for a </w:t>
      </w:r>
      <w:r w:rsidRPr="000E42EF">
        <w:rPr>
          <w:rStyle w:val="Strong"/>
          <w:highlight w:val="yellow"/>
        </w:rPr>
        <w:t>long-term investor</w:t>
      </w:r>
      <w:r w:rsidRPr="000E42EF">
        <w:rPr>
          <w:highlight w:val="yellow"/>
        </w:rPr>
        <w:t xml:space="preserve">, we consider the </w:t>
      </w:r>
      <w:r w:rsidRPr="000E42EF">
        <w:rPr>
          <w:rStyle w:val="Strong"/>
          <w:highlight w:val="yellow"/>
        </w:rPr>
        <w:t>unlevered beta</w:t>
      </w:r>
      <w:r w:rsidRPr="000E42EF">
        <w:rPr>
          <w:highlight w:val="yellow"/>
        </w:rPr>
        <w:t xml:space="preserve"> to understand the core business risk without the added impact of debt. This results in a more stable expected return of approximately </w:t>
      </w:r>
      <w:r w:rsidR="005675A7" w:rsidRPr="000E42EF">
        <w:rPr>
          <w:highlight w:val="yellow"/>
        </w:rPr>
        <w:t>4.983%</w:t>
      </w:r>
      <w:r w:rsidRPr="000E42EF">
        <w:rPr>
          <w:highlight w:val="yellow"/>
        </w:rPr>
        <w:t xml:space="preserve">This </w:t>
      </w:r>
      <w:r w:rsidRPr="002337D8">
        <w:rPr>
          <w:highlight w:val="yellow"/>
        </w:rPr>
        <w:t>reflects the underlying strength of Agility’s business operations and suggests that long-term investments are likely to be more resilient to financial fluctuations and provide steady growth over time.</w:t>
      </w:r>
    </w:p>
    <w:p w14:paraId="3A3BA231" w14:textId="77777777" w:rsidR="002337D8" w:rsidRDefault="002337D8" w:rsidP="002337D8">
      <w:pPr>
        <w:pStyle w:val="NormalWeb"/>
      </w:pPr>
      <w:r w:rsidRPr="002337D8">
        <w:rPr>
          <w:highlight w:val="yellow"/>
        </w:rPr>
        <w:t>For managers, these insights are crucial. The expected returns help set realistic performance benchmarks, guide strategic project evaluations, and balance risk management. By understanding both short-term and long-term expectations, managers can make informed decisions that align with company goals and investor expectations, ensuring sustainable performance.</w:t>
      </w:r>
    </w:p>
    <w:p w14:paraId="7DE4A486" w14:textId="037BC3F4" w:rsidR="00231035" w:rsidRDefault="00231035" w:rsidP="00231035">
      <w:pPr>
        <w:rPr>
          <w:rFonts w:asciiTheme="majorBidi" w:eastAsiaTheme="majorEastAsia" w:hAnsiTheme="majorBidi" w:cstheme="majorBidi"/>
          <w:b/>
          <w:bCs/>
          <w:color w:val="365F91" w:themeColor="accent1" w:themeShade="BF"/>
          <w:sz w:val="28"/>
          <w:szCs w:val="28"/>
        </w:rPr>
      </w:pPr>
      <w:r>
        <w:rPr>
          <w:rFonts w:asciiTheme="majorBidi" w:eastAsiaTheme="majorEastAsia" w:hAnsiTheme="majorBidi" w:cstheme="majorBidi"/>
          <w:b/>
          <w:bCs/>
          <w:color w:val="365F91" w:themeColor="accent1" w:themeShade="BF"/>
          <w:sz w:val="28"/>
          <w:szCs w:val="28"/>
        </w:rPr>
        <w:lastRenderedPageBreak/>
        <w:t>Estimating default risk and cost of debt</w:t>
      </w:r>
    </w:p>
    <w:p w14:paraId="59970799" w14:textId="4E90BA84" w:rsidR="00FD74F6" w:rsidRPr="00FD74F6" w:rsidRDefault="00FD74F6" w:rsidP="00FD74F6">
      <w:pPr>
        <w:spacing w:before="100" w:beforeAutospacing="1" w:after="100" w:afterAutospacing="1" w:line="240" w:lineRule="auto"/>
        <w:rPr>
          <w:rFonts w:ascii="Times New Roman" w:eastAsia="Times New Roman" w:hAnsi="Times New Roman" w:cs="Times New Roman"/>
          <w:sz w:val="24"/>
          <w:szCs w:val="24"/>
        </w:rPr>
      </w:pPr>
      <w:r w:rsidRPr="00FD74F6">
        <w:rPr>
          <w:rFonts w:ascii="Times New Roman" w:eastAsia="Times New Roman" w:hAnsi="Times New Roman" w:cs="Times New Roman"/>
          <w:sz w:val="24"/>
          <w:szCs w:val="24"/>
          <w:highlight w:val="yellow"/>
        </w:rPr>
        <w:t>Comparing Agility’s financial metrics from 2023 to 2024 reveals significant shifts post-spin-off, emphasizing the structural and financial impacts:</w:t>
      </w:r>
    </w:p>
    <w:tbl>
      <w:tblPr>
        <w:tblpPr w:leftFromText="180" w:rightFromText="180" w:vertAnchor="text" w:horzAnchor="margin" w:tblpXSpec="center" w:tblpY="219"/>
        <w:tblW w:w="48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404"/>
        <w:gridCol w:w="2449"/>
        <w:gridCol w:w="2447"/>
      </w:tblGrid>
      <w:tr w:rsidR="003D5400" w:rsidRPr="00C1703A" w14:paraId="51E06346" w14:textId="77777777" w:rsidTr="000E42EF">
        <w:trPr>
          <w:trHeight w:val="241"/>
          <w:tblHeader/>
        </w:trPr>
        <w:tc>
          <w:tcPr>
            <w:tcW w:w="2051" w:type="pct"/>
            <w:shd w:val="clear" w:color="auto" w:fill="EEECE1" w:themeFill="background2"/>
            <w:vAlign w:val="center"/>
          </w:tcPr>
          <w:p w14:paraId="0415CC21"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Metric</w:t>
            </w:r>
          </w:p>
        </w:tc>
        <w:tc>
          <w:tcPr>
            <w:tcW w:w="1475" w:type="pct"/>
            <w:shd w:val="clear" w:color="auto" w:fill="EEECE1" w:themeFill="background2"/>
            <w:vAlign w:val="center"/>
          </w:tcPr>
          <w:p w14:paraId="5344BB52"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2023 Value</w:t>
            </w:r>
          </w:p>
        </w:tc>
        <w:tc>
          <w:tcPr>
            <w:tcW w:w="1474" w:type="pct"/>
            <w:shd w:val="clear" w:color="auto" w:fill="EEECE1" w:themeFill="background2"/>
            <w:vAlign w:val="center"/>
          </w:tcPr>
          <w:p w14:paraId="0ED30E83"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2024 Value</w:t>
            </w:r>
          </w:p>
        </w:tc>
      </w:tr>
      <w:tr w:rsidR="003D5400" w:rsidRPr="00C1703A" w14:paraId="14E81034" w14:textId="77777777" w:rsidTr="000E42EF">
        <w:trPr>
          <w:trHeight w:val="241"/>
        </w:trPr>
        <w:tc>
          <w:tcPr>
            <w:tcW w:w="2051" w:type="pct"/>
            <w:shd w:val="clear" w:color="auto" w:fill="EEECE1" w:themeFill="background2"/>
            <w:vAlign w:val="center"/>
          </w:tcPr>
          <w:p w14:paraId="284D4A4D"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Interest Expense</w:t>
            </w:r>
          </w:p>
        </w:tc>
        <w:tc>
          <w:tcPr>
            <w:tcW w:w="1475" w:type="pct"/>
            <w:vAlign w:val="center"/>
          </w:tcPr>
          <w:p w14:paraId="38282598"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64,094,000 KD</w:t>
            </w:r>
          </w:p>
        </w:tc>
        <w:tc>
          <w:tcPr>
            <w:tcW w:w="1474" w:type="pct"/>
            <w:vAlign w:val="center"/>
          </w:tcPr>
          <w:p w14:paraId="773705D7"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35,036,000 KD</w:t>
            </w:r>
          </w:p>
        </w:tc>
      </w:tr>
      <w:tr w:rsidR="003D5400" w:rsidRPr="00C1703A" w14:paraId="2BFC6759" w14:textId="77777777" w:rsidTr="000E42EF">
        <w:trPr>
          <w:trHeight w:val="241"/>
        </w:trPr>
        <w:tc>
          <w:tcPr>
            <w:tcW w:w="2051" w:type="pct"/>
            <w:shd w:val="clear" w:color="auto" w:fill="EEECE1" w:themeFill="background2"/>
            <w:vAlign w:val="center"/>
          </w:tcPr>
          <w:p w14:paraId="25C2618D"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EBIT</w:t>
            </w:r>
          </w:p>
        </w:tc>
        <w:tc>
          <w:tcPr>
            <w:tcW w:w="1475" w:type="pct"/>
            <w:vAlign w:val="center"/>
          </w:tcPr>
          <w:p w14:paraId="2D251CB7"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165,676,000 KD</w:t>
            </w:r>
          </w:p>
        </w:tc>
        <w:tc>
          <w:tcPr>
            <w:tcW w:w="1474" w:type="pct"/>
            <w:vAlign w:val="center"/>
          </w:tcPr>
          <w:p w14:paraId="03CB5EB1"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84,574,000 KD</w:t>
            </w:r>
          </w:p>
        </w:tc>
      </w:tr>
      <w:tr w:rsidR="003D5400" w:rsidRPr="00C1703A" w14:paraId="35BC896F" w14:textId="77777777" w:rsidTr="000E42EF">
        <w:trPr>
          <w:trHeight w:val="241"/>
        </w:trPr>
        <w:tc>
          <w:tcPr>
            <w:tcW w:w="2051" w:type="pct"/>
            <w:shd w:val="clear" w:color="auto" w:fill="EEECE1" w:themeFill="background2"/>
            <w:vAlign w:val="center"/>
          </w:tcPr>
          <w:p w14:paraId="0D1579E8"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Interest Coverage Ratio</w:t>
            </w:r>
          </w:p>
        </w:tc>
        <w:tc>
          <w:tcPr>
            <w:tcW w:w="1475" w:type="pct"/>
            <w:vAlign w:val="center"/>
          </w:tcPr>
          <w:p w14:paraId="0BF27215"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2.58</w:t>
            </w:r>
          </w:p>
        </w:tc>
        <w:tc>
          <w:tcPr>
            <w:tcW w:w="1474" w:type="pct"/>
            <w:vAlign w:val="center"/>
          </w:tcPr>
          <w:p w14:paraId="6F0F36F7"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2.41</w:t>
            </w:r>
          </w:p>
        </w:tc>
      </w:tr>
      <w:tr w:rsidR="003D5400" w:rsidRPr="00C1703A" w14:paraId="0A68923C" w14:textId="77777777" w:rsidTr="000E42EF">
        <w:trPr>
          <w:trHeight w:val="241"/>
        </w:trPr>
        <w:tc>
          <w:tcPr>
            <w:tcW w:w="2051" w:type="pct"/>
            <w:shd w:val="clear" w:color="auto" w:fill="EEECE1" w:themeFill="background2"/>
            <w:vAlign w:val="center"/>
          </w:tcPr>
          <w:p w14:paraId="1CF129CA"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Market Cap</w:t>
            </w:r>
          </w:p>
        </w:tc>
        <w:tc>
          <w:tcPr>
            <w:tcW w:w="1475" w:type="pct"/>
            <w:vAlign w:val="center"/>
          </w:tcPr>
          <w:p w14:paraId="6ADCE247"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1,362,149,450 KD</w:t>
            </w:r>
          </w:p>
        </w:tc>
        <w:tc>
          <w:tcPr>
            <w:tcW w:w="1474" w:type="pct"/>
            <w:vAlign w:val="center"/>
          </w:tcPr>
          <w:p w14:paraId="36E1AAF7"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746,639,875 KD</w:t>
            </w:r>
          </w:p>
        </w:tc>
      </w:tr>
      <w:tr w:rsidR="003D5400" w:rsidRPr="00C1703A" w14:paraId="075C935E" w14:textId="77777777" w:rsidTr="000E42EF">
        <w:trPr>
          <w:trHeight w:val="241"/>
        </w:trPr>
        <w:tc>
          <w:tcPr>
            <w:tcW w:w="2051" w:type="pct"/>
            <w:shd w:val="clear" w:color="auto" w:fill="EEECE1" w:themeFill="background2"/>
            <w:vAlign w:val="center"/>
          </w:tcPr>
          <w:p w14:paraId="68BECCBB"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Credit Rating</w:t>
            </w:r>
          </w:p>
        </w:tc>
        <w:tc>
          <w:tcPr>
            <w:tcW w:w="1475" w:type="pct"/>
            <w:vAlign w:val="center"/>
          </w:tcPr>
          <w:p w14:paraId="7AC0FFF7"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B1/B+</w:t>
            </w:r>
          </w:p>
        </w:tc>
        <w:tc>
          <w:tcPr>
            <w:tcW w:w="1474" w:type="pct"/>
            <w:vAlign w:val="center"/>
          </w:tcPr>
          <w:p w14:paraId="5928A55C" w14:textId="77777777" w:rsidR="00231035" w:rsidRPr="00231035" w:rsidRDefault="00231035" w:rsidP="003D5400">
            <w:pPr>
              <w:spacing w:after="0" w:line="240" w:lineRule="auto"/>
              <w:jc w:val="center"/>
              <w:rPr>
                <w:rFonts w:asciiTheme="majorBidi" w:eastAsia="Times New Roman" w:hAnsiTheme="majorBidi" w:cstheme="majorBidi"/>
                <w:bCs/>
              </w:rPr>
            </w:pPr>
            <w:r w:rsidRPr="00231035">
              <w:rPr>
                <w:rFonts w:asciiTheme="majorBidi" w:eastAsia="Times New Roman" w:hAnsiTheme="majorBidi" w:cstheme="majorBidi"/>
                <w:bCs/>
              </w:rPr>
              <w:t>B2/B</w:t>
            </w:r>
          </w:p>
        </w:tc>
      </w:tr>
      <w:tr w:rsidR="003D5400" w:rsidRPr="00C1703A" w14:paraId="7D874135" w14:textId="77777777" w:rsidTr="000E42EF">
        <w:trPr>
          <w:trHeight w:val="241"/>
        </w:trPr>
        <w:tc>
          <w:tcPr>
            <w:tcW w:w="2051" w:type="pct"/>
            <w:shd w:val="clear" w:color="auto" w:fill="EEECE1" w:themeFill="background2"/>
          </w:tcPr>
          <w:p w14:paraId="4D99ED86" w14:textId="46B59E5E" w:rsidR="003D5400" w:rsidRPr="003D5400" w:rsidRDefault="003D5400" w:rsidP="003D5400">
            <w:pPr>
              <w:spacing w:after="0" w:line="240" w:lineRule="auto"/>
              <w:jc w:val="center"/>
              <w:rPr>
                <w:rFonts w:asciiTheme="majorBidi" w:eastAsia="Times New Roman" w:hAnsiTheme="majorBidi" w:cstheme="majorBidi"/>
                <w:bCs/>
              </w:rPr>
            </w:pPr>
            <w:r w:rsidRPr="003D5400">
              <w:rPr>
                <w:rFonts w:asciiTheme="majorBidi" w:hAnsiTheme="majorBidi" w:cstheme="majorBidi"/>
              </w:rPr>
              <w:t>Default Spread</w:t>
            </w:r>
          </w:p>
        </w:tc>
        <w:tc>
          <w:tcPr>
            <w:tcW w:w="1475" w:type="pct"/>
          </w:tcPr>
          <w:p w14:paraId="253A0D11" w14:textId="40896220" w:rsidR="003D5400" w:rsidRPr="003D5400" w:rsidRDefault="003D5400" w:rsidP="003D5400">
            <w:pPr>
              <w:spacing w:after="0" w:line="240" w:lineRule="auto"/>
              <w:jc w:val="center"/>
              <w:rPr>
                <w:rFonts w:asciiTheme="majorBidi" w:eastAsia="Times New Roman" w:hAnsiTheme="majorBidi" w:cstheme="majorBidi"/>
                <w:bCs/>
              </w:rPr>
            </w:pPr>
            <w:r w:rsidRPr="003D5400">
              <w:rPr>
                <w:rFonts w:asciiTheme="majorBidi" w:hAnsiTheme="majorBidi" w:cstheme="majorBidi"/>
              </w:rPr>
              <w:t>3.14%</w:t>
            </w:r>
          </w:p>
        </w:tc>
        <w:tc>
          <w:tcPr>
            <w:tcW w:w="1474" w:type="pct"/>
          </w:tcPr>
          <w:p w14:paraId="3F14016B" w14:textId="718647A1" w:rsidR="003D5400" w:rsidRPr="003D5400" w:rsidRDefault="003D5400" w:rsidP="003D5400">
            <w:pPr>
              <w:spacing w:after="0" w:line="240" w:lineRule="auto"/>
              <w:jc w:val="center"/>
              <w:rPr>
                <w:rFonts w:asciiTheme="majorBidi" w:eastAsia="Times New Roman" w:hAnsiTheme="majorBidi" w:cstheme="majorBidi"/>
                <w:bCs/>
              </w:rPr>
            </w:pPr>
            <w:r w:rsidRPr="003D5400">
              <w:rPr>
                <w:rFonts w:asciiTheme="majorBidi" w:hAnsiTheme="majorBidi" w:cstheme="majorBidi"/>
              </w:rPr>
              <w:t>3.61%</w:t>
            </w:r>
          </w:p>
        </w:tc>
      </w:tr>
      <w:tr w:rsidR="003D5400" w:rsidRPr="00C1703A" w14:paraId="58503A04" w14:textId="77777777" w:rsidTr="000E42EF">
        <w:trPr>
          <w:trHeight w:val="241"/>
        </w:trPr>
        <w:tc>
          <w:tcPr>
            <w:tcW w:w="2051" w:type="pct"/>
            <w:shd w:val="clear" w:color="auto" w:fill="EEECE1" w:themeFill="background2"/>
          </w:tcPr>
          <w:p w14:paraId="493F3398" w14:textId="4776DBCE" w:rsidR="003D5400" w:rsidRPr="003D5400" w:rsidRDefault="003D5400" w:rsidP="003D5400">
            <w:pPr>
              <w:spacing w:after="0" w:line="240" w:lineRule="auto"/>
              <w:jc w:val="center"/>
              <w:rPr>
                <w:rFonts w:asciiTheme="majorBidi" w:eastAsia="Times New Roman" w:hAnsiTheme="majorBidi" w:cstheme="majorBidi"/>
                <w:bCs/>
              </w:rPr>
            </w:pPr>
            <w:r w:rsidRPr="003D5400">
              <w:rPr>
                <w:rFonts w:asciiTheme="majorBidi" w:hAnsiTheme="majorBidi" w:cstheme="majorBidi"/>
              </w:rPr>
              <w:t>Interest rate</w:t>
            </w:r>
          </w:p>
        </w:tc>
        <w:tc>
          <w:tcPr>
            <w:tcW w:w="1475" w:type="pct"/>
          </w:tcPr>
          <w:p w14:paraId="18AB32C6" w14:textId="35DB5277" w:rsidR="003D5400" w:rsidRPr="003D5400" w:rsidRDefault="003D5400" w:rsidP="003D5400">
            <w:pPr>
              <w:spacing w:after="0" w:line="240" w:lineRule="auto"/>
              <w:jc w:val="center"/>
              <w:rPr>
                <w:rFonts w:asciiTheme="majorBidi" w:eastAsia="Times New Roman" w:hAnsiTheme="majorBidi" w:cstheme="majorBidi"/>
                <w:bCs/>
              </w:rPr>
            </w:pPr>
            <w:r w:rsidRPr="003D5400">
              <w:rPr>
                <w:rFonts w:asciiTheme="majorBidi" w:hAnsiTheme="majorBidi" w:cstheme="majorBidi"/>
              </w:rPr>
              <w:t>7.14%</w:t>
            </w:r>
          </w:p>
        </w:tc>
        <w:tc>
          <w:tcPr>
            <w:tcW w:w="1474" w:type="pct"/>
          </w:tcPr>
          <w:p w14:paraId="7AC7A6A0" w14:textId="39F776E6" w:rsidR="003D5400" w:rsidRPr="003D5400" w:rsidRDefault="003D5400" w:rsidP="003D5400">
            <w:pPr>
              <w:spacing w:after="0" w:line="240" w:lineRule="auto"/>
              <w:jc w:val="center"/>
              <w:rPr>
                <w:rFonts w:asciiTheme="majorBidi" w:eastAsia="Times New Roman" w:hAnsiTheme="majorBidi" w:cstheme="majorBidi"/>
                <w:bCs/>
              </w:rPr>
            </w:pPr>
            <w:r w:rsidRPr="003D5400">
              <w:rPr>
                <w:rFonts w:asciiTheme="majorBidi" w:hAnsiTheme="majorBidi" w:cstheme="majorBidi"/>
              </w:rPr>
              <w:t>7.61%</w:t>
            </w:r>
          </w:p>
        </w:tc>
      </w:tr>
    </w:tbl>
    <w:p w14:paraId="4D415DDA" w14:textId="77777777" w:rsidR="00FD74F6" w:rsidRDefault="00FD74F6" w:rsidP="00F453CB"/>
    <w:p w14:paraId="49A36A63" w14:textId="2E2E7337" w:rsidR="00231035" w:rsidRDefault="00FD74F6" w:rsidP="00F453CB">
      <w:r w:rsidRPr="00FD74F6">
        <w:rPr>
          <w:highlight w:val="yellow"/>
        </w:rPr>
        <w:t xml:space="preserve">For 2023, the taxation was </w:t>
      </w:r>
      <w:r w:rsidRPr="00FD74F6">
        <w:rPr>
          <w:rStyle w:val="Strong"/>
          <w:highlight w:val="yellow"/>
        </w:rPr>
        <w:t>19,867 KD</w:t>
      </w:r>
      <w:r w:rsidRPr="00FD74F6">
        <w:rPr>
          <w:highlight w:val="yellow"/>
        </w:rPr>
        <w:t xml:space="preserve"> on a profit before tax of </w:t>
      </w:r>
      <w:r w:rsidRPr="00FD74F6">
        <w:rPr>
          <w:rStyle w:val="Strong"/>
          <w:highlight w:val="yellow"/>
        </w:rPr>
        <w:t>127,597 KD</w:t>
      </w:r>
      <w:r w:rsidRPr="00FD74F6">
        <w:rPr>
          <w:highlight w:val="yellow"/>
        </w:rPr>
        <w:t xml:space="preserve">, reflecting an approximate marginal tax rate of </w:t>
      </w:r>
      <w:r w:rsidRPr="00FD74F6">
        <w:rPr>
          <w:rStyle w:val="Strong"/>
          <w:highlight w:val="yellow"/>
        </w:rPr>
        <w:t>15.6%</w:t>
      </w:r>
      <w:r w:rsidRPr="00FD74F6">
        <w:rPr>
          <w:highlight w:val="yellow"/>
        </w:rPr>
        <w:t>​</w:t>
      </w:r>
      <w:r w:rsidRPr="00FD74F6">
        <w:rPr>
          <w:highlight w:val="yellow"/>
        </w:rPr>
        <w:t>.</w:t>
      </w:r>
    </w:p>
    <w:p w14:paraId="5F60BCBC" w14:textId="77777777" w:rsidR="00197288" w:rsidRPr="00197288" w:rsidRDefault="00197288" w:rsidP="00197288">
      <w:pPr>
        <w:spacing w:before="100" w:beforeAutospacing="1" w:after="100" w:afterAutospacing="1" w:line="240" w:lineRule="auto"/>
        <w:rPr>
          <w:rFonts w:ascii="Times New Roman" w:eastAsia="Times New Roman" w:hAnsi="Times New Roman" w:cs="Times New Roman"/>
          <w:sz w:val="24"/>
          <w:szCs w:val="24"/>
          <w:highlight w:val="yellow"/>
        </w:rPr>
      </w:pPr>
      <w:r w:rsidRPr="00197288">
        <w:rPr>
          <w:rFonts w:ascii="Times New Roman" w:eastAsia="Times New Roman" w:hAnsi="Times New Roman" w:cs="Times New Roman"/>
          <w:sz w:val="24"/>
          <w:szCs w:val="24"/>
          <w:highlight w:val="yellow"/>
        </w:rPr>
        <w:t>In January 2024, Agility Public Warehousing Company underwent a significant structural change where Agility Global PLC was spun off from the parent company, Agility Kuwait. This strategic move, akin to a divestiture, resulted in Agility Kuwait retaining a 51% controlling stake in Agility Global, which is now listed in Abu Dhabi.</w:t>
      </w:r>
    </w:p>
    <w:p w14:paraId="1D356A7D" w14:textId="77777777" w:rsidR="00197288" w:rsidRPr="00197288" w:rsidRDefault="00197288" w:rsidP="00197288">
      <w:pPr>
        <w:spacing w:before="100" w:beforeAutospacing="1" w:after="100" w:afterAutospacing="1" w:line="240" w:lineRule="auto"/>
        <w:rPr>
          <w:rFonts w:ascii="Times New Roman" w:eastAsia="Times New Roman" w:hAnsi="Times New Roman" w:cs="Times New Roman"/>
          <w:sz w:val="24"/>
          <w:szCs w:val="24"/>
          <w:highlight w:val="yellow"/>
        </w:rPr>
      </w:pPr>
      <w:r w:rsidRPr="00197288">
        <w:rPr>
          <w:rFonts w:ascii="Times New Roman" w:eastAsia="Times New Roman" w:hAnsi="Times New Roman" w:cs="Times New Roman"/>
          <w:sz w:val="24"/>
          <w:szCs w:val="24"/>
          <w:highlight w:val="yellow"/>
        </w:rPr>
        <w:t xml:space="preserve">This separation had a notable impact on Agility’s financials, including a substantial drop in its market capitalization, as seen by comparing the 2023 and 2024 metrics. The market cap fell from approximately 1.36 billion KD in 2023 to around 746.6 million KD in 2024. This decrease is also evident in the stock price drop on the Kuwait </w:t>
      </w:r>
      <w:proofErr w:type="spellStart"/>
      <w:r w:rsidRPr="00197288">
        <w:rPr>
          <w:rFonts w:ascii="Times New Roman" w:eastAsia="Times New Roman" w:hAnsi="Times New Roman" w:cs="Times New Roman"/>
          <w:sz w:val="24"/>
          <w:szCs w:val="24"/>
          <w:highlight w:val="yellow"/>
        </w:rPr>
        <w:t>Boursa</w:t>
      </w:r>
      <w:proofErr w:type="spellEnd"/>
      <w:r w:rsidRPr="00197288">
        <w:rPr>
          <w:rFonts w:ascii="Times New Roman" w:eastAsia="Times New Roman" w:hAnsi="Times New Roman" w:cs="Times New Roman"/>
          <w:sz w:val="24"/>
          <w:szCs w:val="24"/>
          <w:highlight w:val="yellow"/>
        </w:rPr>
        <w:t>, as shares were allocated to investors for the new entity, Agility Global.</w:t>
      </w:r>
    </w:p>
    <w:p w14:paraId="18D74FD3" w14:textId="00AACBB6" w:rsidR="00197288" w:rsidRDefault="00197288" w:rsidP="00197288">
      <w:pPr>
        <w:spacing w:before="100" w:beforeAutospacing="1" w:after="100" w:afterAutospacing="1" w:line="240" w:lineRule="auto"/>
        <w:rPr>
          <w:rFonts w:ascii="Times New Roman" w:eastAsia="Times New Roman" w:hAnsi="Times New Roman" w:cs="Times New Roman"/>
          <w:sz w:val="24"/>
          <w:szCs w:val="24"/>
        </w:rPr>
      </w:pPr>
      <w:r w:rsidRPr="00197288">
        <w:rPr>
          <w:rFonts w:ascii="Times New Roman" w:eastAsia="Times New Roman" w:hAnsi="Times New Roman" w:cs="Times New Roman"/>
          <w:sz w:val="24"/>
          <w:szCs w:val="24"/>
          <w:highlight w:val="yellow"/>
        </w:rPr>
        <w:t>This structural shift has implications for Agility’s financial performance and investor perception. The reduction in EBIT and the changes in interest expense, credit ratings, and default spreads all reflect the financial adjustments and potential risks following the spin-off. Understanding these elements is crucial for interpreting Agility’s current and future performance.</w:t>
      </w:r>
    </w:p>
    <w:p w14:paraId="1814A498" w14:textId="77777777" w:rsidR="000E42EF" w:rsidRPr="00E4403B" w:rsidRDefault="000E42EF" w:rsidP="000E42EF">
      <w:pPr>
        <w:rPr>
          <w:rFonts w:asciiTheme="majorBidi" w:hAnsiTheme="majorBidi" w:cstheme="majorBidi"/>
        </w:rPr>
      </w:pPr>
      <w:r w:rsidRPr="000E42EF">
        <w:rPr>
          <w:rFonts w:asciiTheme="majorBidi" w:hAnsiTheme="majorBidi" w:cstheme="majorBidi"/>
          <w:highlight w:val="yellow"/>
        </w:rPr>
        <w:t>Agility's 2024 financial statements show recent borrowings. The company raised KD 719.7 million using a funded equity collar, which helps protect the value of investments, at market interest rates. It also has loans with fixed and variable interest rates.</w:t>
      </w:r>
    </w:p>
    <w:p w14:paraId="478C7AE1" w14:textId="77777777" w:rsidR="000E42EF" w:rsidRDefault="00197288" w:rsidP="000E42EF">
      <w:pPr>
        <w:spacing w:after="0" w:line="240" w:lineRule="auto"/>
        <w:rPr>
          <w:rFonts w:ascii="Arial" w:eastAsia="Times New Roman" w:hAnsi="Arial" w:cs="Arial"/>
          <w:vanish/>
          <w:sz w:val="16"/>
          <w:szCs w:val="16"/>
        </w:rPr>
      </w:pPr>
      <w:r w:rsidRPr="00197288">
        <w:rPr>
          <w:rFonts w:ascii="Arial" w:eastAsia="Times New Roman" w:hAnsi="Arial" w:cs="Arial"/>
          <w:vanish/>
          <w:sz w:val="16"/>
          <w:szCs w:val="16"/>
        </w:rPr>
        <w:t>Bottom of Form</w:t>
      </w:r>
    </w:p>
    <w:p w14:paraId="2A492CB5" w14:textId="77777777" w:rsidR="000E42EF" w:rsidRDefault="000E42EF" w:rsidP="000E42EF">
      <w:pPr>
        <w:spacing w:after="0" w:line="240" w:lineRule="auto"/>
        <w:rPr>
          <w:rFonts w:ascii="Times New Roman" w:eastAsia="Times New Roman" w:hAnsi="Times New Roman" w:cs="Times New Roman"/>
          <w:sz w:val="24"/>
          <w:szCs w:val="24"/>
        </w:rPr>
      </w:pPr>
    </w:p>
    <w:p w14:paraId="4E2AF3DA" w14:textId="77777777" w:rsidR="000E42EF" w:rsidRDefault="000E42EF" w:rsidP="000E42EF">
      <w:pPr>
        <w:spacing w:after="0" w:line="240" w:lineRule="auto"/>
        <w:rPr>
          <w:rFonts w:ascii="Times New Roman" w:eastAsia="Times New Roman" w:hAnsi="Times New Roman" w:cs="Times New Roman"/>
          <w:sz w:val="24"/>
          <w:szCs w:val="24"/>
        </w:rPr>
      </w:pPr>
    </w:p>
    <w:p w14:paraId="1D8F514A" w14:textId="77777777" w:rsidR="000E42EF" w:rsidRDefault="000E42EF" w:rsidP="000E42EF">
      <w:pPr>
        <w:spacing w:after="0" w:line="240" w:lineRule="auto"/>
        <w:rPr>
          <w:rFonts w:ascii="Times New Roman" w:eastAsia="Times New Roman" w:hAnsi="Times New Roman" w:cs="Times New Roman"/>
          <w:sz w:val="24"/>
          <w:szCs w:val="24"/>
        </w:rPr>
      </w:pPr>
    </w:p>
    <w:p w14:paraId="71672F8D" w14:textId="77777777" w:rsidR="000E42EF" w:rsidRDefault="000E42EF" w:rsidP="000E42EF">
      <w:pPr>
        <w:spacing w:after="0" w:line="240" w:lineRule="auto"/>
        <w:rPr>
          <w:rFonts w:ascii="Times New Roman" w:eastAsia="Times New Roman" w:hAnsi="Times New Roman" w:cs="Times New Roman"/>
          <w:sz w:val="24"/>
          <w:szCs w:val="24"/>
        </w:rPr>
      </w:pPr>
    </w:p>
    <w:p w14:paraId="4FFD8CE5" w14:textId="77777777" w:rsidR="000E42EF" w:rsidRDefault="000E42EF" w:rsidP="000E42EF">
      <w:pPr>
        <w:spacing w:after="0" w:line="240" w:lineRule="auto"/>
        <w:rPr>
          <w:rFonts w:ascii="Times New Roman" w:eastAsia="Times New Roman" w:hAnsi="Times New Roman" w:cs="Times New Roman"/>
          <w:sz w:val="24"/>
          <w:szCs w:val="24"/>
        </w:rPr>
      </w:pPr>
    </w:p>
    <w:p w14:paraId="73EDA121" w14:textId="77777777" w:rsidR="000E42EF" w:rsidRDefault="000E42EF" w:rsidP="000E42EF">
      <w:pPr>
        <w:spacing w:after="0" w:line="240" w:lineRule="auto"/>
        <w:rPr>
          <w:rFonts w:asciiTheme="majorBidi" w:eastAsiaTheme="majorEastAsia" w:hAnsiTheme="majorBidi" w:cstheme="majorBidi"/>
          <w:b/>
          <w:bCs/>
          <w:color w:val="365F91" w:themeColor="accent1" w:themeShade="BF"/>
          <w:sz w:val="28"/>
          <w:szCs w:val="28"/>
        </w:rPr>
      </w:pPr>
    </w:p>
    <w:p w14:paraId="1B1550E9" w14:textId="5444F165" w:rsidR="00231035" w:rsidRPr="000E42EF" w:rsidRDefault="00F453CB" w:rsidP="000E42EF">
      <w:pPr>
        <w:spacing w:after="0" w:line="240" w:lineRule="auto"/>
        <w:rPr>
          <w:rFonts w:ascii="Times New Roman" w:eastAsia="Times New Roman" w:hAnsi="Times New Roman" w:cs="Times New Roman"/>
          <w:sz w:val="24"/>
          <w:szCs w:val="24"/>
        </w:rPr>
      </w:pPr>
      <w:r w:rsidRPr="00F453CB">
        <w:rPr>
          <w:rFonts w:asciiTheme="majorBidi" w:eastAsiaTheme="majorEastAsia" w:hAnsiTheme="majorBidi" w:cstheme="majorBidi"/>
          <w:b/>
          <w:bCs/>
          <w:color w:val="365F91" w:themeColor="accent1" w:themeShade="BF"/>
          <w:sz w:val="28"/>
          <w:szCs w:val="28"/>
        </w:rPr>
        <w:lastRenderedPageBreak/>
        <w:t>Estimating Cost of Capital</w:t>
      </w:r>
    </w:p>
    <w:p w14:paraId="286D1A9B" w14:textId="3F9A2F72" w:rsidR="00197288" w:rsidRPr="00197288" w:rsidRDefault="00197288" w:rsidP="00F453CB">
      <w:pPr>
        <w:rPr>
          <w:rFonts w:asciiTheme="majorBidi" w:hAnsiTheme="majorBidi" w:cstheme="majorBidi"/>
        </w:rPr>
      </w:pPr>
      <w:r w:rsidRPr="00197288">
        <w:rPr>
          <w:rFonts w:asciiTheme="majorBidi" w:hAnsiTheme="majorBidi" w:cstheme="majorBidi"/>
        </w:rPr>
        <w:t>As of December 2023:</w:t>
      </w:r>
    </w:p>
    <w:tbl>
      <w:tblPr>
        <w:tblW w:w="4765" w:type="pct"/>
        <w:jc w:val="center"/>
        <w:tblLook w:val="04A0" w:firstRow="1" w:lastRow="0" w:firstColumn="1" w:lastColumn="0" w:noHBand="0" w:noVBand="1"/>
      </w:tblPr>
      <w:tblGrid>
        <w:gridCol w:w="1934"/>
        <w:gridCol w:w="2830"/>
        <w:gridCol w:w="864"/>
        <w:gridCol w:w="895"/>
        <w:gridCol w:w="1701"/>
      </w:tblGrid>
      <w:tr w:rsidR="00F453CB" w:rsidRPr="00F453CB" w14:paraId="38F84B66" w14:textId="77777777" w:rsidTr="00F453CB">
        <w:trPr>
          <w:trHeight w:val="263"/>
          <w:jc w:val="center"/>
        </w:trPr>
        <w:tc>
          <w:tcPr>
            <w:tcW w:w="1164" w:type="pct"/>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hideMark/>
          </w:tcPr>
          <w:p w14:paraId="59AD27C9"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Capital Component</w:t>
            </w:r>
          </w:p>
        </w:tc>
        <w:tc>
          <w:tcPr>
            <w:tcW w:w="1946" w:type="pct"/>
            <w:tcBorders>
              <w:top w:val="single" w:sz="4" w:space="0" w:color="auto"/>
              <w:left w:val="nil"/>
              <w:bottom w:val="single" w:sz="4" w:space="0" w:color="auto"/>
              <w:right w:val="single" w:sz="4" w:space="0" w:color="auto"/>
            </w:tcBorders>
            <w:shd w:val="clear" w:color="auto" w:fill="DDD9C3" w:themeFill="background2" w:themeFillShade="E6"/>
            <w:noWrap/>
            <w:vAlign w:val="center"/>
            <w:hideMark/>
          </w:tcPr>
          <w:p w14:paraId="62DC3D42"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Amount</w:t>
            </w:r>
          </w:p>
        </w:tc>
        <w:tc>
          <w:tcPr>
            <w:tcW w:w="498" w:type="pct"/>
            <w:tcBorders>
              <w:top w:val="single" w:sz="4" w:space="0" w:color="auto"/>
              <w:left w:val="nil"/>
              <w:bottom w:val="single" w:sz="4" w:space="0" w:color="auto"/>
              <w:right w:val="single" w:sz="4" w:space="0" w:color="auto"/>
            </w:tcBorders>
            <w:shd w:val="clear" w:color="auto" w:fill="DDD9C3" w:themeFill="background2" w:themeFillShade="E6"/>
            <w:noWrap/>
            <w:vAlign w:val="center"/>
            <w:hideMark/>
          </w:tcPr>
          <w:p w14:paraId="3626F4C1"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Weight</w:t>
            </w:r>
          </w:p>
        </w:tc>
        <w:tc>
          <w:tcPr>
            <w:tcW w:w="503" w:type="pct"/>
            <w:tcBorders>
              <w:top w:val="single" w:sz="4" w:space="0" w:color="auto"/>
              <w:left w:val="nil"/>
              <w:bottom w:val="single" w:sz="4" w:space="0" w:color="auto"/>
              <w:right w:val="single" w:sz="4" w:space="0" w:color="auto"/>
            </w:tcBorders>
            <w:shd w:val="clear" w:color="auto" w:fill="DDD9C3" w:themeFill="background2" w:themeFillShade="E6"/>
            <w:noWrap/>
            <w:vAlign w:val="center"/>
            <w:hideMark/>
          </w:tcPr>
          <w:p w14:paraId="0F88598C"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Cost</w:t>
            </w:r>
          </w:p>
        </w:tc>
        <w:tc>
          <w:tcPr>
            <w:tcW w:w="889" w:type="pct"/>
            <w:tcBorders>
              <w:top w:val="single" w:sz="4" w:space="0" w:color="auto"/>
              <w:left w:val="nil"/>
              <w:bottom w:val="single" w:sz="4" w:space="0" w:color="auto"/>
              <w:right w:val="single" w:sz="4" w:space="0" w:color="auto"/>
            </w:tcBorders>
            <w:shd w:val="clear" w:color="auto" w:fill="DDD9C3" w:themeFill="background2" w:themeFillShade="E6"/>
            <w:noWrap/>
            <w:vAlign w:val="center"/>
            <w:hideMark/>
          </w:tcPr>
          <w:p w14:paraId="7CE003A2"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 xml:space="preserve">Wi * </w:t>
            </w:r>
            <w:proofErr w:type="spellStart"/>
            <w:r w:rsidRPr="00F453CB">
              <w:rPr>
                <w:rFonts w:asciiTheme="majorBidi" w:eastAsia="Times New Roman" w:hAnsiTheme="majorBidi" w:cstheme="majorBidi"/>
                <w:color w:val="000000"/>
              </w:rPr>
              <w:t>ri</w:t>
            </w:r>
            <w:proofErr w:type="spellEnd"/>
            <w:r w:rsidRPr="00F453CB">
              <w:rPr>
                <w:rFonts w:asciiTheme="majorBidi" w:eastAsia="Times New Roman" w:hAnsiTheme="majorBidi" w:cstheme="majorBidi"/>
                <w:color w:val="000000"/>
              </w:rPr>
              <w:t xml:space="preserve"> (WACC)</w:t>
            </w:r>
          </w:p>
        </w:tc>
      </w:tr>
      <w:tr w:rsidR="00F453CB" w:rsidRPr="00F453CB" w14:paraId="676336F7" w14:textId="77777777" w:rsidTr="00F453CB">
        <w:trPr>
          <w:trHeight w:val="263"/>
          <w:jc w:val="center"/>
        </w:trPr>
        <w:tc>
          <w:tcPr>
            <w:tcW w:w="1164" w:type="pct"/>
            <w:tcBorders>
              <w:top w:val="nil"/>
              <w:left w:val="single" w:sz="4" w:space="0" w:color="auto"/>
              <w:bottom w:val="single" w:sz="4" w:space="0" w:color="auto"/>
              <w:right w:val="single" w:sz="4" w:space="0" w:color="auto"/>
            </w:tcBorders>
            <w:shd w:val="clear" w:color="auto" w:fill="DDD9C3" w:themeFill="background2" w:themeFillShade="E6"/>
            <w:noWrap/>
            <w:vAlign w:val="center"/>
            <w:hideMark/>
          </w:tcPr>
          <w:p w14:paraId="2871511D"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MV of Debt</w:t>
            </w:r>
          </w:p>
        </w:tc>
        <w:tc>
          <w:tcPr>
            <w:tcW w:w="1946" w:type="pct"/>
            <w:tcBorders>
              <w:top w:val="nil"/>
              <w:left w:val="nil"/>
              <w:bottom w:val="single" w:sz="4" w:space="0" w:color="auto"/>
              <w:right w:val="single" w:sz="4" w:space="0" w:color="auto"/>
            </w:tcBorders>
            <w:shd w:val="clear" w:color="auto" w:fill="auto"/>
            <w:noWrap/>
            <w:vAlign w:val="center"/>
            <w:hideMark/>
          </w:tcPr>
          <w:p w14:paraId="1E417CD6"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1,299,718,000</w:t>
            </w:r>
          </w:p>
        </w:tc>
        <w:tc>
          <w:tcPr>
            <w:tcW w:w="498" w:type="pct"/>
            <w:tcBorders>
              <w:top w:val="nil"/>
              <w:left w:val="nil"/>
              <w:bottom w:val="single" w:sz="4" w:space="0" w:color="auto"/>
              <w:right w:val="single" w:sz="4" w:space="0" w:color="auto"/>
            </w:tcBorders>
            <w:shd w:val="clear" w:color="auto" w:fill="auto"/>
            <w:noWrap/>
            <w:vAlign w:val="center"/>
            <w:hideMark/>
          </w:tcPr>
          <w:p w14:paraId="515ED32A"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69%</w:t>
            </w:r>
          </w:p>
        </w:tc>
        <w:tc>
          <w:tcPr>
            <w:tcW w:w="503" w:type="pct"/>
            <w:tcBorders>
              <w:top w:val="nil"/>
              <w:left w:val="nil"/>
              <w:bottom w:val="single" w:sz="4" w:space="0" w:color="auto"/>
              <w:right w:val="single" w:sz="4" w:space="0" w:color="auto"/>
            </w:tcBorders>
            <w:shd w:val="clear" w:color="auto" w:fill="auto"/>
            <w:noWrap/>
            <w:vAlign w:val="center"/>
            <w:hideMark/>
          </w:tcPr>
          <w:p w14:paraId="3DD7DFA7"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4.16%</w:t>
            </w:r>
          </w:p>
        </w:tc>
        <w:tc>
          <w:tcPr>
            <w:tcW w:w="889" w:type="pct"/>
            <w:tcBorders>
              <w:top w:val="nil"/>
              <w:left w:val="nil"/>
              <w:bottom w:val="single" w:sz="4" w:space="0" w:color="auto"/>
              <w:right w:val="single" w:sz="4" w:space="0" w:color="auto"/>
            </w:tcBorders>
            <w:shd w:val="clear" w:color="auto" w:fill="auto"/>
            <w:noWrap/>
            <w:vAlign w:val="center"/>
            <w:hideMark/>
          </w:tcPr>
          <w:p w14:paraId="1DABEB01"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2.86%</w:t>
            </w:r>
          </w:p>
        </w:tc>
      </w:tr>
      <w:tr w:rsidR="00F453CB" w:rsidRPr="00F453CB" w14:paraId="39644132" w14:textId="77777777" w:rsidTr="00F453CB">
        <w:trPr>
          <w:trHeight w:val="263"/>
          <w:jc w:val="center"/>
        </w:trPr>
        <w:tc>
          <w:tcPr>
            <w:tcW w:w="1164" w:type="pct"/>
            <w:tcBorders>
              <w:top w:val="nil"/>
              <w:left w:val="single" w:sz="4" w:space="0" w:color="auto"/>
              <w:bottom w:val="single" w:sz="4" w:space="0" w:color="auto"/>
              <w:right w:val="single" w:sz="4" w:space="0" w:color="auto"/>
            </w:tcBorders>
            <w:shd w:val="clear" w:color="auto" w:fill="DDD9C3" w:themeFill="background2" w:themeFillShade="E6"/>
            <w:noWrap/>
            <w:vAlign w:val="center"/>
            <w:hideMark/>
          </w:tcPr>
          <w:p w14:paraId="64408502"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Mv of Equity</w:t>
            </w:r>
          </w:p>
        </w:tc>
        <w:tc>
          <w:tcPr>
            <w:tcW w:w="1946" w:type="pct"/>
            <w:tcBorders>
              <w:top w:val="nil"/>
              <w:left w:val="nil"/>
              <w:bottom w:val="single" w:sz="4" w:space="0" w:color="auto"/>
              <w:right w:val="single" w:sz="4" w:space="0" w:color="auto"/>
            </w:tcBorders>
            <w:shd w:val="clear" w:color="auto" w:fill="auto"/>
            <w:noWrap/>
            <w:vAlign w:val="center"/>
            <w:hideMark/>
          </w:tcPr>
          <w:p w14:paraId="1A3B916B" w14:textId="5292807F"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594,695,797.84</w:t>
            </w:r>
          </w:p>
        </w:tc>
        <w:tc>
          <w:tcPr>
            <w:tcW w:w="498" w:type="pct"/>
            <w:tcBorders>
              <w:top w:val="nil"/>
              <w:left w:val="nil"/>
              <w:bottom w:val="single" w:sz="4" w:space="0" w:color="auto"/>
              <w:right w:val="single" w:sz="4" w:space="0" w:color="auto"/>
            </w:tcBorders>
            <w:shd w:val="clear" w:color="auto" w:fill="auto"/>
            <w:noWrap/>
            <w:vAlign w:val="center"/>
            <w:hideMark/>
          </w:tcPr>
          <w:p w14:paraId="7A467ABA"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31%</w:t>
            </w:r>
          </w:p>
        </w:tc>
        <w:tc>
          <w:tcPr>
            <w:tcW w:w="503" w:type="pct"/>
            <w:tcBorders>
              <w:top w:val="nil"/>
              <w:left w:val="nil"/>
              <w:bottom w:val="single" w:sz="4" w:space="0" w:color="auto"/>
              <w:right w:val="single" w:sz="4" w:space="0" w:color="auto"/>
            </w:tcBorders>
            <w:shd w:val="clear" w:color="auto" w:fill="auto"/>
            <w:noWrap/>
            <w:vAlign w:val="center"/>
            <w:hideMark/>
          </w:tcPr>
          <w:p w14:paraId="7CDF2EFF"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8.211%</w:t>
            </w:r>
          </w:p>
        </w:tc>
        <w:tc>
          <w:tcPr>
            <w:tcW w:w="889" w:type="pct"/>
            <w:tcBorders>
              <w:top w:val="nil"/>
              <w:left w:val="nil"/>
              <w:bottom w:val="single" w:sz="4" w:space="0" w:color="auto"/>
              <w:right w:val="single" w:sz="4" w:space="0" w:color="auto"/>
            </w:tcBorders>
            <w:shd w:val="clear" w:color="auto" w:fill="auto"/>
            <w:noWrap/>
            <w:vAlign w:val="center"/>
            <w:hideMark/>
          </w:tcPr>
          <w:p w14:paraId="191AEF8A"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2.58%</w:t>
            </w:r>
          </w:p>
        </w:tc>
      </w:tr>
      <w:tr w:rsidR="00F453CB" w:rsidRPr="00F453CB" w14:paraId="1C05056E" w14:textId="77777777" w:rsidTr="00F453CB">
        <w:trPr>
          <w:trHeight w:val="263"/>
          <w:jc w:val="center"/>
        </w:trPr>
        <w:tc>
          <w:tcPr>
            <w:tcW w:w="1164" w:type="pct"/>
            <w:tcBorders>
              <w:top w:val="nil"/>
              <w:left w:val="single" w:sz="4" w:space="0" w:color="auto"/>
              <w:bottom w:val="single" w:sz="4" w:space="0" w:color="auto"/>
              <w:right w:val="single" w:sz="4" w:space="0" w:color="auto"/>
            </w:tcBorders>
            <w:shd w:val="clear" w:color="auto" w:fill="DDD9C3" w:themeFill="background2" w:themeFillShade="E6"/>
            <w:noWrap/>
            <w:vAlign w:val="center"/>
            <w:hideMark/>
          </w:tcPr>
          <w:p w14:paraId="5626009E"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Total</w:t>
            </w:r>
          </w:p>
        </w:tc>
        <w:tc>
          <w:tcPr>
            <w:tcW w:w="1946" w:type="pct"/>
            <w:tcBorders>
              <w:top w:val="nil"/>
              <w:left w:val="nil"/>
              <w:bottom w:val="single" w:sz="4" w:space="0" w:color="auto"/>
              <w:right w:val="single" w:sz="4" w:space="0" w:color="auto"/>
            </w:tcBorders>
            <w:shd w:val="clear" w:color="auto" w:fill="auto"/>
            <w:noWrap/>
            <w:vAlign w:val="center"/>
            <w:hideMark/>
          </w:tcPr>
          <w:p w14:paraId="0AF284FE"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1,894,413,798</w:t>
            </w:r>
          </w:p>
        </w:tc>
        <w:tc>
          <w:tcPr>
            <w:tcW w:w="498" w:type="pct"/>
            <w:tcBorders>
              <w:top w:val="nil"/>
              <w:left w:val="nil"/>
              <w:bottom w:val="single" w:sz="4" w:space="0" w:color="auto"/>
              <w:right w:val="single" w:sz="4" w:space="0" w:color="auto"/>
            </w:tcBorders>
            <w:shd w:val="clear" w:color="auto" w:fill="auto"/>
            <w:noWrap/>
            <w:vAlign w:val="center"/>
            <w:hideMark/>
          </w:tcPr>
          <w:p w14:paraId="14E4C4B7"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100%</w:t>
            </w:r>
          </w:p>
        </w:tc>
        <w:tc>
          <w:tcPr>
            <w:tcW w:w="503" w:type="pct"/>
            <w:tcBorders>
              <w:top w:val="nil"/>
              <w:left w:val="nil"/>
              <w:bottom w:val="single" w:sz="4" w:space="0" w:color="auto"/>
              <w:right w:val="single" w:sz="4" w:space="0" w:color="auto"/>
            </w:tcBorders>
            <w:shd w:val="clear" w:color="auto" w:fill="auto"/>
            <w:noWrap/>
            <w:vAlign w:val="center"/>
            <w:hideMark/>
          </w:tcPr>
          <w:p w14:paraId="275B5C0D" w14:textId="59585DC7" w:rsidR="00F453CB" w:rsidRPr="00F453CB" w:rsidRDefault="00F453CB" w:rsidP="00F453CB">
            <w:pPr>
              <w:spacing w:after="0" w:line="240" w:lineRule="auto"/>
              <w:jc w:val="center"/>
              <w:rPr>
                <w:rFonts w:asciiTheme="majorBidi" w:eastAsia="Times New Roman" w:hAnsiTheme="majorBidi" w:cstheme="majorBidi"/>
                <w:color w:val="000000"/>
              </w:rPr>
            </w:pPr>
          </w:p>
        </w:tc>
        <w:tc>
          <w:tcPr>
            <w:tcW w:w="889" w:type="pct"/>
            <w:tcBorders>
              <w:top w:val="nil"/>
              <w:left w:val="nil"/>
              <w:bottom w:val="single" w:sz="4" w:space="0" w:color="auto"/>
              <w:right w:val="single" w:sz="4" w:space="0" w:color="auto"/>
            </w:tcBorders>
            <w:shd w:val="clear" w:color="auto" w:fill="auto"/>
            <w:noWrap/>
            <w:vAlign w:val="center"/>
            <w:hideMark/>
          </w:tcPr>
          <w:p w14:paraId="76E721B5" w14:textId="77777777" w:rsidR="00F453CB" w:rsidRPr="00F453CB" w:rsidRDefault="00F453CB" w:rsidP="00F453CB">
            <w:pPr>
              <w:spacing w:after="0" w:line="240" w:lineRule="auto"/>
              <w:jc w:val="center"/>
              <w:rPr>
                <w:rFonts w:asciiTheme="majorBidi" w:eastAsia="Times New Roman" w:hAnsiTheme="majorBidi" w:cstheme="majorBidi"/>
                <w:color w:val="000000"/>
              </w:rPr>
            </w:pPr>
            <w:r w:rsidRPr="00F453CB">
              <w:rPr>
                <w:rFonts w:asciiTheme="majorBidi" w:eastAsia="Times New Roman" w:hAnsiTheme="majorBidi" w:cstheme="majorBidi"/>
                <w:color w:val="000000"/>
              </w:rPr>
              <w:t>5.43%</w:t>
            </w:r>
          </w:p>
        </w:tc>
      </w:tr>
    </w:tbl>
    <w:p w14:paraId="2A7EAE45" w14:textId="77777777" w:rsidR="00314EBB" w:rsidRPr="00E4403B" w:rsidRDefault="00314EBB" w:rsidP="00E4403B">
      <w:pPr>
        <w:rPr>
          <w:rFonts w:asciiTheme="majorBidi" w:eastAsiaTheme="majorEastAsia" w:hAnsiTheme="majorBidi" w:cstheme="majorBidi"/>
          <w:b/>
          <w:bCs/>
          <w:color w:val="365F91" w:themeColor="accent1" w:themeShade="BF"/>
          <w:sz w:val="28"/>
          <w:szCs w:val="28"/>
        </w:rPr>
      </w:pPr>
    </w:p>
    <w:p w14:paraId="4963C4AD" w14:textId="77777777" w:rsidR="002932B1" w:rsidRPr="00D50A19" w:rsidRDefault="002932B1">
      <w:pPr>
        <w:rPr>
          <w:rFonts w:asciiTheme="majorBidi" w:eastAsiaTheme="majorEastAsia" w:hAnsiTheme="majorBidi" w:cstheme="majorBidi"/>
          <w:b/>
          <w:bCs/>
          <w:color w:val="365F91" w:themeColor="accent1" w:themeShade="BF"/>
          <w:sz w:val="28"/>
          <w:szCs w:val="28"/>
        </w:rPr>
      </w:pPr>
    </w:p>
    <w:sectPr w:rsidR="002932B1" w:rsidRPr="00D50A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161C90"/>
    <w:multiLevelType w:val="hybridMultilevel"/>
    <w:tmpl w:val="0FB4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805E4"/>
    <w:multiLevelType w:val="hybridMultilevel"/>
    <w:tmpl w:val="8812B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541316">
    <w:abstractNumId w:val="8"/>
  </w:num>
  <w:num w:numId="2" w16cid:durableId="1528254008">
    <w:abstractNumId w:val="6"/>
  </w:num>
  <w:num w:numId="3" w16cid:durableId="603460669">
    <w:abstractNumId w:val="5"/>
  </w:num>
  <w:num w:numId="4" w16cid:durableId="1917939264">
    <w:abstractNumId w:val="4"/>
  </w:num>
  <w:num w:numId="5" w16cid:durableId="1114598612">
    <w:abstractNumId w:val="7"/>
  </w:num>
  <w:num w:numId="6" w16cid:durableId="819691382">
    <w:abstractNumId w:val="3"/>
  </w:num>
  <w:num w:numId="7" w16cid:durableId="769006673">
    <w:abstractNumId w:val="2"/>
  </w:num>
  <w:num w:numId="8" w16cid:durableId="1586265458">
    <w:abstractNumId w:val="1"/>
  </w:num>
  <w:num w:numId="9" w16cid:durableId="1904565259">
    <w:abstractNumId w:val="0"/>
  </w:num>
  <w:num w:numId="10" w16cid:durableId="464545056">
    <w:abstractNumId w:val="10"/>
  </w:num>
  <w:num w:numId="11" w16cid:durableId="1003163455">
    <w:abstractNumId w:val="9"/>
  </w:num>
  <w:num w:numId="12" w16cid:durableId="11702956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F9D"/>
    <w:rsid w:val="0006063C"/>
    <w:rsid w:val="000E0E8A"/>
    <w:rsid w:val="000E42EF"/>
    <w:rsid w:val="001255A1"/>
    <w:rsid w:val="0013748E"/>
    <w:rsid w:val="0015074B"/>
    <w:rsid w:val="00197288"/>
    <w:rsid w:val="001A7E5B"/>
    <w:rsid w:val="001B2FD0"/>
    <w:rsid w:val="00204405"/>
    <w:rsid w:val="00231035"/>
    <w:rsid w:val="002337D8"/>
    <w:rsid w:val="002932B1"/>
    <w:rsid w:val="0029639D"/>
    <w:rsid w:val="00314EBB"/>
    <w:rsid w:val="00326F90"/>
    <w:rsid w:val="00353FEC"/>
    <w:rsid w:val="003A5565"/>
    <w:rsid w:val="003D245A"/>
    <w:rsid w:val="003D5400"/>
    <w:rsid w:val="004D483F"/>
    <w:rsid w:val="004E07D4"/>
    <w:rsid w:val="004E7B1A"/>
    <w:rsid w:val="00551A48"/>
    <w:rsid w:val="005675A7"/>
    <w:rsid w:val="005978EB"/>
    <w:rsid w:val="005D7443"/>
    <w:rsid w:val="00640878"/>
    <w:rsid w:val="0064432A"/>
    <w:rsid w:val="006A2FD6"/>
    <w:rsid w:val="006C17F2"/>
    <w:rsid w:val="00733C20"/>
    <w:rsid w:val="007555F9"/>
    <w:rsid w:val="00762CF4"/>
    <w:rsid w:val="007720DC"/>
    <w:rsid w:val="00783FCF"/>
    <w:rsid w:val="0080493E"/>
    <w:rsid w:val="00840701"/>
    <w:rsid w:val="0085116E"/>
    <w:rsid w:val="008A00B2"/>
    <w:rsid w:val="009B02AF"/>
    <w:rsid w:val="009B36D8"/>
    <w:rsid w:val="009D5CEF"/>
    <w:rsid w:val="00A330AD"/>
    <w:rsid w:val="00A35B3B"/>
    <w:rsid w:val="00AA1D8D"/>
    <w:rsid w:val="00B47730"/>
    <w:rsid w:val="00CB0664"/>
    <w:rsid w:val="00CB1CE8"/>
    <w:rsid w:val="00CE2BB3"/>
    <w:rsid w:val="00D17CA7"/>
    <w:rsid w:val="00D50A19"/>
    <w:rsid w:val="00D57587"/>
    <w:rsid w:val="00D86859"/>
    <w:rsid w:val="00DE67A3"/>
    <w:rsid w:val="00E0211A"/>
    <w:rsid w:val="00E41AD8"/>
    <w:rsid w:val="00E43D0F"/>
    <w:rsid w:val="00E4403B"/>
    <w:rsid w:val="00E81241"/>
    <w:rsid w:val="00EB1533"/>
    <w:rsid w:val="00EF5FEE"/>
    <w:rsid w:val="00F453CB"/>
    <w:rsid w:val="00F84954"/>
    <w:rsid w:val="00FC693F"/>
    <w:rsid w:val="00FD74F6"/>
    <w:rsid w:val="00FE5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12219A"/>
  <w14:defaultImageDpi w14:val="300"/>
  <w15:docId w15:val="{439209CB-75A0-464B-A8F7-92426E3E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7555F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314E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197288"/>
  </w:style>
  <w:style w:type="paragraph" w:styleId="z-TopofForm">
    <w:name w:val="HTML Top of Form"/>
    <w:basedOn w:val="Normal"/>
    <w:next w:val="Normal"/>
    <w:link w:val="z-TopofFormChar"/>
    <w:hidden/>
    <w:uiPriority w:val="99"/>
    <w:semiHidden/>
    <w:unhideWhenUsed/>
    <w:rsid w:val="001972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9728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972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9728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5416">
      <w:bodyDiv w:val="1"/>
      <w:marLeft w:val="0"/>
      <w:marRight w:val="0"/>
      <w:marTop w:val="0"/>
      <w:marBottom w:val="0"/>
      <w:divBdr>
        <w:top w:val="none" w:sz="0" w:space="0" w:color="auto"/>
        <w:left w:val="none" w:sz="0" w:space="0" w:color="auto"/>
        <w:bottom w:val="none" w:sz="0" w:space="0" w:color="auto"/>
        <w:right w:val="none" w:sz="0" w:space="0" w:color="auto"/>
      </w:divBdr>
    </w:div>
    <w:div w:id="149753002">
      <w:bodyDiv w:val="1"/>
      <w:marLeft w:val="0"/>
      <w:marRight w:val="0"/>
      <w:marTop w:val="0"/>
      <w:marBottom w:val="0"/>
      <w:divBdr>
        <w:top w:val="none" w:sz="0" w:space="0" w:color="auto"/>
        <w:left w:val="none" w:sz="0" w:space="0" w:color="auto"/>
        <w:bottom w:val="none" w:sz="0" w:space="0" w:color="auto"/>
        <w:right w:val="none" w:sz="0" w:space="0" w:color="auto"/>
      </w:divBdr>
    </w:div>
    <w:div w:id="241068039">
      <w:bodyDiv w:val="1"/>
      <w:marLeft w:val="0"/>
      <w:marRight w:val="0"/>
      <w:marTop w:val="0"/>
      <w:marBottom w:val="0"/>
      <w:divBdr>
        <w:top w:val="none" w:sz="0" w:space="0" w:color="auto"/>
        <w:left w:val="none" w:sz="0" w:space="0" w:color="auto"/>
        <w:bottom w:val="none" w:sz="0" w:space="0" w:color="auto"/>
        <w:right w:val="none" w:sz="0" w:space="0" w:color="auto"/>
      </w:divBdr>
    </w:div>
    <w:div w:id="370884253">
      <w:bodyDiv w:val="1"/>
      <w:marLeft w:val="0"/>
      <w:marRight w:val="0"/>
      <w:marTop w:val="0"/>
      <w:marBottom w:val="0"/>
      <w:divBdr>
        <w:top w:val="none" w:sz="0" w:space="0" w:color="auto"/>
        <w:left w:val="none" w:sz="0" w:space="0" w:color="auto"/>
        <w:bottom w:val="none" w:sz="0" w:space="0" w:color="auto"/>
        <w:right w:val="none" w:sz="0" w:space="0" w:color="auto"/>
      </w:divBdr>
    </w:div>
    <w:div w:id="808397919">
      <w:bodyDiv w:val="1"/>
      <w:marLeft w:val="0"/>
      <w:marRight w:val="0"/>
      <w:marTop w:val="0"/>
      <w:marBottom w:val="0"/>
      <w:divBdr>
        <w:top w:val="none" w:sz="0" w:space="0" w:color="auto"/>
        <w:left w:val="none" w:sz="0" w:space="0" w:color="auto"/>
        <w:bottom w:val="none" w:sz="0" w:space="0" w:color="auto"/>
        <w:right w:val="none" w:sz="0" w:space="0" w:color="auto"/>
      </w:divBdr>
    </w:div>
    <w:div w:id="850417594">
      <w:bodyDiv w:val="1"/>
      <w:marLeft w:val="0"/>
      <w:marRight w:val="0"/>
      <w:marTop w:val="0"/>
      <w:marBottom w:val="0"/>
      <w:divBdr>
        <w:top w:val="none" w:sz="0" w:space="0" w:color="auto"/>
        <w:left w:val="none" w:sz="0" w:space="0" w:color="auto"/>
        <w:bottom w:val="none" w:sz="0" w:space="0" w:color="auto"/>
        <w:right w:val="none" w:sz="0" w:space="0" w:color="auto"/>
      </w:divBdr>
    </w:div>
    <w:div w:id="852112262">
      <w:bodyDiv w:val="1"/>
      <w:marLeft w:val="0"/>
      <w:marRight w:val="0"/>
      <w:marTop w:val="0"/>
      <w:marBottom w:val="0"/>
      <w:divBdr>
        <w:top w:val="none" w:sz="0" w:space="0" w:color="auto"/>
        <w:left w:val="none" w:sz="0" w:space="0" w:color="auto"/>
        <w:bottom w:val="none" w:sz="0" w:space="0" w:color="auto"/>
        <w:right w:val="none" w:sz="0" w:space="0" w:color="auto"/>
      </w:divBdr>
    </w:div>
    <w:div w:id="903951017">
      <w:bodyDiv w:val="1"/>
      <w:marLeft w:val="0"/>
      <w:marRight w:val="0"/>
      <w:marTop w:val="0"/>
      <w:marBottom w:val="0"/>
      <w:divBdr>
        <w:top w:val="none" w:sz="0" w:space="0" w:color="auto"/>
        <w:left w:val="none" w:sz="0" w:space="0" w:color="auto"/>
        <w:bottom w:val="none" w:sz="0" w:space="0" w:color="auto"/>
        <w:right w:val="none" w:sz="0" w:space="0" w:color="auto"/>
      </w:divBdr>
    </w:div>
    <w:div w:id="1046300652">
      <w:bodyDiv w:val="1"/>
      <w:marLeft w:val="0"/>
      <w:marRight w:val="0"/>
      <w:marTop w:val="0"/>
      <w:marBottom w:val="0"/>
      <w:divBdr>
        <w:top w:val="none" w:sz="0" w:space="0" w:color="auto"/>
        <w:left w:val="none" w:sz="0" w:space="0" w:color="auto"/>
        <w:bottom w:val="none" w:sz="0" w:space="0" w:color="auto"/>
        <w:right w:val="none" w:sz="0" w:space="0" w:color="auto"/>
      </w:divBdr>
    </w:div>
    <w:div w:id="1057046464">
      <w:bodyDiv w:val="1"/>
      <w:marLeft w:val="0"/>
      <w:marRight w:val="0"/>
      <w:marTop w:val="0"/>
      <w:marBottom w:val="0"/>
      <w:divBdr>
        <w:top w:val="none" w:sz="0" w:space="0" w:color="auto"/>
        <w:left w:val="none" w:sz="0" w:space="0" w:color="auto"/>
        <w:bottom w:val="none" w:sz="0" w:space="0" w:color="auto"/>
        <w:right w:val="none" w:sz="0" w:space="0" w:color="auto"/>
      </w:divBdr>
    </w:div>
    <w:div w:id="1066958001">
      <w:bodyDiv w:val="1"/>
      <w:marLeft w:val="0"/>
      <w:marRight w:val="0"/>
      <w:marTop w:val="0"/>
      <w:marBottom w:val="0"/>
      <w:divBdr>
        <w:top w:val="none" w:sz="0" w:space="0" w:color="auto"/>
        <w:left w:val="none" w:sz="0" w:space="0" w:color="auto"/>
        <w:bottom w:val="none" w:sz="0" w:space="0" w:color="auto"/>
        <w:right w:val="none" w:sz="0" w:space="0" w:color="auto"/>
      </w:divBdr>
    </w:div>
    <w:div w:id="1220362303">
      <w:bodyDiv w:val="1"/>
      <w:marLeft w:val="0"/>
      <w:marRight w:val="0"/>
      <w:marTop w:val="0"/>
      <w:marBottom w:val="0"/>
      <w:divBdr>
        <w:top w:val="none" w:sz="0" w:space="0" w:color="auto"/>
        <w:left w:val="none" w:sz="0" w:space="0" w:color="auto"/>
        <w:bottom w:val="none" w:sz="0" w:space="0" w:color="auto"/>
        <w:right w:val="none" w:sz="0" w:space="0" w:color="auto"/>
      </w:divBdr>
    </w:div>
    <w:div w:id="1228759558">
      <w:bodyDiv w:val="1"/>
      <w:marLeft w:val="0"/>
      <w:marRight w:val="0"/>
      <w:marTop w:val="0"/>
      <w:marBottom w:val="0"/>
      <w:divBdr>
        <w:top w:val="none" w:sz="0" w:space="0" w:color="auto"/>
        <w:left w:val="none" w:sz="0" w:space="0" w:color="auto"/>
        <w:bottom w:val="none" w:sz="0" w:space="0" w:color="auto"/>
        <w:right w:val="none" w:sz="0" w:space="0" w:color="auto"/>
      </w:divBdr>
    </w:div>
    <w:div w:id="1257905678">
      <w:bodyDiv w:val="1"/>
      <w:marLeft w:val="0"/>
      <w:marRight w:val="0"/>
      <w:marTop w:val="0"/>
      <w:marBottom w:val="0"/>
      <w:divBdr>
        <w:top w:val="none" w:sz="0" w:space="0" w:color="auto"/>
        <w:left w:val="none" w:sz="0" w:space="0" w:color="auto"/>
        <w:bottom w:val="none" w:sz="0" w:space="0" w:color="auto"/>
        <w:right w:val="none" w:sz="0" w:space="0" w:color="auto"/>
      </w:divBdr>
      <w:divsChild>
        <w:div w:id="1767657225">
          <w:marLeft w:val="0"/>
          <w:marRight w:val="0"/>
          <w:marTop w:val="0"/>
          <w:marBottom w:val="0"/>
          <w:divBdr>
            <w:top w:val="none" w:sz="0" w:space="0" w:color="auto"/>
            <w:left w:val="none" w:sz="0" w:space="0" w:color="auto"/>
            <w:bottom w:val="none" w:sz="0" w:space="0" w:color="auto"/>
            <w:right w:val="none" w:sz="0" w:space="0" w:color="auto"/>
          </w:divBdr>
          <w:divsChild>
            <w:div w:id="1797602411">
              <w:marLeft w:val="0"/>
              <w:marRight w:val="0"/>
              <w:marTop w:val="0"/>
              <w:marBottom w:val="0"/>
              <w:divBdr>
                <w:top w:val="none" w:sz="0" w:space="0" w:color="auto"/>
                <w:left w:val="none" w:sz="0" w:space="0" w:color="auto"/>
                <w:bottom w:val="none" w:sz="0" w:space="0" w:color="auto"/>
                <w:right w:val="none" w:sz="0" w:space="0" w:color="auto"/>
              </w:divBdr>
              <w:divsChild>
                <w:div w:id="2035110644">
                  <w:marLeft w:val="0"/>
                  <w:marRight w:val="0"/>
                  <w:marTop w:val="0"/>
                  <w:marBottom w:val="0"/>
                  <w:divBdr>
                    <w:top w:val="none" w:sz="0" w:space="0" w:color="auto"/>
                    <w:left w:val="none" w:sz="0" w:space="0" w:color="auto"/>
                    <w:bottom w:val="none" w:sz="0" w:space="0" w:color="auto"/>
                    <w:right w:val="none" w:sz="0" w:space="0" w:color="auto"/>
                  </w:divBdr>
                  <w:divsChild>
                    <w:div w:id="1630435353">
                      <w:marLeft w:val="0"/>
                      <w:marRight w:val="0"/>
                      <w:marTop w:val="0"/>
                      <w:marBottom w:val="0"/>
                      <w:divBdr>
                        <w:top w:val="none" w:sz="0" w:space="0" w:color="auto"/>
                        <w:left w:val="none" w:sz="0" w:space="0" w:color="auto"/>
                        <w:bottom w:val="none" w:sz="0" w:space="0" w:color="auto"/>
                        <w:right w:val="none" w:sz="0" w:space="0" w:color="auto"/>
                      </w:divBdr>
                      <w:divsChild>
                        <w:div w:id="213198423">
                          <w:marLeft w:val="0"/>
                          <w:marRight w:val="0"/>
                          <w:marTop w:val="0"/>
                          <w:marBottom w:val="0"/>
                          <w:divBdr>
                            <w:top w:val="none" w:sz="0" w:space="0" w:color="auto"/>
                            <w:left w:val="none" w:sz="0" w:space="0" w:color="auto"/>
                            <w:bottom w:val="none" w:sz="0" w:space="0" w:color="auto"/>
                            <w:right w:val="none" w:sz="0" w:space="0" w:color="auto"/>
                          </w:divBdr>
                          <w:divsChild>
                            <w:div w:id="724107304">
                              <w:marLeft w:val="0"/>
                              <w:marRight w:val="0"/>
                              <w:marTop w:val="0"/>
                              <w:marBottom w:val="0"/>
                              <w:divBdr>
                                <w:top w:val="none" w:sz="0" w:space="0" w:color="auto"/>
                                <w:left w:val="none" w:sz="0" w:space="0" w:color="auto"/>
                                <w:bottom w:val="none" w:sz="0" w:space="0" w:color="auto"/>
                                <w:right w:val="none" w:sz="0" w:space="0" w:color="auto"/>
                              </w:divBdr>
                              <w:divsChild>
                                <w:div w:id="660888934">
                                  <w:marLeft w:val="0"/>
                                  <w:marRight w:val="0"/>
                                  <w:marTop w:val="0"/>
                                  <w:marBottom w:val="0"/>
                                  <w:divBdr>
                                    <w:top w:val="none" w:sz="0" w:space="0" w:color="auto"/>
                                    <w:left w:val="none" w:sz="0" w:space="0" w:color="auto"/>
                                    <w:bottom w:val="none" w:sz="0" w:space="0" w:color="auto"/>
                                    <w:right w:val="none" w:sz="0" w:space="0" w:color="auto"/>
                                  </w:divBdr>
                                  <w:divsChild>
                                    <w:div w:id="1781802438">
                                      <w:marLeft w:val="0"/>
                                      <w:marRight w:val="0"/>
                                      <w:marTop w:val="0"/>
                                      <w:marBottom w:val="0"/>
                                      <w:divBdr>
                                        <w:top w:val="none" w:sz="0" w:space="0" w:color="auto"/>
                                        <w:left w:val="none" w:sz="0" w:space="0" w:color="auto"/>
                                        <w:bottom w:val="none" w:sz="0" w:space="0" w:color="auto"/>
                                        <w:right w:val="none" w:sz="0" w:space="0" w:color="auto"/>
                                      </w:divBdr>
                                      <w:divsChild>
                                        <w:div w:id="1268272096">
                                          <w:marLeft w:val="0"/>
                                          <w:marRight w:val="0"/>
                                          <w:marTop w:val="0"/>
                                          <w:marBottom w:val="0"/>
                                          <w:divBdr>
                                            <w:top w:val="none" w:sz="0" w:space="0" w:color="auto"/>
                                            <w:left w:val="none" w:sz="0" w:space="0" w:color="auto"/>
                                            <w:bottom w:val="none" w:sz="0" w:space="0" w:color="auto"/>
                                            <w:right w:val="none" w:sz="0" w:space="0" w:color="auto"/>
                                          </w:divBdr>
                                          <w:divsChild>
                                            <w:div w:id="1169908552">
                                              <w:marLeft w:val="0"/>
                                              <w:marRight w:val="0"/>
                                              <w:marTop w:val="0"/>
                                              <w:marBottom w:val="0"/>
                                              <w:divBdr>
                                                <w:top w:val="none" w:sz="0" w:space="0" w:color="auto"/>
                                                <w:left w:val="none" w:sz="0" w:space="0" w:color="auto"/>
                                                <w:bottom w:val="none" w:sz="0" w:space="0" w:color="auto"/>
                                                <w:right w:val="none" w:sz="0" w:space="0" w:color="auto"/>
                                              </w:divBdr>
                                              <w:divsChild>
                                                <w:div w:id="1352999560">
                                                  <w:marLeft w:val="0"/>
                                                  <w:marRight w:val="0"/>
                                                  <w:marTop w:val="0"/>
                                                  <w:marBottom w:val="0"/>
                                                  <w:divBdr>
                                                    <w:top w:val="none" w:sz="0" w:space="0" w:color="auto"/>
                                                    <w:left w:val="none" w:sz="0" w:space="0" w:color="auto"/>
                                                    <w:bottom w:val="none" w:sz="0" w:space="0" w:color="auto"/>
                                                    <w:right w:val="none" w:sz="0" w:space="0" w:color="auto"/>
                                                  </w:divBdr>
                                                  <w:divsChild>
                                                    <w:div w:id="108740805">
                                                      <w:marLeft w:val="0"/>
                                                      <w:marRight w:val="0"/>
                                                      <w:marTop w:val="0"/>
                                                      <w:marBottom w:val="0"/>
                                                      <w:divBdr>
                                                        <w:top w:val="none" w:sz="0" w:space="0" w:color="auto"/>
                                                        <w:left w:val="none" w:sz="0" w:space="0" w:color="auto"/>
                                                        <w:bottom w:val="none" w:sz="0" w:space="0" w:color="auto"/>
                                                        <w:right w:val="none" w:sz="0" w:space="0" w:color="auto"/>
                                                      </w:divBdr>
                                                      <w:divsChild>
                                                        <w:div w:id="9355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4145">
                                              <w:marLeft w:val="0"/>
                                              <w:marRight w:val="0"/>
                                              <w:marTop w:val="0"/>
                                              <w:marBottom w:val="0"/>
                                              <w:divBdr>
                                                <w:top w:val="none" w:sz="0" w:space="0" w:color="auto"/>
                                                <w:left w:val="none" w:sz="0" w:space="0" w:color="auto"/>
                                                <w:bottom w:val="none" w:sz="0" w:space="0" w:color="auto"/>
                                                <w:right w:val="none" w:sz="0" w:space="0" w:color="auto"/>
                                              </w:divBdr>
                                              <w:divsChild>
                                                <w:div w:id="268975158">
                                                  <w:marLeft w:val="0"/>
                                                  <w:marRight w:val="0"/>
                                                  <w:marTop w:val="0"/>
                                                  <w:marBottom w:val="0"/>
                                                  <w:divBdr>
                                                    <w:top w:val="none" w:sz="0" w:space="0" w:color="auto"/>
                                                    <w:left w:val="none" w:sz="0" w:space="0" w:color="auto"/>
                                                    <w:bottom w:val="none" w:sz="0" w:space="0" w:color="auto"/>
                                                    <w:right w:val="none" w:sz="0" w:space="0" w:color="auto"/>
                                                  </w:divBdr>
                                                  <w:divsChild>
                                                    <w:div w:id="968511020">
                                                      <w:marLeft w:val="0"/>
                                                      <w:marRight w:val="0"/>
                                                      <w:marTop w:val="0"/>
                                                      <w:marBottom w:val="0"/>
                                                      <w:divBdr>
                                                        <w:top w:val="none" w:sz="0" w:space="0" w:color="auto"/>
                                                        <w:left w:val="none" w:sz="0" w:space="0" w:color="auto"/>
                                                        <w:bottom w:val="none" w:sz="0" w:space="0" w:color="auto"/>
                                                        <w:right w:val="none" w:sz="0" w:space="0" w:color="auto"/>
                                                      </w:divBdr>
                                                      <w:divsChild>
                                                        <w:div w:id="15352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726001">
          <w:marLeft w:val="0"/>
          <w:marRight w:val="0"/>
          <w:marTop w:val="0"/>
          <w:marBottom w:val="0"/>
          <w:divBdr>
            <w:top w:val="none" w:sz="0" w:space="0" w:color="auto"/>
            <w:left w:val="none" w:sz="0" w:space="0" w:color="auto"/>
            <w:bottom w:val="none" w:sz="0" w:space="0" w:color="auto"/>
            <w:right w:val="none" w:sz="0" w:space="0" w:color="auto"/>
          </w:divBdr>
          <w:divsChild>
            <w:div w:id="1489008859">
              <w:marLeft w:val="0"/>
              <w:marRight w:val="0"/>
              <w:marTop w:val="0"/>
              <w:marBottom w:val="0"/>
              <w:divBdr>
                <w:top w:val="none" w:sz="0" w:space="0" w:color="auto"/>
                <w:left w:val="none" w:sz="0" w:space="0" w:color="auto"/>
                <w:bottom w:val="none" w:sz="0" w:space="0" w:color="auto"/>
                <w:right w:val="none" w:sz="0" w:space="0" w:color="auto"/>
              </w:divBdr>
              <w:divsChild>
                <w:div w:id="661785703">
                  <w:marLeft w:val="0"/>
                  <w:marRight w:val="0"/>
                  <w:marTop w:val="0"/>
                  <w:marBottom w:val="0"/>
                  <w:divBdr>
                    <w:top w:val="none" w:sz="0" w:space="0" w:color="auto"/>
                    <w:left w:val="none" w:sz="0" w:space="0" w:color="auto"/>
                    <w:bottom w:val="none" w:sz="0" w:space="0" w:color="auto"/>
                    <w:right w:val="none" w:sz="0" w:space="0" w:color="auto"/>
                  </w:divBdr>
                  <w:divsChild>
                    <w:div w:id="2418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8542">
      <w:bodyDiv w:val="1"/>
      <w:marLeft w:val="0"/>
      <w:marRight w:val="0"/>
      <w:marTop w:val="0"/>
      <w:marBottom w:val="0"/>
      <w:divBdr>
        <w:top w:val="none" w:sz="0" w:space="0" w:color="auto"/>
        <w:left w:val="none" w:sz="0" w:space="0" w:color="auto"/>
        <w:bottom w:val="none" w:sz="0" w:space="0" w:color="auto"/>
        <w:right w:val="none" w:sz="0" w:space="0" w:color="auto"/>
      </w:divBdr>
    </w:div>
    <w:div w:id="1562987226">
      <w:bodyDiv w:val="1"/>
      <w:marLeft w:val="0"/>
      <w:marRight w:val="0"/>
      <w:marTop w:val="0"/>
      <w:marBottom w:val="0"/>
      <w:divBdr>
        <w:top w:val="none" w:sz="0" w:space="0" w:color="auto"/>
        <w:left w:val="none" w:sz="0" w:space="0" w:color="auto"/>
        <w:bottom w:val="none" w:sz="0" w:space="0" w:color="auto"/>
        <w:right w:val="none" w:sz="0" w:space="0" w:color="auto"/>
      </w:divBdr>
    </w:div>
    <w:div w:id="1600336227">
      <w:bodyDiv w:val="1"/>
      <w:marLeft w:val="0"/>
      <w:marRight w:val="0"/>
      <w:marTop w:val="0"/>
      <w:marBottom w:val="0"/>
      <w:divBdr>
        <w:top w:val="none" w:sz="0" w:space="0" w:color="auto"/>
        <w:left w:val="none" w:sz="0" w:space="0" w:color="auto"/>
        <w:bottom w:val="none" w:sz="0" w:space="0" w:color="auto"/>
        <w:right w:val="none" w:sz="0" w:space="0" w:color="auto"/>
      </w:divBdr>
    </w:div>
    <w:div w:id="1648895024">
      <w:bodyDiv w:val="1"/>
      <w:marLeft w:val="0"/>
      <w:marRight w:val="0"/>
      <w:marTop w:val="0"/>
      <w:marBottom w:val="0"/>
      <w:divBdr>
        <w:top w:val="none" w:sz="0" w:space="0" w:color="auto"/>
        <w:left w:val="none" w:sz="0" w:space="0" w:color="auto"/>
        <w:bottom w:val="none" w:sz="0" w:space="0" w:color="auto"/>
        <w:right w:val="none" w:sz="0" w:space="0" w:color="auto"/>
      </w:divBdr>
    </w:div>
    <w:div w:id="1846163855">
      <w:bodyDiv w:val="1"/>
      <w:marLeft w:val="0"/>
      <w:marRight w:val="0"/>
      <w:marTop w:val="0"/>
      <w:marBottom w:val="0"/>
      <w:divBdr>
        <w:top w:val="none" w:sz="0" w:space="0" w:color="auto"/>
        <w:left w:val="none" w:sz="0" w:space="0" w:color="auto"/>
        <w:bottom w:val="none" w:sz="0" w:space="0" w:color="auto"/>
        <w:right w:val="none" w:sz="0" w:space="0" w:color="auto"/>
      </w:divBdr>
    </w:div>
    <w:div w:id="1949460267">
      <w:bodyDiv w:val="1"/>
      <w:marLeft w:val="0"/>
      <w:marRight w:val="0"/>
      <w:marTop w:val="0"/>
      <w:marBottom w:val="0"/>
      <w:divBdr>
        <w:top w:val="none" w:sz="0" w:space="0" w:color="auto"/>
        <w:left w:val="none" w:sz="0" w:space="0" w:color="auto"/>
        <w:bottom w:val="none" w:sz="0" w:space="0" w:color="auto"/>
        <w:right w:val="none" w:sz="0" w:space="0" w:color="auto"/>
      </w:divBdr>
    </w:div>
    <w:div w:id="2075276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686C6-F782-4417-A15E-DEBD063B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215128487 Noura Alfouzan</cp:lastModifiedBy>
  <cp:revision>4</cp:revision>
  <dcterms:created xsi:type="dcterms:W3CDTF">2024-11-03T17:45:00Z</dcterms:created>
  <dcterms:modified xsi:type="dcterms:W3CDTF">2024-11-03T22:30:00Z</dcterms:modified>
  <cp:category/>
</cp:coreProperties>
</file>