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ПУБЛИЧНАЯ ОФЕРТА</w:t>
      </w:r>
    </w:p>
    <w:p>
      <w:pPr>
        <w:pStyle w:val="Subtitle"/>
        <w:widowControl/>
      </w:pPr>
      <w:r>
        <w:t>на предоставление доступа к сервису создания и обслуживания ботов для продаж</w:t>
      </w:r>
    </w:p>
    <w:p>
      <w:pPr>
        <w:widowControl/>
      </w:pPr>
      <w:r>
        <w:t>Настоящий документ является официальным предложением Индивидуального предпринимателя Медояна Арама Гагиковича, ИНН 613302383615, ОГРНИП 321619600251571, именуемого далее «Исполнитель», заключить договор на указанных ниже условиях.</w:t>
      </w:r>
    </w:p>
    <w:p>
      <w:pPr>
        <w:widowControl/>
      </w:pPr>
      <w:r>
        <w:t>Текст Оферты предоставляется Заказчику по ссылке в Telegram-боте, на платежной странице или ином официальном цифровом ресурсе Исполнителя до оплаты. Оплата означает полный и безоговорочный акцепт Оферты в соответствии со статьями 435, 437 и 438 Гражданского кодекса Российской Федерации. Согласие на периодические списания оформляется отдельно от ознакомления с Офертой.</w:t>
      </w:r>
    </w:p>
    <w:p>
      <w:pPr>
        <w:pStyle w:val="Heading1"/>
        <w:widowControl/>
      </w:pPr>
      <w:r>
        <w:t>1. ОБЩИЕ ПОЛОЖЕНИЯ</w:t>
      </w:r>
    </w:p>
    <w:p>
      <w:pPr>
        <w:widowControl/>
      </w:pPr>
      <w:r>
        <w:t>1.1. Заказчиком является дееспособное физическое лицо, индивидуальный предприниматель или юридическое лицо, заключившее Договор с Исполнителем.</w:t>
      </w:r>
    </w:p>
    <w:p>
      <w:pPr>
        <w:widowControl/>
      </w:pPr>
      <w:r>
        <w:t>1.2. Сервис — предоставляемая Исполнителем программная среда для создания бота на основе готового шаблона, его настройки, размещения и технического обслуживания. Созданный бот — бот Заказчика, подключенный к Сервису с использованием токена, полученного Заказчиком через BotFather.</w:t>
      </w:r>
    </w:p>
    <w:p>
      <w:pPr>
        <w:widowControl/>
      </w:pPr>
      <w:r>
        <w:t>1.3. Сервис предназначен для размещения информации о продуктах Заказчика, организации продаж и рассылок. Если физическое лицо приобретает услуги для личных, семейных, домашних и иных нужд, не связанных с предпринимательской деятельностью, применяются обязательные положения законодательства Российской Федерации о защите прав потребителей.</w:t>
      </w:r>
    </w:p>
    <w:p>
      <w:pPr>
        <w:widowControl/>
      </w:pPr>
      <w:r>
        <w:t>1.4. Оферта применяется к официальному Telegram-боту и другим ресурсам Исполнителя, через которые предлагается именно этот Сервис. Конкретный ресурс и доступный набор интеграций указываются до оплаты. Изменение технического адреса ресурса не изменяет предмет Договора.</w:t>
      </w:r>
    </w:p>
    <w:p>
      <w:pPr>
        <w:pStyle w:val="Heading1"/>
        <w:widowControl/>
      </w:pPr>
      <w:r>
        <w:t>2. ПРЕДМЕТ ДОГОВОРА И ВОЗМОЖНОСТИ СЕРВИСА</w:t>
      </w:r>
    </w:p>
    <w:p>
      <w:pPr>
        <w:widowControl/>
      </w:pPr>
      <w:r>
        <w:t>2.1. Исполнитель предоставляет Заказчику доступ к Сервису для создания и эксплуатации одного бота по готовому шаблону, размещает его на арендуемой серверной инфраструктуре в России и обеспечивает техническое обслуживание. Заказчик оплачивает подписку и самостоятельно настраивает содержание своего бота.</w:t>
      </w:r>
    </w:p>
    <w:p>
      <w:pPr>
        <w:widowControl/>
      </w:pPr>
      <w:r>
        <w:t>2.2. Шаблон позволяет размещать описание продукта и презентационное видео, добавлять кнопки, тарифы и кнопки продаж, подключать платежную систему, организовывать продажи и рассылки средствами Сервиса.</w:t>
      </w:r>
    </w:p>
    <w:p>
      <w:pPr>
        <w:widowControl/>
      </w:pPr>
      <w:r>
        <w:t>2.3. Сервис предусматривает работу с Telegram и интеграцию с ВКонтакте; интеграция с российским мессенджером MAX является возможной дополнительной интеграцией. Доступность конкретной интеграции и условия ее подключения доводятся до Заказчика до оплаты. Возможная интеграция не считается обещанной к определенной дате без отдельного соглашения.</w:t>
      </w:r>
    </w:p>
    <w:p>
      <w:pPr>
        <w:widowControl/>
      </w:pPr>
      <w:r>
        <w:t>2.4. Результатом является подключенный бот на основе шаблона, который Заказчик самостоятельно наполняет своим продуктом. Индивидуальная разработка, подготовка текстов и видео, настройка продукта силами Исполнителя, ведение рассылок и привлечение покупателей в стоимость не входят, если отдельно не согласованы.</w:t>
      </w:r>
    </w:p>
    <w:p>
      <w:pPr>
        <w:widowControl/>
      </w:pPr>
      <w:r>
        <w:t>2.5. Исполнитель не устанавливает количественные лимиты на сообщения и запросы в рамках одного оплаченного бота. При этом действуют технические ограничения и правила Telegram, ВКонтакте, MAX, платежных систем и других подключаемых платформ. Условие об отсутствии лимитов не разрешает незаконные рассылки и действия, нарушающие работу Сервиса.</w:t>
      </w:r>
    </w:p>
    <w:p>
      <w:pPr>
        <w:widowControl/>
      </w:pPr>
      <w:r>
        <w:t>2.6. Подключение платежной системы выполняет Заказчик в рамках доступных возможностей Сервиса. Перечень поддерживаемых систем сообщается до оплаты. Подписка на Сервис и расчеты по продажам продуктов Заказчика являются отдельными отношениями; порядок приема платежей покупателей, получатель денежных средств и комиссии определяются условиями подключаемой системы и договорами с ней.</w:t>
      </w:r>
    </w:p>
    <w:p>
      <w:pPr>
        <w:pStyle w:val="Heading1"/>
        <w:widowControl/>
      </w:pPr>
      <w:r>
        <w:t>3. ЦЕНА И ПОРЯДОК ОПЛАТЫ</w:t>
      </w:r>
    </w:p>
    <w:p>
      <w:pPr>
        <w:widowControl/>
      </w:pPr>
      <w:r>
        <w:t>3.1. Стоимость подписки составляет 970 (девятьсот семьдесят) рублей в месяц за одного бота. Пробный период не предусмотрен. Подписка предусматривает автоматическое продление при действующем согласии Заказчика на периодические списания.</w:t>
      </w:r>
    </w:p>
    <w:p>
      <w:pPr>
        <w:widowControl/>
      </w:pPr>
      <w:r>
        <w:rPr/>
        <w:t>3.2. Оплаченный доступ к Сервису предоставляется Заказчику в автоматическом режиме непосредственно в момент подтверждения успешного совершения платежа банком-эквайером или платёжным шлюзом. Расчётный период использования Сервиса составляет 30 (тридцать) календарных дней с момента активации доступа. Точные даты начала и окончания оплаченного периода, а также дата очередного периодического списания отображаются в интерфейсе Сервиса (в Личном кабинете Заказчика во вкладке «Подписка») до подтверждения оплаты.</w:t>
      </w:r>
    </w:p>
    <w:p>
      <w:pPr>
        <w:widowControl/>
      </w:pPr>
      <w:r>
        <w:t>3.3. При оформлении подписки Заказчику до подтверждения оплаты сообщаются сумма 970 рублей, периодичность списаний, порядок автопродления и способ его отключения. Платежные данные используются для повторных списаний только при наличии соответствующего согласия. Подтверждение такого согласия сохраняется в форме, позволяющей установить его содержание и момент предоставления.</w:t>
      </w:r>
    </w:p>
    <w:p>
      <w:pPr>
        <w:widowControl/>
      </w:pPr>
      <w:r>
        <w:t>3.4. Обязательство по оплате считается исполненным после зачисления денежных средств. Доступ связывается с Telegram-аккаунтом и ботом, указанными при подключении. При отсутствии оплаты нового периода работа бота приостанавливается после окончания оплаченного доступа.</w:t>
      </w:r>
    </w:p>
    <w:p>
      <w:pPr>
        <w:widowControl/>
      </w:pPr>
      <w:r>
        <w:t>3.5. Заказчик вправе отказаться от дальнейших периодических списаний, в том числе направив электронное обращение на arammedojan@mail.ru с указанием аккаунта и бота, позволяющих определить подписку. После получения отказа Исполнитель прекращает использование соответствующих платежных реквизитов для дальнейших периодических списаний. Повторное их использование возможно только при новом согласии Заказчика.</w:t>
      </w:r>
    </w:p>
    <w:p>
      <w:pPr>
        <w:widowControl/>
      </w:pPr>
      <w:r>
        <w:rPr/>
        <w:t>3.6. Заказчик вправе в любой момент самостоятельно отключить автопродление подписки непосредственно в интерфейсе Сервиса по пути: Личный кабинет (Telegram WebApp) → вкладка «Подписка» → кнопка «Отменить подписку / Отключить автопродление». При отключении автопродления через интерфейс Сервиса или направление обращения по пункту 3.5 Оферты доступ к функционалу Сервиса сохраняется до окончания текущего оплаченного периода без списания оплаты за следующий период.</w:t>
      </w:r>
    </w:p>
    <w:p>
      <w:pPr>
        <w:widowControl/>
      </w:pPr>
      <w:r>
        <w:t>3.7. Отключение автопродления само по себе не прекращает уже оплаченный доступ: бот работает до окончания оплаченного периода, если Заказчик отдельно не заявил об отказе от Договора. Удаление переписки с ботом само по себе не является заявлением об отключении подписки.</w:t>
      </w:r>
    </w:p>
    <w:p>
      <w:pPr>
        <w:widowControl/>
      </w:pPr>
      <w:r>
        <w:t>3.8. Другие продукты, дополнительные боты и индивидуальные работы не входят в стоимость подписки. Их подключение и оплата допускаются только по отдельно согласованным условиям. Дополнительные платежи и комиссии, взимаемые с Заказчика, должны быть раскрыты до их подтверждения.</w:t>
      </w:r>
    </w:p>
    <w:p>
      <w:pPr>
        <w:pStyle w:val="Heading1"/>
        <w:widowControl/>
      </w:pPr>
      <w:r>
        <w:t>4. ПОДКЛЮЧЕНИЕ И ОБСЛУЖИВАНИЕ</w:t>
      </w:r>
    </w:p>
    <w:p>
      <w:pPr>
        <w:widowControl/>
      </w:pPr>
      <w:r>
        <w:t>4.1. Заказчик заходит в бот Исполнителя, выбирает действие «Создать бота», получает готовый шаблон, создает своего бота через BotFather, получает токен и вводит его в предусмотренное поле Сервиса. Затем Заказчик добавляет материалы, описание продукта, тарифы и кнопки, подключает платежную систему. Запуск оплаченного доступа производится с учетом пункта 3.2.</w:t>
      </w:r>
    </w:p>
    <w:p>
      <w:pPr>
        <w:widowControl/>
      </w:pPr>
      <w:r>
        <w:t>4.2. Заказчик предоставляет только токен бота, которым вправе управлять. Токен является конфиденциальным средством доступа. Заказчик не должен публиковать его или передавать посторонним; при подозрении на компрометацию необходимо отозвать или заменить токен и уведомить поддержку. Исполнитель использует токен только для исполнения Договора и ограничивает доступ к нему уполномоченными специалистами.</w:t>
      </w:r>
    </w:p>
    <w:p>
      <w:pPr>
        <w:widowControl/>
      </w:pPr>
      <w:r>
        <w:t>4.3. Исполнитель поддерживает работу Сервиса и исправляет ошибки его программной части. Сообщения о неисправностях направляются техническому специалисту в чат поддержки, доступный из Сервиса, либо на arammedojan@mail.ru. Заказчик указывает бота, описание ошибки и обстоятельства ее возникновения.</w:t>
      </w:r>
    </w:p>
    <w:p>
      <w:pPr>
        <w:widowControl/>
      </w:pPr>
      <w:r>
        <w:t>4.4. Заказчик самостоятельно отвечает за наполнение бота, корректность описаний и тарифов, настройки своих интеграций, наличие прав на материалы и сохранение собственных копий материалов и данных. Это условие не освобождает Исполнителя от его обязанностей по безопасности и надлежащему исполнению Договора.</w:t>
      </w:r>
    </w:p>
    <w:p>
      <w:pPr>
        <w:widowControl/>
      </w:pPr>
      <w:r>
        <w:t>4.5. Обслуживание предоставляется в течение оплаченного периода. Само по себе неиспользование доступных функций не означает неоказание услуг и не отменяет абонентскую плату, с учетом права на отказ от Договора и иных обязательных требований закона.</w:t>
      </w:r>
    </w:p>
    <w:p>
      <w:pPr>
        <w:widowControl/>
      </w:pPr>
      <w:r>
        <w:t>4.6. Исполнитель вправе проводить необходимые технические работы и обновления, принимая разумные меры для сокращения перерывов. О плановых работах, влияющих на доступность ботов, Заказчик уведомляется заранее через официальные каналы. Конкретный срок исправления ошибки сообщается после ее диагностики; круглосуточная поддержка и непрерывная доступность без перерывов отдельно не обещаются.</w:t>
      </w:r>
    </w:p>
    <w:p>
      <w:pPr>
        <w:pStyle w:val="Heading1"/>
        <w:widowControl/>
      </w:pPr>
      <w:r>
        <w:t>5. ПРАВА И ОБЯЗАННОСТИ СТОРОН</w:t>
      </w:r>
    </w:p>
    <w:p>
      <w:pPr>
        <w:widowControl/>
      </w:pPr>
      <w:r>
        <w:t>5.1. Исполнитель обязан предоставить предусмотренные Офертой функции, размещение и техническое обслуживание, принимать обращения Заказчика и обеспечивать возможность отказа от последующих периодических списаний.</w:t>
      </w:r>
    </w:p>
    <w:p>
      <w:pPr>
        <w:widowControl/>
      </w:pPr>
      <w:r>
        <w:t>5.2. Заказчик обязан указывать достоверные контакты, обеспечивать доступ к Интернету и Telegram, следить за сообщениями Сервиса, своевременно оплачивать подписку и соблюдать правила подключаемых платформ.</w:t>
      </w:r>
    </w:p>
    <w:p>
      <w:pPr>
        <w:widowControl/>
      </w:pPr>
      <w:r>
        <w:t>5.3. Заказчик самостоятельно определяет содержание и условия продажи своих продуктов, исполняет обязательства перед покупателями, рассматривает их обращения и возвраты. Использование Сервиса не означает, что Исполнитель является продавцом продуктов Заказчика или гарантирует их качество.</w:t>
      </w:r>
    </w:p>
    <w:p>
      <w:pPr>
        <w:widowControl/>
      </w:pPr>
      <w:r>
        <w:t>5.4. Заказчик обязан иметь законные основания для обработки данных посетителей своего бота и направления им сообщений. Запрещаются незаконные массовые рассылки, загрузка неправомерно полученных баз, распространение запрещенных материалов, нарушение чужих прав и попытки несанкционированного доступа.</w:t>
      </w:r>
    </w:p>
    <w:p>
      <w:pPr>
        <w:widowControl/>
      </w:pPr>
      <w:r>
        <w:t>5.5. При выявлении нарушения Исполнитель вправе соразмерно ограничить затронутые функции и уведомить Заказчика о причине и порядке устранения нарушения. При непосредственной угрозе безопасности ограничение может вводиться незамедлительно с последующим уведомлением. Расчеты при прекращении Договора осуществляются по разделу 6 и обязательным нормам закона.</w:t>
      </w:r>
    </w:p>
    <w:p>
      <w:pPr>
        <w:widowControl/>
      </w:pPr>
      <w:r>
        <w:t>5.6. Исполнитель вправе привлекать технических специалистов для исполнения Договора, обеспечивая необходимую конфиденциальность и контроль доступа. Привлечение специалистов не снимает с Исполнителя ответственности за исполнение его обязательств.</w:t>
      </w:r>
    </w:p>
    <w:p>
      <w:pPr>
        <w:pStyle w:val="Heading1"/>
        <w:widowControl/>
      </w:pPr>
      <w:r>
        <w:t>6. ПРЕКРАЩЕНИЕ ПОДПИСКИ И ВОЗВРАТ</w:t>
      </w:r>
    </w:p>
    <w:p>
      <w:pPr>
        <w:widowControl/>
      </w:pPr>
      <w:r>
        <w:t>6.1. Заказчик вправе отказаться от Договора, направив заявление на arammedojan@mail.ru. В заявлении указываются имя или наименование, аккаунт и бот, дата и сумма оплаты, а также требование об отключении продления, прекращении Договора и (при необходимости) возврате.</w:t>
      </w:r>
    </w:p>
    <w:p>
      <w:pPr>
        <w:widowControl/>
      </w:pPr>
      <w:r>
        <w:t>6.2. При досрочном отказе возврат рассчитывается исходя из полученной оплаты за вычетом стоимости фактически предоставленного периода обслуживания и необходимых документально подтвержденных расходов, непосредственно связанных с исполнением Договора, без двойного учета одних и тех же сумм. Обязательные права потребителя сохраняются. Детальный расчет предоставляется Заказчику по его требованию.</w:t>
      </w:r>
    </w:p>
    <w:p>
      <w:pPr>
        <w:widowControl/>
      </w:pPr>
      <w:r>
        <w:t>6.3. Возврат производится не позднее 10 календарных дней со дня получения требования, если иной срок не установлен обязательной нормой закона. Если исполнение не началось по причинам на стороне Исполнителя, полученная оплата возвращается полностью. Права Заказчика в связи с недостатками услуг и необоснованными списаниями не ограничиваются.</w:t>
      </w:r>
    </w:p>
    <w:p>
      <w:pPr>
        <w:widowControl/>
      </w:pPr>
      <w:r>
        <w:t>6.4. После окончания оплаченного периода без продления работа созданного бота останавливается; сам бот не удаляется. Заказчику предоставляется один месяц после окончания подписки для выгрузки своих материалов и данных.</w:t>
      </w:r>
    </w:p>
    <w:p>
      <w:pPr>
        <w:widowControl/>
      </w:pPr>
      <w:r>
        <w:rPr/>
        <w:t>6.5. При приостановлении действия подписки бот Заказчика перестаёт отправлять сообщения и реагировать на действия подписчиков, однако Заказчику в течение 1 (одного) месяца сохраняется доступ в Личный кабинет Сервиса для выгрузки накопленных данных. Заказчик вправе выгрузить базу подписчиков и клиентов (включая Telegram ID, Username, имя, дату входа и историю совершённых оплат) в форматах CSV или XLSX через соответствующий раздел Личного кабинета («Клиенты» / «Аудитория»). По истечении 1 (одного) месяца с момента остановки подписки Исполнитель вправе удалить данные Заказчика и созданного бота с серверов без возможности восстановления. Остановка обслуживания или выгрузка данных ни при каких обстоятельствах не означает передачу Заказчику исходного кода платформы Сервиса.</w:t>
      </w:r>
    </w:p>
    <w:p>
      <w:pPr>
        <w:pStyle w:val="Heading1"/>
        <w:widowControl/>
      </w:pPr>
      <w:r>
        <w:t>7. ИНТЕЛЛЕКТУАЛЬНАЯ СОБСТВЕННОСТЬ</w:t>
      </w:r>
    </w:p>
    <w:p>
      <w:pPr>
        <w:widowControl/>
      </w:pPr>
      <w:r>
        <w:t>7.1. Права на программную часть Сервиса, шаблоны и интерфейсы принадлежат Исполнителю либо используются им на законном основании. Заказчику предоставляется право пользоваться ими в пределах оплаченной подписки для работы одного своего бота, включая продажи собственных продуктов.</w:t>
      </w:r>
    </w:p>
    <w:p>
      <w:pPr>
        <w:widowControl/>
      </w:pPr>
      <w:r>
        <w:t>7.2. Права на загруженные Заказчиком тексты, видео, изображения и иные материалы сохраняются за их правообладателями. Заказчик разрешает техническое использование этих материалов исключительно в объеме, необходимом для размещения и работы его бота. Публикация материалов Заказчика в рекламе Исполнителя требует отдельного правового основания.</w:t>
      </w:r>
    </w:p>
    <w:p>
      <w:pPr>
        <w:widowControl/>
      </w:pPr>
      <w:r>
        <w:rPr/>
        <w:t>7.3. Сервис предоставляется исключительно по облачной модели (SaaS — Software as a Service). Исходный программный код платформы Сервиса, архитектура базы данных, модули интеграций и конструктор ботов Заказчику не передаются, права на них не отчуждаются. Возможность автономной работы бота Заказчика вне серверной инфраструктуры Исполнителя или перенос программных компонентов бота на сторонний сервер Заказчика технически и юридически не предусмотрены.</w:t>
      </w:r>
    </w:p>
    <w:p>
      <w:pPr>
        <w:widowControl/>
      </w:pPr>
      <w:r>
        <w:t>7.4. Создание бота через собственный аккаунт BotFather и сохранение управления им не означают передачу Заказчику исключительных прав на программную платформу Исполнителя. Права и технические возможности использования аккаунта определяются также правилами Telegram.</w:t>
      </w:r>
    </w:p>
    <w:p>
      <w:pPr>
        <w:pStyle w:val="Heading1"/>
        <w:widowControl/>
      </w:pPr>
      <w:r>
        <w:t>8. ПЕРСОНАЛЬНЫЕ ДАННЫЕ И КОММУНИКАЦИЯ</w:t>
      </w:r>
    </w:p>
    <w:p>
      <w:pPr>
        <w:widowControl/>
      </w:pPr>
      <w:r>
        <w:t>8.1. Исполнитель обрабатывает данные, необходимые для заключения и исполнения Договора, учета подписки, оплаты, предоставления доступа и связи, в соответствии с политикой обработки персональных данных. Доступ технических специалистов допускается только в объеме, необходимом для выполнения их задач.</w:t>
      </w:r>
    </w:p>
    <w:p>
      <w:pPr>
        <w:widowControl/>
      </w:pPr>
      <w:r>
        <w:t>8.2. Заказчик самостоятельно определяет цели и законные основания обработки персональных данных посетителей и покупателей своего бота, размещает необходимые документы и получает согласия, когда они требуются законом. Загрузка данных в Сервис допускается при наличии у Заказчика необходимых прав и оснований.</w:t>
      </w:r>
    </w:p>
    <w:p>
      <w:pPr>
        <w:widowControl/>
      </w:pPr>
      <w:r>
        <w:t>8.3. Если в рамках Сервиса Исполнитель обрабатывает данные посетителей и покупателей по поручению Заказчика, до начала такой обработки стороны должны согласовать поручение с перечнем данных и операций, целями обработки, требованиями конфиденциальности и безопасности, порядком взаимодействия и удаления данных. Оферта не заменяет отсутствующее поручение.</w:t>
      </w:r>
    </w:p>
    <w:p>
      <w:pPr>
        <w:widowControl/>
      </w:pPr>
      <w:r>
        <w:rPr/>
        <w:t>8.4. В процессе предоставления доступа к Сервису на серверах Исполнителя обрабатываются и сохраняются: идентификаторы учетных записей (Telegram User ID, Chat ID, Username), токен бота Заказчика (хранится в зашифрованном виде), сценарии и контент воронки продаж, журналы системных событий (логи), а также контактные данные клиентов Заказчика (включая адрес электронной почты для отправки электронных чеков по Федеральному закону № 54-ФЗ). Доступ технических специалистов Исполнителя к сообщениям и базам клиентов ограничен целями обеспечения технической работоспособности и устранения сбоев. В отношениях с конечными пользователями (покупателями) бота Заказчик является самостоятельным Оператором их персональных данных, а Исполнитель действует по поручению Заказчика в соответствии с ч. 3 ст. 6 Федерального закона № 152-ФЗ «О персональных данных» на период действия Договора.</w:t>
      </w:r>
    </w:p>
    <w:p>
      <w:pPr>
        <w:widowControl/>
      </w:pPr>
      <w:r>
        <w:t>8.5. Серверная инфраструктура Исполнителя для размещения созданных ботов находится в России. Это условие само по себе не определяет порядок обработки данных независимыми платформами Telegram, ВКонтакте, MAX и платежными системами; он учитывается отдельно при выборе интеграций и оформлении документов об обработке данных.</w:t>
      </w:r>
    </w:p>
    <w:p>
      <w:pPr>
        <w:widowControl/>
      </w:pPr>
      <w:r>
        <w:t>8.6. Официальный адрес Исполнителя: arammedojan@mail.ru. Официальными каналами также являются Telegram-бот Сервиса, платежная страница и чат поддержки, ссылки на которые сообщаются Заказчику Исполнителем.</w:t>
      </w:r>
    </w:p>
    <w:p>
      <w:pPr>
        <w:widowControl/>
      </w:pPr>
      <w:r>
        <w:t>8.7. Публикация отзыва, изображения, видеозаписи или сведений об аккаунте Заказчика допускается при наличии отдельного согласия, если оно требуется законом.</w:t>
      </w:r>
    </w:p>
    <w:p>
      <w:pPr>
        <w:pStyle w:val="Heading1"/>
        <w:widowControl/>
      </w:pPr>
      <w:r>
        <w:t>9. ОТВЕТСТВЕННОСТЬ И СПОРЫ</w:t>
      </w:r>
    </w:p>
    <w:p>
      <w:pPr>
        <w:widowControl/>
      </w:pPr>
      <w:r>
        <w:t>9.1. Исполнитель не гарантирует конкретное количество клиентов, подписчиков, заявок, продаж, дохода или прибыли. Коммерческий результат зависит от продукта, материалов и действий Заказчика, а также внешних обстоятельств.</w:t>
      </w:r>
    </w:p>
    <w:p>
      <w:pPr>
        <w:widowControl/>
      </w:pPr>
      <w:r>
        <w:t>9.2. Сбои или изменения правил Telegram, ВКонтакте, MAX, банков, платежных систем и операторов связи могут влиять на работу интеграций. Исполнитель принимает разумные меры для восстановления доступных функций и информирует Заказчика. Такие обстоятельства не освобождают Исполнителя автоматически от ответственности за собственные нарушения и от предусмотренных законом обязательств.</w:t>
      </w:r>
    </w:p>
    <w:p>
      <w:pPr>
        <w:widowControl/>
      </w:pPr>
      <w:r>
        <w:t>9.3. Претензии направляются на официальный адрес Исполнителя. Споры рассматриваются по правилам подсудности, установленным законодательством Российской Федерации; права потребителя на выбор суда не ограничиваются.</w:t>
      </w:r>
    </w:p>
    <w:p>
      <w:pPr>
        <w:widowControl/>
      </w:pPr>
      <w:r>
        <w:t>9.4. Исполнитель вправе изменять Оферту для будущих периодов обслуживания, предварительно сообщая новые условия Заказчику. К уже оплаченному периоду применяется редакция, действовавшая при его оплате, кроме обязательных изменений закона и изменений, улучшающих положение Заказчика. Увеличение суммы периодического списания требует предварительного информирования и согласия Заказчика; молчание не считается таким согласием.</w:t>
      </w:r>
    </w:p>
    <w:p>
      <w:pPr>
        <w:pStyle w:val="Heading1"/>
        <w:widowControl/>
      </w:pPr>
      <w:r>
        <w:t>10. РЕКВИЗИТЫ ИСПОЛНИТЕЛЯ</w:t>
      </w:r>
    </w:p>
    <w:tbl>
      <w:tblPr>
        <w:tblW w:w="9360" w:type="dxa"/>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50"/>
        <w:gridCol w:w="7010"/>
      </w:tblGrid>
      <w:tr w:rsidR="002D334F">
        <w:trPr>
          <w:cantSplit/>
          <w:tblHeader/>
        </w:trPr>
        <w:tc>
          <w:tcPr>
            <w:tcW w:w="2350" w:type="dxa"/>
            <w:shd w:val="clear" w:color="auto" w:fill="EDEDED"/>
            <w:tcMar>
              <w:top w:w="90" w:type="dxa"/>
              <w:left w:w="100" w:type="dxa"/>
              <w:bottom w:w="90" w:type="dxa"/>
              <w:right w:w="100" w:type="dxa"/>
            </w:tcMar>
            <w:vAlign w:val="center"/>
          </w:tcPr>
          <w:p w:rsidR="002D334F" w:rsidRDefault="00000000">
            <w:pPr>
              <w:spacing w:after="0"/>
              <w:jc w:val="center"/>
            </w:pPr>
            <w:r>
              <w:rPr>
                <w:rFonts w:eastAsia="Times New Roman"/>
                <w:b/>
                <w:color w:val="000000"/>
                <w:sz w:val="19"/>
              </w:rPr>
              <w:t>Реквизит</w:t>
            </w:r>
          </w:p>
        </w:tc>
        <w:tc>
          <w:tcPr>
            <w:tcW w:w="7010" w:type="dxa"/>
            <w:shd w:val="clear" w:color="auto" w:fill="EDEDED"/>
            <w:tcMar>
              <w:top w:w="90" w:type="dxa"/>
              <w:left w:w="100" w:type="dxa"/>
              <w:bottom w:w="90" w:type="dxa"/>
              <w:right w:w="100" w:type="dxa"/>
            </w:tcMar>
            <w:vAlign w:val="center"/>
          </w:tcPr>
          <w:p w:rsidR="002D334F" w:rsidRDefault="00000000">
            <w:pPr>
              <w:spacing w:after="0"/>
              <w:jc w:val="center"/>
            </w:pPr>
            <w:r>
              <w:rPr>
                <w:rFonts w:eastAsia="Times New Roman"/>
                <w:b/>
                <w:color w:val="000000"/>
                <w:sz w:val="19"/>
              </w:rPr>
              <w:t>Сведения</w:t>
            </w:r>
          </w:p>
        </w:tc>
      </w:tr>
      <w:tr w:rsidR="002D334F" w:rsidRPr="00BC168D">
        <w:trPr>
          <w:cantSplit/>
        </w:trPr>
        <w:tc>
          <w:tcPr>
            <w:tcW w:w="235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Исполнитель</w:t>
            </w:r>
          </w:p>
        </w:tc>
        <w:tc>
          <w:tcPr>
            <w:tcW w:w="7010" w:type="dxa"/>
            <w:tcMar>
              <w:top w:w="90" w:type="dxa"/>
              <w:left w:w="100" w:type="dxa"/>
              <w:bottom w:w="90" w:type="dxa"/>
              <w:right w:w="100" w:type="dxa"/>
            </w:tcMar>
          </w:tcPr>
          <w:p w:rsidR="002D334F" w:rsidRPr="00BC168D" w:rsidRDefault="00000000">
            <w:pPr>
              <w:spacing w:after="0" w:line="240" w:lineRule="auto"/>
              <w:rPr>
                <w:lang w:val="ru-RU"/>
              </w:rPr>
            </w:pPr>
            <w:r w:rsidRPr="00BC168D">
              <w:rPr>
                <w:rFonts w:eastAsia="Times New Roman"/>
                <w:color w:val="000000"/>
                <w:sz w:val="18"/>
                <w:lang w:val="ru-RU"/>
              </w:rPr>
              <w:t>Индивидуальный предприниматель Медоян Арам Гагикович</w:t>
            </w:r>
          </w:p>
        </w:tc>
      </w:tr>
      <w:tr w:rsidR="002D334F">
        <w:trPr>
          <w:cantSplit/>
        </w:trPr>
        <w:tc>
          <w:tcPr>
            <w:tcW w:w="235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ИНН</w:t>
            </w:r>
          </w:p>
        </w:tc>
        <w:tc>
          <w:tcPr>
            <w:tcW w:w="701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613302383615</w:t>
            </w:r>
          </w:p>
        </w:tc>
      </w:tr>
      <w:tr w:rsidR="002D334F">
        <w:trPr>
          <w:cantSplit/>
        </w:trPr>
        <w:tc>
          <w:tcPr>
            <w:tcW w:w="235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ОГРНИП</w:t>
            </w:r>
          </w:p>
        </w:tc>
        <w:tc>
          <w:tcPr>
            <w:tcW w:w="701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321619600251571</w:t>
            </w:r>
          </w:p>
        </w:tc>
      </w:tr>
      <w:tr w:rsidR="002D334F" w:rsidRPr="00BC168D">
        <w:trPr>
          <w:cantSplit/>
        </w:trPr>
        <w:tc>
          <w:tcPr>
            <w:tcW w:w="235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Почтовый адрес</w:t>
            </w:r>
          </w:p>
        </w:tc>
        <w:tc>
          <w:tcPr>
            <w:tcW w:w="7010" w:type="dxa"/>
            <w:tcMar>
              <w:top w:w="90" w:type="dxa"/>
              <w:left w:w="100" w:type="dxa"/>
              <w:bottom w:w="90" w:type="dxa"/>
              <w:right w:w="100" w:type="dxa"/>
            </w:tcMar>
          </w:tcPr>
          <w:p w:rsidR="002D334F" w:rsidRPr="00BC168D" w:rsidRDefault="00000000">
            <w:pPr>
              <w:spacing w:after="0" w:line="240" w:lineRule="auto"/>
              <w:rPr>
                <w:lang w:val="ru-RU"/>
              </w:rPr>
            </w:pPr>
            <w:r w:rsidRPr="00BC168D">
              <w:rPr>
                <w:rFonts w:eastAsia="Times New Roman"/>
                <w:color w:val="000000"/>
                <w:sz w:val="18"/>
                <w:lang w:val="ru-RU"/>
              </w:rPr>
              <w:t>г. Ростов-на-Дону, 14-я линия, 53</w:t>
            </w:r>
          </w:p>
        </w:tc>
      </w:tr>
      <w:tr w:rsidR="002D334F">
        <w:trPr>
          <w:cantSplit/>
        </w:trPr>
        <w:tc>
          <w:tcPr>
            <w:tcW w:w="2350" w:type="dxa"/>
            <w:tcMar>
              <w:top w:w="90" w:type="dxa"/>
              <w:left w:w="100" w:type="dxa"/>
              <w:bottom w:w="90" w:type="dxa"/>
              <w:right w:w="100" w:type="dxa"/>
            </w:tcMar>
          </w:tcPr>
          <w:p w:rsidR="002D334F" w:rsidRDefault="00000000">
            <w:pPr>
              <w:spacing w:after="0" w:line="240" w:lineRule="auto"/>
            </w:pPr>
            <w:proofErr w:type="spellStart"/>
            <w:r>
              <w:rPr>
                <w:rFonts w:eastAsia="Times New Roman"/>
                <w:color w:val="000000"/>
                <w:sz w:val="18"/>
              </w:rPr>
              <w:t>Электронная</w:t>
            </w:r>
            <w:proofErr w:type="spellEnd"/>
            <w:r>
              <w:rPr>
                <w:rFonts w:eastAsia="Times New Roman"/>
                <w:color w:val="000000"/>
                <w:sz w:val="18"/>
              </w:rPr>
              <w:t xml:space="preserve"> </w:t>
            </w:r>
            <w:proofErr w:type="spellStart"/>
            <w:r>
              <w:rPr>
                <w:rFonts w:eastAsia="Times New Roman"/>
                <w:color w:val="000000"/>
                <w:sz w:val="18"/>
              </w:rPr>
              <w:t>почта</w:t>
            </w:r>
            <w:proofErr w:type="spellEnd"/>
          </w:p>
        </w:tc>
        <w:tc>
          <w:tcPr>
            <w:tcW w:w="701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arammedojan@mail.ru</w:t>
            </w:r>
          </w:p>
        </w:tc>
      </w:tr>
      <w:tr w:rsidR="002D334F">
        <w:trPr>
          <w:cantSplit/>
        </w:trPr>
        <w:tc>
          <w:tcPr>
            <w:tcW w:w="235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Телефон</w:t>
            </w:r>
          </w:p>
        </w:tc>
        <w:tc>
          <w:tcPr>
            <w:tcW w:w="701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+7 (929) 004-00-01</w:t>
            </w:r>
          </w:p>
        </w:tc>
      </w:tr>
      <w:tr w:rsidR="002D334F">
        <w:trPr>
          <w:cantSplit/>
        </w:trPr>
        <w:tc>
          <w:tcPr>
            <w:tcW w:w="235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Расчетный счет</w:t>
            </w:r>
          </w:p>
        </w:tc>
        <w:tc>
          <w:tcPr>
            <w:tcW w:w="701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40802810100002969165</w:t>
            </w:r>
          </w:p>
        </w:tc>
      </w:tr>
      <w:tr w:rsidR="002D334F">
        <w:trPr>
          <w:cantSplit/>
        </w:trPr>
        <w:tc>
          <w:tcPr>
            <w:tcW w:w="235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Банк</w:t>
            </w:r>
          </w:p>
        </w:tc>
        <w:tc>
          <w:tcPr>
            <w:tcW w:w="701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АО «ТБанк»</w:t>
            </w:r>
          </w:p>
        </w:tc>
      </w:tr>
      <w:tr w:rsidR="002D334F">
        <w:trPr>
          <w:cantSplit/>
        </w:trPr>
        <w:tc>
          <w:tcPr>
            <w:tcW w:w="235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Корреспондентский счет</w:t>
            </w:r>
          </w:p>
        </w:tc>
        <w:tc>
          <w:tcPr>
            <w:tcW w:w="701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30101810145250000974</w:t>
            </w:r>
          </w:p>
        </w:tc>
      </w:tr>
      <w:tr w:rsidR="002D334F">
        <w:trPr>
          <w:cantSplit/>
        </w:trPr>
        <w:tc>
          <w:tcPr>
            <w:tcW w:w="235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БИК</w:t>
            </w:r>
          </w:p>
        </w:tc>
        <w:tc>
          <w:tcPr>
            <w:tcW w:w="7010" w:type="dxa"/>
            <w:tcMar>
              <w:top w:w="90" w:type="dxa"/>
              <w:left w:w="100" w:type="dxa"/>
              <w:bottom w:w="90" w:type="dxa"/>
              <w:right w:w="100" w:type="dxa"/>
            </w:tcMar>
          </w:tcPr>
          <w:p w:rsidR="002D334F" w:rsidRDefault="00000000">
            <w:pPr>
              <w:spacing w:after="0" w:line="240" w:lineRule="auto"/>
            </w:pPr>
            <w:r>
              <w:rPr>
                <w:rFonts w:eastAsia="Times New Roman"/>
                <w:color w:val="000000"/>
                <w:sz w:val="18"/>
              </w:rPr>
              <w:t>044525974</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cstheme="majorBidi" w:ascii="Times New Roman" w:hAnsi="Times New Roman" w:cs="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cs="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cstheme="majorBidi" w:ascii="Times New Roman" w:hAnsi="Times New Roman" w:cs="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cstheme="majorBidi"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публичной оферты на сервис ботов</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