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2"/>
          <w:szCs w:val="22"/>
        </w:rPr>
        <w:t xml:space="preserve">Government of India</w:t>
      </w:r>
    </w:p>
    <w:p>
      <w:pPr>
        <w:jc w:val="center"/>
      </w:pPr>
      <w:r>
        <w:rPr>
          <w:sz w:val="22"/>
          <w:szCs w:val="22"/>
        </w:rPr>
        <w:t xml:space="preserve">Bhabha Atomic Research Centre</w:t>
      </w:r>
    </w:p>
    <w:p>
      <w:pPr>
        <w:jc w:val="center"/>
      </w:pPr>
      <w:r>
        <w:rPr>
          <w:sz w:val="22"/>
          <w:szCs w:val="22"/>
        </w:rPr>
        <w:t xml:space="preserve">Civil Engineering Division</w:t>
      </w:r>
    </w:p>
    <w:p>
      <w:pPr>
        <w:jc w:val="right"/>
      </w:pPr>
      <w:r>
        <w:rPr>
          <w:sz w:val="22"/>
          <w:szCs w:val="22"/>
        </w:rPr>
        <w:t xml:space="preserve">North Site, Trombay</w:t>
      </w:r>
    </w:p>
    <w:p>
      <w:pPr>
        <w:jc w:val="right"/>
      </w:pPr>
      <w:r>
        <w:rPr>
          <w:sz w:val="22"/>
          <w:szCs w:val="22"/>
        </w:rPr>
        <w:t xml:space="preserve">Mumbai- 400 085</w:t>
      </w:r>
    </w:p>
    <w:p>
      <w:pPr>
        <w:jc w:val="center"/>
      </w:pPr>
      <w:r>
        <w:rPr>
          <w:sz w:val="22"/>
          <w:szCs w:val="22"/>
        </w:rPr>
        <w:t xml:space="preserve">NOTICE INVITING e-TENDER</w:t>
      </w:r>
    </w:p>
    <w:p>
      <w:pPr>
        <w:jc w:val="center"/>
      </w:pPr>
      <w:r>
        <w:rPr>
          <w:sz w:val="22"/>
          <w:szCs w:val="22"/>
        </w:rPr>
        <w:t xml:space="preserve">TENDER NOTICE No.BARC/CED/ET/61/2023-2024 Dated 25/01/2024</w:t>
      </w:r>
    </w:p>
    <w:p>
      <w:pPr>
        <w:jc w:val="left"/>
      </w:pPr>
      <w:r>
        <w:rPr>
          <w:sz w:val="22"/>
          <w:szCs w:val="22"/>
        </w:rPr>
        <w:t xml:space="preserve">I. NIT Details:</w:t>
      </w:r>
    </w:p>
    <w:p>
      <w:pPr/>
      <w:r>
        <w:rPr>
          <w:sz w:val="22"/>
          <w:szCs w:val="22"/>
        </w:rPr>
        <w:t xml:space="preserve">1. On line item rate tender in two parts i.e. Part A –Techno-commercial Bid and Part B – Financial Bid are hereby invited through e-Tendering mode on behalf of the President of India by Superintending Engineer, Civil Engineering Division, Bhabha Atomic Research Centre, Trombay, Mumbai-400 085 for the following work from eligible contractors on the approved list of CPWD, MES, Railways, State PWDs, Public Sector Undertakings of Central or State Governments / Central Autonomous bodies or those having adequate experience and capabilities to execute similar works of such magnitude in the Department of Atomic Energy (DAE).</w:t>
      </w:r>
    </w:p>
    <w:p>
      <w:pPr/>
      <w:r>
        <w:rPr>
          <w:sz w:val="22"/>
          <w:szCs w:val="22"/>
        </w:rPr>
        <w:t xml:space="preserve">             i) Name of Work: TNPL Factory</w:t>
      </w:r>
    </w:p>
    <w:p>
      <w:pPr/>
      <w:r>
        <w:rPr>
          <w:sz w:val="22"/>
          <w:szCs w:val="22"/>
        </w:rPr>
        <w:t xml:space="preserve">             ii) Estimated Cost: 7,78,800.00</w:t>
      </w:r>
    </w:p>
    <w:p>
      <w:pPr/>
      <w:r>
        <w:rPr>
          <w:sz w:val="22"/>
          <w:szCs w:val="22"/>
        </w:rPr>
        <w:t xml:space="preserve">             iii) Earnest Money: 15,576.00</w:t>
      </w:r>
    </w:p>
    <w:p>
      <w:pPr/>
      <w:r>
        <w:rPr>
          <w:sz w:val="22"/>
          <w:szCs w:val="22"/>
        </w:rPr>
        <w:t xml:space="preserve">             iv) Cost of Tender Document: 85</w:t>
      </w:r>
    </w:p>
    <w:p>
      <w:pPr/>
      <w:r>
        <w:rPr>
          <w:sz w:val="22"/>
          <w:szCs w:val="22"/>
        </w:rPr>
        <w:t xml:space="preserve">             v) Tender Processing Fee: NIL </w:t>
      </w:r>
    </w:p>
    <w:p>
      <w:pPr/>
      <w:r>
        <w:rPr>
          <w:sz w:val="22"/>
          <w:szCs w:val="22"/>
        </w:rPr>
        <w:t xml:space="preserve">             vi) Period of completion: 20 calendar months including monsoon period.</w:t>
      </w:r>
    </w:p>
    <w:p>
      <w:pPr/>
      <w:r>
        <w:rPr>
          <w:sz w:val="22"/>
          <w:szCs w:val="22"/>
        </w:rPr>
        <w:t xml:space="preserve">             vii) Dates of availability of Tender Documents for Download: From 01/02/2023 04:13 to 28/02/2023 06:11 To Download – please visit CPPP website on https://eprocure.gov.in/eprocure/app. Detailed NIT is also available on the website www.barc.gov.in for view only</w:t>
      </w:r>
    </w:p>
    <w:p>
      <w:pPr/>
      <w:r>
        <w:rPr>
          <w:sz w:val="22"/>
          <w:szCs w:val="22"/>
        </w:rPr>
        <w:t xml:space="preserve">             viii) Date of Pre-bid clarification: The contractors are requested to send their Pre-bid queries by email not later than . Pre-Bid meeting along with Site Visit will be held . The Pre-Bid clarifications will be uploaded on CPPP website by </w:t>
      </w:r>
    </w:p>
    <w:p>
      <w:pPr/>
      <w:r>
        <w:rPr>
          <w:sz w:val="22"/>
          <w:szCs w:val="22"/>
        </w:rPr>
        <w:t xml:space="preserve">             ix) Start date and time of online submission of tenders: 02/03/2023 03:19</w:t>
      </w:r>
    </w:p>
    <w:p>
      <w:pPr/>
      <w:r>
        <w:rPr>
          <w:sz w:val="22"/>
          <w:szCs w:val="22"/>
        </w:rPr>
        <w:t xml:space="preserve">             x) Last date and time of closing of online submission of tenders: 30/03/2023 03:13</w:t>
      </w:r>
    </w:p>
    <w:p>
      <w:pPr/>
      <w:r>
        <w:rPr>
          <w:sz w:val="22"/>
          <w:szCs w:val="22"/>
        </w:rPr>
        <w:t xml:space="preserve">             xi) Date and time of online opening of Part A i.e. Technical Bid: 28/04/2023 05:15</w:t>
      </w:r>
    </w:p>
    <w:p>
      <w:pPr/>
      <w:r>
        <w:rPr/>
        <w:t xml:space="preserve">             xii) Date of opening of Part -B i.e. Financial Bids of qualified bidders: </w:t>
      </w:r>
    </w:p>
    <w:p>
      <w:pPr/>
      <w:r>
        <w:rPr>
          <w:sz w:val="22"/>
          <w:szCs w:val="22"/>
        </w:rPr>
        <w:t xml:space="preserve">             18/04/2023 04:10</w:t>
      </w:r>
    </w:p>
    <w:p>
      <w:r>
        <w:br w:type="page"/>
      </w:r>
    </w:p>
    <w:p>
      <w:pPr>
        <w:jc w:val="left"/>
      </w:pPr>
      <w:r>
        <w:rPr>
          <w:sz w:val="22"/>
          <w:szCs w:val="22"/>
          <w:u w:val="single"/>
        </w:rPr>
        <w:t xml:space="preserve">II. Initial Eligibility Criteria:,</w:t>
      </w:r>
    </w:p>
    <w:p>
      <w:pPr>
        <w:jc w:val="left"/>
      </w:pPr>
      <w:r>
        <w:rPr>
          <w:sz w:val="22"/>
          <w:szCs w:val="22"/>
        </w:rPr>
        <w:t xml:space="preserve">2. The bidder should have the following:</w:t>
      </w:r>
    </w:p>
    <w:p>
      <w:pPr>
        <w:jc w:val="left"/>
      </w:pPr>
      <w:r>
        <w:rPr>
          <w:sz w:val="22"/>
          <w:szCs w:val="22"/>
        </w:rPr>
        <w:t xml:space="preserve">(a) Registration in Appropriate Class of Contractors, if any</w:t>
      </w:r>
    </w:p>
    <w:p>
      <w:pPr/>
      <w:r>
        <w:rPr>
          <w:sz w:val="22"/>
          <w:szCs w:val="22"/>
        </w:rPr>
        <w:t xml:space="preserve">(b) Bank Solvency Certificate of a Nationalized Bank / Scheduled Bank for a minimum of 3.12 Lakhs and should not be older than one year from the date of opening of tender</w:t>
      </w:r>
    </w:p>
    <w:p>
      <w:pPr/>
      <w:r>
        <w:rPr>
          <w:sz w:val="22"/>
          <w:szCs w:val="22"/>
        </w:rPr>
        <w:t xml:space="preserve">(c) Average Annual Financial Turnover on construction works should be at least 7.79 Lakhs, during the immediate last5 consecutive financial years ending ;duly audited by a registered Chartered Accountant.</w:t>
      </w:r>
    </w:p>
    <w:p>
      <w:pPr/>
      <w:r>
        <w:rPr>
          <w:sz w:val="22"/>
          <w:szCs w:val="22"/>
        </w:rPr>
        <w:t xml:space="preserve">(d) Should not have incurred any loss in more than two years during the last five years ending 31st March </w:t>
      </w:r>
    </w:p>
    <w:p>
      <w:pPr/>
      <w:r>
        <w:rPr>
          <w:sz w:val="22"/>
          <w:szCs w:val="22"/>
        </w:rPr>
        <w:t xml:space="preserve">(e) Carried out similar works during the last 7 years.</w:t>
      </w:r>
    </w:p>
    <w:p>
      <w:pPr/>
      <w:r>
        <w:rPr>
          <w:sz w:val="22"/>
          <w:szCs w:val="22"/>
        </w:rPr>
        <w:t xml:space="preserve">(f) Performance Certificates.</w:t>
      </w:r>
    </w:p>
    <w:p>
      <w:pPr/>
      <w:r>
        <w:rPr>
          <w:sz w:val="22"/>
          <w:szCs w:val="22"/>
        </w:rPr>
        <w:t xml:space="preserve">(g) Construction Plant &amp; Machinery, equipment’s, accessories &amp; other infrastructure facilities to complete the work in time.</w:t>
      </w:r>
    </w:p>
    <w:p>
      <w:pPr/>
      <w:r>
        <w:rPr>
          <w:sz w:val="22"/>
          <w:szCs w:val="22"/>
        </w:rPr>
        <w:t xml:space="preserve">(h) Required Technical Staff.</w:t>
      </w:r>
    </w:p>
    <w:p>
      <w:pPr/>
      <w:r>
        <w:rPr>
          <w:sz w:val="22"/>
          <w:szCs w:val="22"/>
        </w:rPr>
        <w:t xml:space="preserve">(i) Permanent Account Number (PAN) &amp; GST Certificate.</w:t>
      </w:r>
    </w:p>
    <w:p>
      <w:pPr/>
      <w:r>
        <w:rPr>
          <w:sz w:val="22"/>
          <w:szCs w:val="22"/>
        </w:rPr>
        <w:t xml:space="preserve">The bidder should have satisfactorily completed (based on certification of performance by the client of the works) 3 (Three) similar works each of value not less than 3.12 Lakhs or 2 (Two) similar works each of value not less than 4.67 Lakhs or 1 (One) similar work of value at least 6.23 Lakhs during the last 7 (Seven) years ending on the last day of the month previous to the one in which the tenders are invited/the works completed up to the previous day of the last date of submission of tenders shall also be considered, and if the eligible similar works are not carried out in Central Government / State Government / Public Sector Undertaking of Central or State Governments / Central Autonomous bodies, then TDS certificates should be produced by the bidder for the same.</w:t>
      </w:r>
    </w:p>
    <w:p>
      <w:pPr/>
      <w:r>
        <w:rPr>
          <w:sz w:val="22"/>
          <w:szCs w:val="22"/>
        </w:rPr>
        <w:t xml:space="preserve">For the purpose, ‘cost of work’ shall mean the gross value of the completed work, including the cost of materials supplied by the Govt./Client, but excluding those supplied free of cost. For the purpose of clause Similar Works means TNPL Factory The similar works should have been executed in India. Further, the contractor should also have experience in electrical-related works in the qualifying work as per the above definition of similar works or any other works of any value.</w:t>
      </w:r>
    </w:p>
    <w:p>
      <w:pPr/>
      <w:r>
        <w:rPr>
          <w:sz w:val="22"/>
          <w:szCs w:val="22"/>
        </w:rPr>
        <w:t xml:space="preserve">3. The value of executed works shall be brought to the current costing level by enhancing the actual value of work at a simple rate of 7% per annum, calculated from the date of completion to the last date of submission of tenders.</w:t>
      </w:r>
    </w:p>
    <w:p>
      <w:pPr/>
      <w:r>
        <w:rPr>
          <w:sz w:val="22"/>
          <w:szCs w:val="22"/>
        </w:rPr>
        <w:t xml:space="preserve">4. The bidding capacity of the contractor applicable should be equal to or more than the estimated cost of the work put to tender. The bidding capacity shall be worked out by the following formula:</w:t>
      </w:r>
    </w:p>
    <w:p>
      <w:r>
        <w:br w:type="page"/>
      </w:r>
    </w:p>
    <w:p>
      <w:pPr>
        <w:jc w:val="center"/>
      </w:pPr>
      <w:r>
        <w:rPr>
          <w:sz w:val="22"/>
          <w:szCs w:val="22"/>
          <w:b w:val="1"/>
          <w:bCs w:val="1"/>
        </w:rPr>
        <w:t xml:space="preserve">Bidding Capacity = [A x N x 2] – B</w:t>
      </w:r>
    </w:p>
    <w:p>
      <w:pPr/>
      <w:r>
        <w:rPr>
          <w:sz w:val="22"/>
          <w:szCs w:val="22"/>
        </w:rPr>
        <w:t xml:space="preserve">Where</w:t>
      </w:r>
    </w:p>
    <w:p>
      <w:pPr/>
      <w:r>
        <w:rPr>
          <w:sz w:val="22"/>
          <w:szCs w:val="22"/>
        </w:rPr>
        <w:t xml:space="preserve">A = Maximum Value of construction works executed in any one year during the last five years taking into account the completed as well as works in progress.</w:t>
      </w:r>
    </w:p>
    <w:p>
      <w:pPr/>
      <w:r>
        <w:rPr>
          <w:sz w:val="22"/>
          <w:szCs w:val="22"/>
        </w:rPr>
        <w:t xml:space="preserve">N = Number of years prescribed for completion of work for which bids have been invited.</w:t>
      </w:r>
    </w:p>
    <w:p>
      <w:pPr/>
      <w:r>
        <w:rPr>
          <w:sz w:val="22"/>
          <w:szCs w:val="22"/>
        </w:rPr>
        <w:t xml:space="preserve">B = Value of existing commitments and ongoing works to be completed during the period of completion of work for which bids have been invited.</w:t>
      </w:r>
    </w:p>
    <w:p>
      <w:pPr/>
      <w:r>
        <w:rPr>
          <w:sz w:val="22"/>
          <w:szCs w:val="22"/>
          <w:b w:val="1"/>
          <w:bCs w:val="1"/>
        </w:rPr>
        <w:t xml:space="preserve">5. Bidder should be a registered firm in India. Joint Ventures and or Consortiums are not acceptable.</w:t>
      </w:r>
    </w:p>
    <w:p>
      <w:pPr/>
      <w:r>
        <w:rPr>
          <w:sz w:val="22"/>
          <w:szCs w:val="22"/>
          <w:b w:val="1"/>
          <w:bCs w:val="1"/>
          <w:u w:val="single"/>
        </w:rPr>
        <w:t xml:space="preserve">III. Information:</w:t>
      </w:r>
    </w:p>
    <w:p>
      <w:pPr/>
      <w:r>
        <w:rPr>
          <w:sz w:val="22"/>
          <w:szCs w:val="22"/>
        </w:rPr>
        <w:t xml:space="preserve">6. Tender document is prepared in two parts viz. Part ‘A’ (Techno-commercial Bid) and Part ‘B’ (Financial Bid). Part ‘A’ consists of Techno-commercial Bid viz. Section I – Notice Inviting e-Tender (English &amp; Hindi versions), Section II - Form of Agreement and General Rules and Directions for the guidance of Contractors, Memorandum, Section III – General Conditions of Contract, Additional conditions, Section IV - Special Instructions to Tenderers, Section V – Technical specifications, Section VI - List of Tender Drawings, Section VII – Schedule ‘A’ (Schedule of Materials to be supplied by Department), Appendix ‘B’ – Form of BG bond for performance security, Appendix ‘C’ – Indenture for secured advance, Appendix ‘D’ – Guarantee bond for waterproofing works, Appendix ‘E’ – Guarantee bond for anti-termite treatment, Annexure ‘A’ – Statement of men and machinery, Annexure `B’ – List of approved manufacturer of building materials, all corrigendums to tender documents and Proforma of Schedules ‘A’ to ‘F’. Part ‘B’ (Financial bid) consists of Schedule ‘B’ - Schedule of Quantities. All the above documents will form part of Agreement after award of work to the successful bidder.</w:t>
      </w:r>
    </w:p>
    <w:p>
      <w:pPr/>
      <w:r>
        <w:rPr>
          <w:sz w:val="22"/>
          <w:szCs w:val="22"/>
        </w:rPr>
        <w:t xml:space="preserve">OBTAINING OF STANDARD DOCUMENTS: Prospective Bidders or the general public can see and download free of cost PDF format of the above documents from the website www.barc.gov.inTenders and NITsOther Information</w:t>
      </w:r>
    </w:p>
    <w:p>
      <w:pPr/>
      <w:r>
        <w:rPr>
          <w:sz w:val="22"/>
          <w:szCs w:val="22"/>
        </w:rPr>
        <w:t xml:space="preserve">IV. Guidelines for e-Tendering in CPPP website:</w:t>
      </w:r>
    </w:p>
    <w:p>
      <w:pPr/>
      <w:r>
        <w:rPr>
          <w:sz w:val="22"/>
          <w:szCs w:val="22"/>
        </w:rPr>
        <w:t xml:space="preserve">To participate in the Tendering process on the CPP Portal, Prospective Bidders require a valid Class III Digital Signature Certificates. All the documents related to the eligibility criteria of the tender should be submitted electronically through the CPPP portal only. The instructions given below are meant to assist the bidders in registering on the CPP Portal, preparing their bids in accordance with the requirements, and submitting their bids online on the CPP Portal</w:t>
      </w:r>
    </w:p>
    <w:p>
      <w:pPr/>
      <w:r>
        <w:rPr>
          <w:sz w:val="22"/>
          <w:szCs w:val="22"/>
        </w:rPr>
        <w:t xml:space="preserve">More information useful for submitting online bids on the CPP Portal may be obtained at: www.eprocure.gov.in/eprocure/app</w:t>
      </w:r>
    </w:p>
    <w:p>
      <w:pPr/>
      <w:r>
        <w:rPr>
          <w:sz w:val="22"/>
          <w:szCs w:val="22"/>
          <w:b w:val="1"/>
          <w:bCs w:val="1"/>
        </w:rPr>
        <w:t xml:space="preserve">7. Registration</w:t>
      </w:r>
    </w:p>
    <w:p>
      <w:pPr/>
      <w:r>
        <w:rPr>
          <w:sz w:val="22"/>
          <w:szCs w:val="22"/>
        </w:rPr>
        <w:t xml:space="preserve">               .(i) Bidders are required to enroll on the e-Procurement module of the Central Public Procurement Portal (URL: www.eprocure.gov.in/eprocure/app) by clicking on the link “Online Bidder Enrollment” on the CPP Portal which is free of charge.</w:t>
      </w:r>
    </w:p>
    <w:p>
      <w:pPr/>
      <w:r>
        <w:rPr>
          <w:sz w:val="22"/>
          <w:szCs w:val="22"/>
        </w:rPr>
        <w:t xml:space="preserve">              (ii) As part of the enrolment process, the bidders will be required to choose a unique username and assign a password for their accounts.</w:t>
      </w:r>
    </w:p>
    <w:p>
      <w:pPr/>
      <w:r>
        <w:rPr>
          <w:sz w:val="22"/>
          <w:szCs w:val="22"/>
        </w:rPr>
        <w:t xml:space="preserve">              (iii) Bidders are advised to register their valid email address and mobile numbers as part of the registration process. These would be used for any communication from the CPP Portal.</w:t>
      </w:r>
    </w:p>
    <w:p>
      <w:pPr/>
      <w:r>
        <w:rPr>
          <w:sz w:val="22"/>
          <w:szCs w:val="22"/>
        </w:rPr>
        <w:t xml:space="preserve">              (iv) Upon enrolment, the bidders will be required to register their valid Digital Signature Certificate (Class III Certificates with signing key usage) issued by any Certifying Authority recognized by CCA India (e.g. Sify / nCode / eMudhra etc.), with their profile.</w:t>
      </w:r>
    </w:p>
    <w:p>
      <w:pPr/>
      <w:r>
        <w:rPr>
          <w:sz w:val="22"/>
          <w:szCs w:val="22"/>
        </w:rPr>
        <w:t xml:space="preserve">              (v) Only one valid DSC should be registered by a bidder. Please note that the bidders are responsible to ensure that they do not lend their DSC’s to others which may lead to misuse.</w:t>
      </w:r>
    </w:p>
    <w:p>
      <w:pPr/>
      <w:r>
        <w:rPr>
          <w:sz w:val="22"/>
          <w:szCs w:val="22"/>
        </w:rPr>
        <w:t xml:space="preserve">              (vi) Bidder then logs in to the site through the secured log-in by entering their user ID / password and the password of the DSC /e-Token.</w:t>
      </w:r>
    </w:p>
    <w:p>
      <w:pPr/>
      <w:r>
        <w:rPr>
          <w:sz w:val="22"/>
          <w:szCs w:val="22"/>
        </w:rPr>
        <w:t xml:space="preserve">8. Searching for Tender Documents</w:t>
      </w:r>
    </w:p>
    <w:p>
      <w:pPr/>
      <w:r>
        <w:rPr>
          <w:sz w:val="22"/>
          <w:szCs w:val="22"/>
        </w:rPr>
        <w:t xml:space="preserve">             (i) There are various search options built in the CPP Portal, to facilitate bidders to search active tenders by several parameters. These parameters could include Tender ID, Organization Name, Location, Date, Value, etc. There is also an option of advanced search for tenders, wherein the bidders may combine a number of search parameters such as Organization Name, Form of Contract, Location, Date, Other keywords etc. to search for a tender published on the CPP Portal.</w:t>
      </w:r>
    </w:p>
    <w:p>
      <w:pPr/>
      <w:r>
        <w:rPr>
          <w:sz w:val="22"/>
          <w:szCs w:val="22"/>
        </w:rPr>
        <w:t xml:space="preserve">             (ii) Once the bidders have selected the tenders they are interested in, they may download the required documents / tender schedules. These tenders can be moved to the respective ‘My Tenders’ folder. This would enable the CPP Portal to intimate the bidders through SMS/e- mail in case, there is any corrigendum issued to the tender document.</w:t>
      </w:r>
    </w:p>
    <w:p>
      <w:pPr/>
      <w:r>
        <w:rPr>
          <w:sz w:val="22"/>
          <w:szCs w:val="22"/>
        </w:rPr>
        <w:t xml:space="preserve">             (iii) The bidder should make a note of the unique Tender ID assigned to each tender, in case, they want to obtain any clarification / help from the Helpdesk.</w:t>
      </w:r>
    </w:p>
    <w:p>
      <w:pPr/>
      <w:r>
        <w:rPr>
          <w:sz w:val="22"/>
          <w:szCs w:val="22"/>
        </w:rPr>
        <w:t xml:space="preserve">9. Preparation of Bids</w:t>
      </w:r>
    </w:p>
    <w:p>
      <w:pPr/>
      <w:r>
        <w:rPr>
          <w:sz w:val="22"/>
          <w:szCs w:val="22"/>
        </w:rPr>
        <w:t xml:space="preserve">             (i) Bidder should take into account any corrigendum published on the tender document before submitting their bids.</w:t>
      </w:r>
    </w:p>
    <w:p>
      <w:pPr/>
      <w:r>
        <w:rPr>
          <w:sz w:val="22"/>
          <w:szCs w:val="22"/>
        </w:rPr>
        <w:t xml:space="preserve">             (ii) Please go through the tender advertisement and the tender document carefully to understand the documents required to be submitted as part of the bid. Please note the number of covers in which the bid documents have to be submitted, the number of documents - including the names and content of each of the document that need to be submitted. Any deviations from these may lead to rejection of the bid.</w:t>
      </w:r>
    </w:p>
    <w:p>
      <w:pPr/>
      <w:r>
        <w:rPr>
          <w:sz w:val="22"/>
          <w:szCs w:val="22"/>
        </w:rPr>
        <w:t xml:space="preserve">             (iii) Bidder, in advance, should get ready the bid documents to be submitted as indicated in the tender document / schedule and generally, they can be in PDF / XLS / RAR / DWF/ JPG formats. Bid documents may be scanned with 100 dpi with black and white option which helps in reducing size of the scanned document.</w:t>
      </w:r>
    </w:p>
    <w:p>
      <w:pPr/>
      <w:r>
        <w:rPr>
          <w:sz w:val="22"/>
          <w:szCs w:val="22"/>
        </w:rPr>
        <w:t xml:space="preserve">             (iv) To avoid the time and effort required in uploading the same set of standard documents which are required to be submitted as a part of every bid, a provision of uploading such standard documents (e.g. PAN card copy, annual reports, auditor certificates etc.) has been provided to the bidders. Bidders can use 'My Space' or 'Other Important Documents’ area available to them to upload such documents. These documents may be directly submitted from the 'My Space' area while submitting a bid, and need not be uploaded again and again. This will lead to a reduction in the time required for bid submission process.</w:t>
      </w:r>
    </w:p>
    <w:p>
      <w:pPr/>
      <w:r>
        <w:rPr>
          <w:sz w:val="22"/>
          <w:szCs w:val="22"/>
        </w:rPr>
        <w:t xml:space="preserve">             (v) Note: My Documents space is only a repository given to the Bidders to ease the uploading process. If Bidder has uploaded his Documents in My Documents space, this does not automatically ensure these Documents being part of Technical Bid.</w:t>
      </w:r>
    </w:p>
    <w:p>
      <w:pPr/>
      <w:r>
        <w:rPr>
          <w:sz w:val="22"/>
          <w:szCs w:val="22"/>
        </w:rPr>
        <w:t xml:space="preserve">10. Submission of Bids</w:t>
      </w:r>
    </w:p>
    <w:p>
      <w:pPr/>
      <w:r>
        <w:rPr>
          <w:sz w:val="22"/>
          <w:szCs w:val="22"/>
        </w:rPr>
        <w:t xml:space="preserve">             (i) Bids shall be submitted online only at CPPP website: www.eprocure.gov.in/eprocure/app</w:t>
      </w:r>
    </w:p>
    <w:p>
      <w:pPr/>
      <w:r>
        <w:rPr>
          <w:sz w:val="22"/>
          <w:szCs w:val="22"/>
        </w:rPr>
        <w:t xml:space="preserve">             (ii) Bidder should log into the site well in advance for bid submission so that they can upload the bid in time i.e. on or before the bid submission time. Bidder will be responsible for any delay due to other issues.</w:t>
      </w:r>
    </w:p>
    <w:p>
      <w:pPr/>
      <w:r>
        <w:rPr>
          <w:sz w:val="22"/>
          <w:szCs w:val="22"/>
        </w:rPr>
        <w:t xml:space="preserve">             (iii) The bidder has to digitally sign and upload the required bid documents one by one as indicated in the tender document.</w:t>
      </w:r>
    </w:p>
    <w:p>
      <w:pPr/>
      <w:r>
        <w:rPr>
          <w:sz w:val="22"/>
          <w:szCs w:val="22"/>
        </w:rPr>
        <w:t xml:space="preserve">             (iv) Bidder has to select the payment option as 'offline' to pay the tender fee / EMD as applicable and enter details of the instrument.</w:t>
      </w:r>
    </w:p>
    <w:p>
      <w:pPr/>
      <w:r>
        <w:rPr>
          <w:sz w:val="22"/>
          <w:szCs w:val="22"/>
        </w:rPr>
        <w:t xml:space="preserve">             (v) Bidder should prepare the EMD as per the instructions specified in the tender document. The original should be posted/couriered/given in person to the concerned official, latest by the last date of bid submission or as specified in the tender documents. The details of the DD/any other accepted instrument, physically sent, should tally with the details available in the scanned copy and the data entered during bid submission time. Otherwise, the uploaded bid will be rejected.</w:t>
      </w:r>
    </w:p>
    <w:p>
      <w:pPr/>
      <w:r>
        <w:rPr>
          <w:sz w:val="22"/>
          <w:szCs w:val="22"/>
        </w:rPr>
        <w:t xml:space="preserve">             (vi) The agency shall download the pre-bid clarification if any for the work and upload the same (scanned copy) duly signed and sealed. The revised documents (if any) shall be uploaded in e-tender portal.</w:t>
      </w:r>
    </w:p>
    <w:p>
      <w:pPr/>
      <w:r>
        <w:rPr>
          <w:sz w:val="22"/>
          <w:szCs w:val="22"/>
        </w:rPr>
        <w:t xml:space="preserve">             (vii) Bidders are requested to note that they should necessarily submit their financial bids in the format provided and no other format is acceptable. If the price bid has been given as a standard BoQ format with the tender document, then the same is to be downloaded and to be filled by all the bidders. Bidders are required to download the BoQ file, open it, and complete the SKY BLUE coloured (unprotected) cells with their respective financial quotes and other details (such as the name of the bidder). No other cells should be changed. Once the details have been completed, the bidder should save it and submit it online, without changing the filename. If the BoQ file is found to be modified by the bidder, the bid will be rejected.</w:t>
      </w:r>
    </w:p>
    <w:p>
      <w:pPr/>
      <w:r>
        <w:rPr>
          <w:sz w:val="22"/>
          <w:szCs w:val="22"/>
        </w:rPr>
        <w:t xml:space="preserve">             (viii) Tenderers are advised to upload their documents well in advance, to avoid last-minute rush on the server or complications in uploading. BARC, in any case, shall not be held responsible for any type of difficulties during uploading the documents including server and technical problems whatsoever.</w:t>
      </w:r>
    </w:p>
    <w:p>
      <w:pPr/>
      <w:r>
        <w:rPr>
          <w:sz w:val="22"/>
          <w:szCs w:val="22"/>
        </w:rPr>
        <w:t xml:space="preserve">             (ix) Bid documents may be scanned with 100 dpi with black and white option which helps in reducing the size of the scanned document.</w:t>
      </w:r>
    </w:p>
    <w:p>
      <w:pPr/>
      <w:r>
        <w:rPr>
          <w:sz w:val="22"/>
          <w:szCs w:val="22"/>
        </w:rPr>
        <w:t xml:space="preserve">             (x) The server time (which is displayed on the bidders’ dashboard) will be considered as the standard time for referencing the deadlines for submission of the bids by the bidders, opening of bids, etc. The bidders should follow this time during bid submission.</w:t>
      </w:r>
    </w:p>
    <w:p>
      <w:pPr/>
      <w:r>
        <w:rPr>
          <w:sz w:val="22"/>
          <w:szCs w:val="22"/>
        </w:rPr>
        <w:t xml:space="preserve">             (xi) Submission of the tender documents after the due date and time (including the extended period) shall not be permitted.</w:t>
      </w:r>
    </w:p>
    <w:p>
      <w:pPr/>
      <w:r>
        <w:rPr>
          <w:sz w:val="22"/>
          <w:szCs w:val="22"/>
        </w:rPr>
        <w:t xml:space="preserve">             (xii) All the documents being submitted by the bidders would be encrypted using PKI encryption techniques to ensure the secrecy of the data. The data entered cannot be viewed by unauthorized persons until the time of bid opening. The confidentiality of the bids is maintained using the secured Socket Layer 128 bit encryption technology. Data storage encryption of sensitive fields is done. Any bid document that is uploaded to the server is subjected to symmetric encryption using a system-generated symmetric key. Further, this key is subjected to asymmetric encryption using buyers/bid opener’s public keys.</w:t>
      </w:r>
    </w:p>
    <w:p>
      <w:pPr/>
      <w:r>
        <w:rPr>
          <w:sz w:val="22"/>
          <w:szCs w:val="22"/>
        </w:rPr>
        <w:t xml:space="preserve">             (xiii) The uploaded tender documents become readable only after the tender opening by the authorized bid openers.</w:t>
      </w:r>
    </w:p>
    <w:p>
      <w:pPr/>
      <w:r>
        <w:rPr>
          <w:sz w:val="22"/>
          <w:szCs w:val="22"/>
        </w:rPr>
        <w:t xml:space="preserve">             (xiv) Upon the successful and timely submission of bids (i.e. after Clicking 'Freeze Bid Submission' in the portal), the portal will give a successful bid submission message &amp; a bid summary will be displayed with the bid no. and the date &amp; time of submission of the bid with all other relevant details.</w:t>
      </w:r>
    </w:p>
    <w:p>
      <w:pPr/>
      <w:r>
        <w:rPr>
          <w:sz w:val="22"/>
          <w:szCs w:val="22"/>
        </w:rPr>
        <w:t xml:space="preserve">             (xv) The bid summary has to be printed and kept as an acknowledgment of the submission of the bid. This acknowledgment may be used as an entry pass for any bid opening meetings.</w:t>
      </w:r>
    </w:p>
    <w:p>
      <w:pPr/>
      <w:r>
        <w:rPr>
          <w:sz w:val="22"/>
          <w:szCs w:val="22"/>
        </w:rPr>
        <w:t xml:space="preserve">             (xvi) Intending Bidders are advised to visit this website regularly till the closing date of submission to keep themselves updated as any change/modification in the tender will be intimated through this website only by corrigendum / addendum/ amendment.</w:t>
      </w:r>
    </w:p>
    <w:p>
      <w:pPr/>
      <w:r>
        <w:rPr>
          <w:sz w:val="22"/>
          <w:szCs w:val="22"/>
        </w:rPr>
        <w:t xml:space="preserve">11. Assistance to Bidders</w:t>
      </w:r>
    </w:p>
    <w:p>
      <w:pPr/>
      <w:r>
        <w:rPr>
          <w:sz w:val="22"/>
          <w:szCs w:val="22"/>
        </w:rPr>
        <w:t xml:space="preserve">             1) Any queries relating to the tender document and the terms and conditions contained therein should be addressed to the Tender Inviting Authority for a tender or the relevant contact person indicated in the tender.</w:t>
      </w:r>
    </w:p>
    <w:p>
      <w:pPr/>
      <w:r>
        <w:rPr>
          <w:sz w:val="22"/>
          <w:szCs w:val="22"/>
        </w:rPr>
        <w:t xml:space="preserve">             2) Any queries relating to the process of online bid submission or queries relating to CPP Portal in general may be directed to the 24x7 CPP Portal Helpdesk.</w:t>
      </w:r>
    </w:p>
    <w:p>
      <w:pPr/>
      <w:r>
        <w:rPr>
          <w:sz w:val="22"/>
          <w:szCs w:val="22"/>
        </w:rPr>
        <w:t xml:space="preserve">Conditions:</w:t>
      </w:r>
    </w:p>
    <w:p>
      <w:pPr/>
      <w:r>
        <w:rPr>
          <w:sz w:val="22"/>
          <w:szCs w:val="22"/>
        </w:rPr>
        <w:t xml:space="preserve">12. After opening of Part ’A’ of tender, Superintending Engineer shall constitute a Technical Evaluation Committee which will first verify the online credentials submitted by the bidder with respect to their eligibility for the work and if required, will visit selected worksites of ongoing/completed works of the bidders to evaluate the capability of the bidders based on the following.</w:t>
      </w:r>
    </w:p>
    <w:p>
      <w:pPr/>
      <w:r>
        <w:rPr>
          <w:sz w:val="22"/>
          <w:szCs w:val="22"/>
        </w:rPr>
        <w:t xml:space="preserve">             a) Financial capability and their turnover during the last 5 years.</w:t>
      </w:r>
    </w:p>
    <w:p>
      <w:pPr/>
      <w:r>
        <w:rPr>
          <w:sz w:val="22"/>
          <w:szCs w:val="22"/>
        </w:rPr>
        <w:t xml:space="preserve">             b) Technical capabilities of the company in the light of subject work.</w:t>
      </w:r>
    </w:p>
    <w:p>
      <w:pPr/>
      <w:r>
        <w:rPr>
          <w:sz w:val="22"/>
          <w:szCs w:val="22"/>
        </w:rPr>
        <w:t xml:space="preserve">             c) Nature of works executed by the bidder during the last 7 years.</w:t>
      </w:r>
    </w:p>
    <w:p>
      <w:pPr/>
      <w:r>
        <w:rPr>
          <w:sz w:val="22"/>
          <w:szCs w:val="22"/>
        </w:rPr>
        <w:t xml:space="preserve">             d) Organizational structure of the company.</w:t>
      </w:r>
    </w:p>
    <w:p>
      <w:pPr/>
      <w:r>
        <w:rPr>
          <w:sz w:val="22"/>
          <w:szCs w:val="22"/>
        </w:rPr>
        <w:t xml:space="preserve">             e) Necessary Resource required by the company to carry out the subject work.</w:t>
      </w:r>
    </w:p>
    <w:p>
      <w:pPr/>
      <w:r>
        <w:rPr>
          <w:sz w:val="22"/>
          <w:szCs w:val="22"/>
        </w:rPr>
        <w:t xml:space="preserve">             f) Time &amp; quality consciousness.</w:t>
      </w:r>
    </w:p>
    <w:p>
      <w:pPr/>
      <w:r>
        <w:rPr>
          <w:sz w:val="22"/>
          <w:szCs w:val="22"/>
        </w:rPr>
        <w:t xml:space="preserve">             g) Tendency of the company with regard to making extraneous claims and disputes.</w:t>
      </w:r>
    </w:p>
    <w:p>
      <w:pPr/>
      <w:r>
        <w:rPr>
          <w:sz w:val="22"/>
          <w:szCs w:val="22"/>
        </w:rPr>
        <w:t xml:space="preserve">             h) Site planning ability.</w:t>
      </w:r>
    </w:p>
    <w:p>
      <w:pPr/>
      <w:r>
        <w:rPr>
          <w:sz w:val="22"/>
          <w:szCs w:val="22"/>
        </w:rPr>
        <w:t xml:space="preserve">             i) Tendency of the company to award the work on back to back / subletting.</w:t>
      </w:r>
    </w:p>
    <w:p>
      <w:pPr/>
      <w:r>
        <w:rPr>
          <w:sz w:val="22"/>
          <w:szCs w:val="22"/>
        </w:rPr>
        <w:t xml:space="preserve">13. As per the security procedure in force in Bhabha Atomic Research Centre, the successful bidder shall be vetted by the Security Section of BARC before award of the work.</w:t>
      </w:r>
    </w:p>
    <w:p>
      <w:pPr/>
      <w:r>
        <w:rPr>
          <w:sz w:val="22"/>
          <w:szCs w:val="22"/>
        </w:rPr>
        <w:t xml:space="preserve">14. No modifications in the tender shall be allowed after opening Part ‘A’.</w:t>
      </w:r>
    </w:p>
    <w:p>
      <w:pPr/>
      <w:r>
        <w:rPr>
          <w:sz w:val="22"/>
          <w:szCs w:val="22"/>
        </w:rPr>
        <w:t xml:space="preserve">15. Tenders with any condition including conditional rebate shall be rejected. However, tenders with unconditional rebate will be accepted.</w:t>
      </w:r>
    </w:p>
    <w:p>
      <w:pPr/>
      <w:r>
        <w:rPr>
          <w:sz w:val="22"/>
          <w:szCs w:val="22"/>
        </w:rPr>
        <w:t xml:space="preserve">16. If any information furnished by the applicant is found to be incorrect at a later stage, they shall be liable to be debarred from tendering / taking up works in BARC in future forever. Also if such a violation comes to the notice of Department before the start of work, the Engineer-in-charge shall be free to forfeit the entire amount of Performance Guarantee.</w:t>
      </w:r>
    </w:p>
    <w:p>
      <w:pPr/>
      <w:r>
        <w:rPr>
          <w:sz w:val="22"/>
          <w:szCs w:val="22"/>
        </w:rPr>
        <w:t xml:space="preserve">17. The time allowed for carrying out the work will be reckoned from the 15th day after the date of the written order to commence the work or from the first day of handing over of the site, whichever is later, in accordance with the phasing, if any, indicated in the tender documents.</w:t>
      </w:r>
    </w:p>
    <w:p>
      <w:pPr/>
      <w:r>
        <w:rPr>
          <w:sz w:val="22"/>
          <w:szCs w:val="22"/>
        </w:rPr>
        <w:t xml:space="preserve">18. Tender will be kept valid for 180 (One Hundred Eighty) days from the Last date of closing of online submission of tenders.</w:t>
      </w:r>
    </w:p>
    <w:p>
      <w:pPr/>
      <w:r>
        <w:rPr>
          <w:sz w:val="22"/>
          <w:szCs w:val="22"/>
        </w:rPr>
        <w:t xml:space="preserve">19. The contractor whose tender is accepted will be required to furnish by way of security deposit for the due fulfillment of his contract, such sum as will amount to 2.5% of the tendered value of work. In addition, the contractor shall be required to deposit an amount equal to 3% of the tendered value of the contract as Performance Security. Time allowed for the submission of Performance Guarantee shall be 15 days from the date of issue of the letter of acceptance. Performance Security of 3% to be submitted in the form of Bank guarantees. It can also be accepted in the form of fixed deposit receipts of Scheduled Bank or in the form of Government Securities.</w:t>
      </w:r>
    </w:p>
    <w:p>
      <w:pPr/>
      <w:r>
        <w:rPr>
          <w:sz w:val="22"/>
          <w:szCs w:val="22"/>
        </w:rPr>
        <w:t xml:space="preserve">20. The Security Deposit will be collected by deductions @ 2.5 % of the gross amount of the running bill of the contractors till the total security deposit recovered will amount to 2.5% of the tendered value of work. The Security deposit will also be accepted in the form of Governments Securities, Fixed deposit Receipts of Scheduled Bank and Nationalised Bank. These shall be endorsed in favour of the Accounts Officer, BARC, Mumbai.</w:t>
      </w:r>
    </w:p>
    <w:p>
      <w:pPr/>
      <w:r>
        <w:rPr>
          <w:sz w:val="22"/>
          <w:szCs w:val="22"/>
        </w:rPr>
        <w:t xml:space="preserve">21. If the successful tenderer fails to furnish the prescribed performance guarantee on or before stipulated dates of commencement the department (BARC) shall without prejudice to any other right or remedy, be at liberty to suspend the bidder for one year from the date of the issue of Suspension order.</w:t>
      </w:r>
    </w:p>
    <w:p>
      <w:pPr/>
      <w:r>
        <w:rPr>
          <w:sz w:val="22"/>
          <w:szCs w:val="22"/>
        </w:rPr>
        <w:t xml:space="preserve">22. The acceptance of tender shall rest with the department which does not bind itself to accept the lowest tender and reserves to itself the authority to reject any or all of the tenders received, without assigning any reason. All tenders in which any of the prescribed conditions are not fulfilled or incomplete in any respect are liable to be rejected.</w:t>
      </w:r>
    </w:p>
    <w:p>
      <w:pPr/>
      <w:r>
        <w:rPr>
          <w:sz w:val="22"/>
          <w:szCs w:val="22"/>
        </w:rPr>
        <w:t xml:space="preserve">23. Canvassing in connection with tenders is strictly prohibited and the tenders submitted by the contractors who resort to canvassing will be liable for rejection.</w:t>
      </w:r>
    </w:p>
    <w:p>
      <w:pPr/>
      <w:r>
        <w:rPr>
          <w:sz w:val="22"/>
          <w:szCs w:val="22"/>
        </w:rPr>
        <w:t xml:space="preserve">24. On acceptance of the tender, the name of the accredited representative(s) of the contractor who would be responsible for taking instructions from the Engineer-In-charge shall be communicated to the Engineer-In-charge.</w:t>
      </w:r>
    </w:p>
    <w:p>
      <w:pPr/>
      <w:r>
        <w:rPr>
          <w:sz w:val="22"/>
          <w:szCs w:val="22"/>
        </w:rPr>
        <w:t xml:space="preserve">25. The department reserves the right to accept the whole or only part of the tender and the tenderer shall be bound to perform the same at the rates quoted.</w:t>
      </w:r>
    </w:p>
    <w:p>
      <w:pPr/>
      <w:r>
        <w:rPr>
          <w:sz w:val="22"/>
          <w:szCs w:val="22"/>
        </w:rPr>
        <w:t xml:space="preserve">26. LEVY/TAXES Payable by Contractor:</w:t>
      </w:r>
    </w:p>
    <w:p>
      <w:pPr/>
      <w:r>
        <w:rPr>
          <w:sz w:val="22"/>
          <w:szCs w:val="22"/>
        </w:rPr>
        <w:t xml:space="preserve">             i) Goods &amp; Services Tax (GST) or any other tax applicable in respect of inputs procured by the Contractor for this contract shall be payable by the Contractor and Government will not entertain any claim whatsoever in respect of the same. However, the component of GST at the time of the supply of service (as provided in CGST Act 2017) provided by the contract shall be varied if different from that applicable on the last date of receipt of tender, including extension if any.</w:t>
      </w:r>
    </w:p>
    <w:p>
      <w:pPr/>
      <w:r>
        <w:rPr>
          <w:sz w:val="22"/>
          <w:szCs w:val="22"/>
        </w:rPr>
        <w:t xml:space="preserve">             ii) Labour welfare cess @1% of the gross value of work done shall be recovered from each bill paid to the contractor.</w:t>
      </w:r>
    </w:p>
    <w:p>
      <w:pPr/>
      <w:r>
        <w:rPr>
          <w:sz w:val="22"/>
          <w:szCs w:val="22"/>
        </w:rPr>
        <w:t xml:space="preserve">             iii) Income tax and cess as applicable shall be deducted from each bill paid to the contractor.</w:t>
      </w:r>
    </w:p>
    <w:p>
      <w:pPr/>
      <w:r>
        <w:rPr>
          <w:sz w:val="22"/>
          <w:szCs w:val="22"/>
        </w:rPr>
        <w:t xml:space="preserve">             iv) Contractor should be registered under EPF &amp; ESIC and shall pay EPF &amp; ESIC of contract workers to the concerned Department and it will be reimbursed to him by the Department after satisfying that it has been actually and genuinely paid by the contractor. The bidder should not consider EPF &amp; ESIC in his rates. Contractors shall comply with the provisions of the EPF Act, 1952, in respect of all the eligible employees / workers/ labours and submit the documentary proof regularly with every RA Bill.</w:t>
      </w:r>
    </w:p>
    <w:p>
      <w:pPr/>
      <w:r>
        <w:rPr>
          <w:sz w:val="22"/>
          <w:szCs w:val="22"/>
        </w:rPr>
        <w:t xml:space="preserve">             v) Any other taxes /cess as per Government directives shall be deducted from each bill paid to the contractor, from time to time.</w:t>
      </w:r>
    </w:p>
    <w:p>
      <w:pPr/>
      <w:r>
        <w:rPr>
          <w:sz w:val="22"/>
          <w:szCs w:val="22"/>
        </w:rPr>
        <w:t xml:space="preserve">27. If any tenderer withdraws his tender within the validity period and before the award of work whichever is earlier or makes any modifications in the terms and conditions of the tender which are not acceptable to the department, then the Government shall without prejudice to any right or remedy suspend the bidder for one year from the date of the issue of the Suspension order. Further, the tenderer shall not be allowed to participate in the re-tendering process of the work.</w:t>
      </w:r>
    </w:p>
    <w:p>
      <w:pPr/>
      <w:r>
        <w:rPr>
          <w:sz w:val="22"/>
          <w:szCs w:val="22"/>
        </w:rPr>
        <w:t xml:space="preserve">28. After award of work to the successful bidder, the successful bidder shall submit a time schedule &amp; cash flow statement for approval of the Competent Authority which will form part of the Agreement.</w:t>
      </w:r>
    </w:p>
    <w:p>
      <w:pPr/>
      <w:r>
        <w:rPr>
          <w:sz w:val="22"/>
          <w:szCs w:val="22"/>
        </w:rPr>
        <w:t xml:space="preserve">29. The Successful bidder whose tender is accepted will be required to obtain a Police Verification Certificate (PVC) issued by the Special Branch of Police at his own cost for all his workmen i.e. Engineers, Supervisors and Labourer’s to work inside BARC. BIDDERS MAY PLEASE NOTE THAT ONLY POLICE VERIFICATION CERTIFICATE (PVC) HOLDER WORKMEN WILL BE ALLOWED TO ENTER BARC PREMISES AND SHOULD QUOTE ACCORDINGLY. In case of receipt of any adverse character and antecedent remarks/notification against the Contractor/ Company/ firm/proprietor and/or his contract personnel, consequent to the security vetting, BARC reserves the absolute right to terminate the contract forthwith without assigning reason/show cause notice. Under the circumstance, the Contractor will have no right to claim good any losses/liability that may be incurred as a consequence to the above action initiated by BARC. BARC also reserves the right to forfeit in part/full performance security and/or security deposit in possession of the Government for failure on the part of the contractor to abide/adhere to the Security instruction issued by DAE/BARC from time to time.</w:t>
      </w:r>
    </w:p>
    <w:p>
      <w:pPr/>
      <w:r>
        <w:rPr>
          <w:sz w:val="22"/>
          <w:szCs w:val="22"/>
          <w:b w:val="1"/>
          <w:bCs w:val="1"/>
        </w:rPr>
        <w:t xml:space="preserve">Instructions:</w:t>
      </w:r>
    </w:p>
    <w:p>
      <w:pPr/>
      <w:r>
        <w:rPr>
          <w:sz w:val="22"/>
          <w:szCs w:val="22"/>
        </w:rPr>
        <w:t xml:space="preserve">30. The contractor should be registered with https://eprocure.gov.in/eprocure/app. Those contractors not registered on the website mentioned above are required to get registered.</w:t>
      </w:r>
    </w:p>
    <w:p>
      <w:pPr/>
      <w:r>
        <w:rPr>
          <w:sz w:val="22"/>
          <w:szCs w:val="22"/>
        </w:rPr>
        <w:t xml:space="preserve">31. The intending bidder must have a valid class-III digital signature for Request for purchase / Download of Tender Document (excel / word formats). The bid can only be submitted after uploading the mandatory scanned documents such as “EMD/Bid security Declaration” form duly signed in the prescribed format, in lieu of ‘EMD’.</w:t>
      </w:r>
    </w:p>
    <w:p>
      <w:pPr/>
      <w:r>
        <w:rPr>
          <w:sz w:val="22"/>
          <w:szCs w:val="22"/>
        </w:rPr>
        <w:t xml:space="preserve">32. Tenders will be received online up to the time &amp; date as mentioned in the NIT details above. Part A will be opened on the time &amp; date as mentioned in the NIT details above. The receipt of Bid Security Declaration Form will be checked first. If found in order, Part ‘A’ will be opened. After opening Part ‘A’, for evaluation, the contractor’s Techno-commercial Bid related documents shall be evaluated and accordingly, tenderers will be qualified/disqualified by the Competent Authority. The Part ‘B’ (Financial Bid) of the qualified tenderers shall then be opened at the notified date and time. The date of opening of Part ‘B’ (Financial Bid) will be intimated to all bidders through the CPP Portal website.</w:t>
      </w:r>
    </w:p>
    <w:p>
      <w:pPr/>
      <w:r>
        <w:rPr>
          <w:sz w:val="22"/>
          <w:szCs w:val="22"/>
        </w:rPr>
        <w:t xml:space="preserve">33. The Financial Proposal/Commercial bid / BoQ format is provided as BoQ_XXXX.xls along with this tender document at https://eprocure.gov.in/eprocure/app. Bidders are advised to download this BoQ_XXXX.xls as it is and quote their offer/rates in the permitted column and upload the same in the commercial bid. Bidder shall not tamper/modify downloaded price bid template in any manner. In case if the same is found to be tampered/modified in any manner, the tender will be completely rejected, and action will be taken as per Bid Security Declaration Form-Annexure 1.</w:t>
      </w:r>
    </w:p>
    <w:p>
      <w:pPr/>
      <w:r>
        <w:rPr>
          <w:sz w:val="22"/>
          <w:szCs w:val="22"/>
        </w:rPr>
        <w:t xml:space="preserve">34. On the opening date, the contractor can log in and see the status of Bids after opening.</w:t>
      </w:r>
    </w:p>
    <w:p>
      <w:pPr/>
      <w:r>
        <w:rPr>
          <w:sz w:val="22"/>
          <w:szCs w:val="22"/>
        </w:rPr>
        <w:t xml:space="preserve">35. The contractor must ensure quoting the rate of each item. The column meant for quoting the rate in figures appears in SKY BLUE color. While selecting any of the cells, a warning appears to mandatorily fill all such cells with any value, including “0” (ZERO).</w:t>
      </w:r>
    </w:p>
    <w:p>
      <w:pPr/>
      <w:r>
        <w:rPr>
          <w:sz w:val="22"/>
          <w:szCs w:val="22"/>
        </w:rPr>
        <w:t xml:space="preserve">Note: Prospective agencies shall satisfy themselves of fulfilling all the NIT criteria before submission of the tender. The Department reserves the right to non-consideration of the tender of the agencies not fulfilling the stipulated criteria.</w:t>
      </w:r>
    </w:p>
    <w:p>
      <w:pPr/>
      <w:r>
        <w:rPr>
          <w:sz w:val="22"/>
          <w:szCs w:val="22"/>
        </w:rPr>
        <w:t xml:space="preserve">36. List of Documents to be scanned from original &amp; uploaded within the period of bid submission by the bidder</w:t>
      </w:r>
    </w:p>
    <w:p>
      <w:pPr/>
      <w:r>
        <w:rPr>
          <w:sz w:val="22"/>
          <w:szCs w:val="22"/>
        </w:rPr>
        <w:t xml:space="preserve">i. Form of Bid Security Declaration on Bidder's Letter Head as attached with the Tender Documents.(Annexure 1)</w:t>
      </w:r>
    </w:p>
    <w:p>
      <w:pPr/>
      <w:r>
        <w:rPr>
          <w:sz w:val="22"/>
          <w:szCs w:val="22"/>
        </w:rPr>
        <w:t xml:space="preserve">ii. Financial Turn Over certified by CA.</w:t>
      </w:r>
    </w:p>
    <w:p>
      <w:pPr/>
      <w:r>
        <w:rPr>
          <w:sz w:val="22"/>
          <w:szCs w:val="22"/>
        </w:rPr>
        <w:t xml:space="preserve">iii. Profit &amp; Loss statement certified by CA.</w:t>
      </w:r>
    </w:p>
    <w:p>
      <w:pPr/>
      <w:r>
        <w:rPr>
          <w:sz w:val="22"/>
          <w:szCs w:val="22"/>
        </w:rPr>
        <w:t xml:space="preserve">iv. Latest Bank Solvency Certificate.</w:t>
      </w:r>
    </w:p>
    <w:p>
      <w:pPr/>
      <w:r>
        <w:rPr>
          <w:sz w:val="22"/>
          <w:szCs w:val="22"/>
        </w:rPr>
        <w:t xml:space="preserve">v. List of Similar Works completed in the last seven years indicating i) Agency for whom executed, ii) Value of work, iii) Stipulated and Actual time of completion, iv) Performance certificates of the eligible similar works from the clients.</w:t>
      </w:r>
    </w:p>
    <w:p>
      <w:pPr/>
      <w:r>
        <w:rPr>
          <w:sz w:val="22"/>
          <w:szCs w:val="22"/>
        </w:rPr>
        <w:t xml:space="preserve">vi. List of Works in Hand indicating: i) Agency ii) Value of Work, iii) Stipulated time of completion / present position.</w:t>
      </w:r>
    </w:p>
    <w:p>
      <w:pPr/>
      <w:r>
        <w:rPr>
          <w:sz w:val="22"/>
          <w:szCs w:val="22"/>
        </w:rPr>
        <w:t xml:space="preserve">vii. List of Construction Plants and Machinery</w:t>
      </w:r>
    </w:p>
    <w:p>
      <w:pPr/>
      <w:r>
        <w:rPr>
          <w:sz w:val="22"/>
          <w:szCs w:val="22"/>
        </w:rPr>
        <w:t xml:space="preserve">viii. List of Technical Staff</w:t>
      </w:r>
    </w:p>
    <w:p>
      <w:pPr/>
      <w:r>
        <w:rPr>
          <w:sz w:val="22"/>
          <w:szCs w:val="22"/>
        </w:rPr>
        <w:t xml:space="preserve">ix. Certificates:</w:t>
      </w:r>
    </w:p>
    <w:p>
      <w:pPr/>
      <w:r>
        <w:rPr>
          <w:sz w:val="22"/>
          <w:szCs w:val="22"/>
        </w:rPr>
        <w:t xml:space="preserve">             a. Registration certificate, if any</w:t>
      </w:r>
    </w:p>
    <w:p>
      <w:pPr/>
      <w:r>
        <w:rPr>
          <w:sz w:val="22"/>
          <w:szCs w:val="22"/>
        </w:rPr>
        <w:t xml:space="preserve">             b. Certificate of Registration for GST.</w:t>
      </w:r>
    </w:p>
    <w:p>
      <w:pPr/>
      <w:r>
        <w:rPr>
          <w:sz w:val="22"/>
          <w:szCs w:val="22"/>
        </w:rPr>
        <w:t xml:space="preserve">             c. PAN (Permanent Account Number) Registration</w:t>
      </w:r>
    </w:p>
    <w:p>
      <w:pPr/>
      <w:r>
        <w:rPr>
          <w:sz w:val="22"/>
          <w:szCs w:val="22"/>
        </w:rPr>
        <w:t xml:space="preserve">             d. Certificates of Registration for EPF &amp; ESIC</w:t>
      </w:r>
    </w:p>
    <w:p>
      <w:pPr/>
      <w:r>
        <w:rPr>
          <w:sz w:val="22"/>
          <w:szCs w:val="22"/>
        </w:rPr>
        <w:t xml:space="preserve">x. Undertaking on the bidder's letterhead that 'The eligible similar work(s) have not been executed through another contractor on back to back basis'.</w:t>
      </w:r>
    </w:p>
    <w:p>
      <w:pPr/>
      <w:r>
        <w:rPr>
          <w:sz w:val="22"/>
          <w:szCs w:val="22"/>
        </w:rPr>
        <w:t xml:space="preserve">xi. Undertaking on bidder's letterhead as under:</w:t>
      </w:r>
    </w:p>
    <w:p>
      <w:pPr/>
      <w:r>
        <w:rPr>
          <w:sz w:val="22"/>
          <w:szCs w:val="22"/>
          <w:b w:val="1"/>
          <w:bCs w:val="1"/>
        </w:rPr>
        <w:t xml:space="preserve">"I / We, hereby tender for the execution of the work specified for the President of India within the time specified in Schedule “F”, viz., Schedule of Quantities and in accordance in all respects with the specifications, designs, drawings and instructions in writing referred to in Section II of Part A and Clause - 11 of the General Clauses of Contract and with such materials as are provided for, by, and in respect of, such conditions so far as applicable".</w:t>
      </w:r>
    </w:p>
    <w:p>
      <w:pPr/>
      <w:r>
        <w:rPr>
          <w:sz w:val="22"/>
          <w:szCs w:val="22"/>
        </w:rPr>
        <w:t xml:space="preserve">xii. Tender Acceptance letter as shown in Annexure 2.</w:t>
      </w:r>
    </w:p>
    <w:p>
      <w:pPr/>
      <w:r>
        <w:rPr>
          <w:sz w:val="22"/>
          <w:szCs w:val="22"/>
        </w:rPr>
        <w:t xml:space="preserve">Note: During technical evaluation missing documents, if any, can be asked by the inspection committee for submission.</w:t>
      </w:r>
    </w:p>
    <w:p>
      <w:pPr/>
      <w:r>
        <w:rPr>
          <w:sz w:val="22"/>
          <w:szCs w:val="22"/>
          <w:b w:val="1"/>
          <w:bCs w:val="1"/>
        </w:rPr>
        <w:t xml:space="preserve"> The Bidder is required to fill the following:</w:t>
      </w:r>
    </w:p>
    <w:p>
      <w:pPr/>
      <w:r>
        <w:rPr>
          <w:sz w:val="22"/>
          <w:szCs w:val="22"/>
        </w:rPr>
        <w:t xml:space="preserve">             a) Technical Bid</w:t>
      </w:r>
    </w:p>
    <w:p>
      <w:pPr/>
      <w:r>
        <w:rPr>
          <w:sz w:val="22"/>
          <w:szCs w:val="22"/>
        </w:rPr>
        <w:t xml:space="preserve">             b) Schedule - ‘B’(Financial Bid)</w:t>
      </w:r>
    </w:p>
    <w:p>
      <w:pPr/>
      <w:r>
        <w:rPr>
          <w:sz w:val="22"/>
          <w:szCs w:val="22"/>
          <w:b w:val="1"/>
          <w:bCs w:val="1"/>
        </w:rPr>
        <w:t xml:space="preserve">Notes:</w:t>
      </w:r>
    </w:p>
    <w:p>
      <w:pPr/>
      <w:r>
        <w:rPr>
          <w:sz w:val="22"/>
          <w:szCs w:val="22"/>
        </w:rPr>
        <w:t xml:space="preserve">1. Interested agencies may visit the website https://eprocure.gov.in/eprocure/app for registration and Bid Submission.</w:t>
      </w:r>
    </w:p>
    <w:p>
      <w:pPr/>
      <w:r>
        <w:rPr>
          <w:sz w:val="22"/>
          <w:szCs w:val="22"/>
        </w:rPr>
        <w:t xml:space="preserve">2. Contact for assistance/clarifications related to tender documents – (022) 25592599/25591920/25593066/25591918/25593404. Fax: (022) 25505310</w:t>
      </w:r>
    </w:p>
    <w:p>
      <w:pPr/>
      <w:r>
        <w:rPr>
          <w:sz w:val="22"/>
          <w:szCs w:val="22"/>
        </w:rPr>
        <w:t xml:space="preserve">3. Contact for assistance for registration and participation in e-Tendering:</w:t>
      </w:r>
    </w:p>
    <w:p>
      <w:pPr/>
      <w:r>
        <w:rPr>
          <w:sz w:val="22"/>
          <w:szCs w:val="22"/>
        </w:rPr>
        <w:t xml:space="preserve">             a) 24x7 CPP Portal Helpdesk – (0120)4001 002, (0120)4001 005, (0120)6277 787</w:t>
      </w:r>
    </w:p>
    <w:p>
      <w:pPr/>
      <w:r>
        <w:rPr>
          <w:sz w:val="22"/>
          <w:szCs w:val="22"/>
        </w:rPr>
        <w:t xml:space="preserve">             b) Local Helpdesk - Shri. Bhushan / Shri. Mayur at (022) 2548 7480</w:t>
      </w:r>
    </w:p>
    <w:p>
      <w:pPr/>
      <w:r>
        <w:rPr>
          <w:sz w:val="22"/>
          <w:szCs w:val="22"/>
        </w:rPr>
        <w:t xml:space="preserve">             c) email at support-eproc@nic.in</w:t>
      </w:r>
    </w:p>
    <w:p>
      <w:pPr/>
      <w:r>
        <w:rPr>
          <w:sz w:val="22"/>
          <w:szCs w:val="22"/>
        </w:rPr>
        <w:t xml:space="preserve">4. Email Ids for sending request for Site visit / clarifications</w:t>
      </w:r>
    </w:p>
    <w:p>
      <w:pPr/>
      <w:r>
        <w:rPr>
          <w:sz w:val="22"/>
          <w:szCs w:val="22"/>
        </w:rPr>
        <w:t xml:space="preserve">             To: phani@barc.gov.in </w:t>
      </w:r>
    </w:p>
    <w:p>
      <w:pPr/>
      <w:r>
        <w:rPr>
          <w:sz w:val="22"/>
          <w:szCs w:val="22"/>
        </w:rPr>
        <w:t xml:space="preserve">             CC: pvpise@barc.gov.in, shrao@barc.gov.in, pavan@barc.gov.in </w:t>
      </w:r>
    </w:p>
    <w:p>
      <w:pPr/>
      <w:r>
        <w:rPr>
          <w:sz w:val="22"/>
          <w:szCs w:val="22"/>
        </w:rPr>
        <w:t xml:space="preserve">             In case of a difference between wordings of the English and Hindi version of NIT, the English version will prevail.</w:t>
      </w:r>
    </w:p>
    <w:p>
      <w:pPr/>
      <w:r>
        <w:rPr>
          <w:sz w:val="22"/>
          <w:szCs w:val="22"/>
        </w:rPr>
        <w:t xml:space="preserve">             CC: pvpise@barc.gov.in, shrao@barc.gov.in, pavan@barc.gov.in </w:t>
      </w:r>
    </w:p>
    <w:p>
      <w:pPr>
        <w:jc w:val="right"/>
      </w:pPr>
      <w:r>
        <w:rPr>
          <w:sz w:val="22"/>
          <w:szCs w:val="22"/>
        </w:rPr>
        <w:t xml:space="preserve"> . Superintending Engineer . </w:t>
      </w:r>
    </w:p>
    <w:p>
      <w:pPr>
        <w:jc w:val="right"/>
      </w:pPr>
      <w:r>
        <w:rPr>
          <w:sz w:val="22"/>
          <w:szCs w:val="22"/>
        </w:rPr>
        <w:t xml:space="preserve"> . Civil Engineering Division . </w:t>
      </w:r>
    </w:p>
    <w:p>
      <w:pPr>
        <w:jc w:val="right"/>
      </w:pPr>
      <w:r>
        <w:rPr>
          <w:sz w:val="22"/>
          <w:szCs w:val="22"/>
        </w:rPr>
        <w:t xml:space="preserve">Civil Engineering Division</w:t>
      </w:r>
    </w:p>
    <w:p>
      <w:pPr>
        <w:jc w:val="right"/>
      </w:pPr>
      <w:r>
        <w:rPr>
          <w:sz w:val="22"/>
          <w:szCs w:val="22"/>
        </w:rPr>
        <w:t xml:space="preserve">Bhabha Atomic Research Centre</w:t>
      </w:r>
    </w:p>
    <w:p>
      <w:pPr>
        <w:jc w:val="right"/>
      </w:pPr>
      <w:r>
        <w:rPr>
          <w:sz w:val="22"/>
          <w:szCs w:val="22"/>
        </w:rPr>
        <w:t xml:space="preserve">For and on behalf of President of India</w:t>
      </w:r>
    </w:p>
    <w:p>
      <w:pPr>
        <w:jc w:val="right"/>
      </w:pPr>
      <w:r>
        <w:rPr>
          <w:sz w:val="22"/>
          <w:szCs w:val="22"/>
          <w:b w:val="1"/>
          <w:bCs w:val="1"/>
          <w:u w:val="single"/>
        </w:rPr>
        <w:t xml:space="preserve">ANNEXURE 1</w:t>
      </w:r>
    </w:p>
    <w:p>
      <w:pPr>
        <w:jc w:val="center"/>
      </w:pPr>
      <w:r>
        <w:rPr>
          <w:sz w:val="22"/>
          <w:szCs w:val="22"/>
        </w:rPr>
        <w:t xml:space="preserve">TENDER ACCEPTANCE LETTER</w:t>
      </w:r>
    </w:p>
    <w:p>
      <w:pPr>
        <w:jc w:val="center"/>
      </w:pPr>
      <w:r>
        <w:rPr>
          <w:sz w:val="22"/>
          <w:szCs w:val="22"/>
          <w:b w:val="1"/>
          <w:bCs w:val="1"/>
        </w:rPr>
        <w:t xml:space="preserve">(To be given on Company Letter Head)</w:t>
      </w:r>
    </w:p>
    <w:p>
      <w:pPr>
        <w:jc w:val="right"/>
      </w:pPr>
      <w:r>
        <w:rPr>
          <w:sz w:val="22"/>
          <w:szCs w:val="22"/>
        </w:rPr>
        <w:t xml:space="preserve">Date:</w:t>
      </w:r>
    </w:p>
    <w:p>
      <w:pPr>
        <w:jc w:val="left"/>
      </w:pPr>
      <w:r>
        <w:rPr>
          <w:sz w:val="22"/>
          <w:szCs w:val="22"/>
        </w:rPr>
        <w:t xml:space="preserve">To:</w:t>
      </w:r>
    </w:p>
    <w:p>
      <w:pPr/>
      <w:r>
        <w:rPr>
          <w:sz w:val="22"/>
          <w:szCs w:val="22"/>
        </w:rPr>
        <w:t xml:space="preserve">The Superintending Engineer</w:t>
      </w:r>
    </w:p>
    <w:p>
      <w:pPr/>
      <w:r>
        <w:rPr>
          <w:sz w:val="22"/>
          <w:szCs w:val="22"/>
        </w:rPr>
        <w:t xml:space="preserve">Civil Engineering Division,BARC,</w:t>
      </w:r>
    </w:p>
    <w:p>
      <w:pPr/>
      <w:r>
        <w:rPr>
          <w:sz w:val="22"/>
          <w:szCs w:val="22"/>
        </w:rPr>
        <w:t xml:space="preserve">Trombay, Mumbai. 400 085</w:t>
      </w:r>
    </w:p>
    <w:p>
      <w:pPr/>
      <w:r>
        <w:rPr>
          <w:sz w:val="22"/>
          <w:szCs w:val="22"/>
          <w:b w:val="1"/>
          <w:bCs w:val="1"/>
        </w:rPr>
        <w:t xml:space="preserve">             Sub: Acceptance of Terms &amp; Conditions of Tender</w:t>
      </w:r>
    </w:p>
    <w:p>
      <w:pPr/>
      <w:r>
        <w:rPr>
          <w:sz w:val="22"/>
          <w:szCs w:val="22"/>
          <w:b w:val="1"/>
          <w:bCs w:val="1"/>
        </w:rPr>
        <w:t xml:space="preserve">             Tender Reference No: BARC/CED/ET/___________/2021-2022 Dated__________.2021</w:t>
      </w:r>
    </w:p>
    <w:p>
      <w:pPr/>
      <w:r>
        <w:rPr>
          <w:sz w:val="22"/>
          <w:szCs w:val="22"/>
          <w:b w:val="1"/>
          <w:bCs w:val="1"/>
        </w:rPr>
        <w:t xml:space="preserve">Name of Tender / Work : -</w:t>
      </w:r>
    </w:p>
    <w:p>
      <w:pPr/>
      <w:r>
        <w:rPr>
          <w:sz w:val="22"/>
          <w:szCs w:val="22"/>
          <w:b w:val="1"/>
          <w:bCs w:val="1"/>
        </w:rPr>
        <w:t xml:space="preserve">______________________________________________________________________</w:t>
      </w:r>
    </w:p>
    <w:p>
      <w:pPr/>
      <w:r>
        <w:rPr>
          <w:sz w:val="22"/>
          <w:szCs w:val="22"/>
          <w:b w:val="1"/>
          <w:bCs w:val="1"/>
        </w:rPr>
        <w:t xml:space="preserve">______________________________________________________________________</w:t>
      </w:r>
    </w:p>
    <w:p>
      <w:pPr/>
      <w:r>
        <w:rPr>
          <w:sz w:val="22"/>
          <w:szCs w:val="22"/>
        </w:rPr>
        <w:t xml:space="preserve">Dear Sir,</w:t>
      </w:r>
    </w:p>
    <w:p>
      <w:pPr/>
      <w:r>
        <w:rPr>
          <w:sz w:val="22"/>
          <w:szCs w:val="22"/>
        </w:rPr>
        <w:t xml:space="preserve">1. I/ We have downloaded / obtained the tender document(s) for the above mentioned Tender / Work from the web site(s) namely: https://eprocure.gov.in/eprocure/app and www.barc.gov.in as per your advertisement, given in the above mentioned website(s).</w:t>
      </w:r>
    </w:p>
    <w:p>
      <w:pPr/>
      <w:r>
        <w:rPr>
          <w:sz w:val="22"/>
          <w:szCs w:val="22"/>
        </w:rPr>
        <w:t xml:space="preserve">2. I / We hereby certify that I / we have read the entire terms and conditions of the tender documents (including A&amp;CED Tender documents, annexure(s), schedule(s), corrigendum(s), Technical Specifications for Civil and Public Health works, Construction Safety Manual for Works Contract etc., available at BARC website http://barc.gov.in/tenders/ under Other Information section etc.), which will form part of the contract agreement and I / we shall abide hereby by the terms / conditions / clauses contained therein.</w:t>
      </w:r>
    </w:p>
    <w:p>
      <w:pPr/>
      <w:r>
        <w:rPr>
          <w:sz w:val="22"/>
          <w:szCs w:val="22"/>
        </w:rPr>
        <w:t xml:space="preserve">3. The corrigendum(s) issued from time to time by your department/ organisation too have also been taken into consideration, while submitting this acceptance letter.</w:t>
      </w:r>
    </w:p>
    <w:p>
      <w:pPr/>
      <w:r>
        <w:rPr>
          <w:sz w:val="22"/>
          <w:szCs w:val="22"/>
        </w:rPr>
        <w:t xml:space="preserve">4. I / We hereby unconditionally accept the tender conditions of above mentioned tender document(s) / corrigendum(s) in its totality /entirety.</w:t>
      </w:r>
    </w:p>
    <w:p>
      <w:pPr/>
      <w:r>
        <w:rPr>
          <w:sz w:val="22"/>
          <w:szCs w:val="22"/>
        </w:rPr>
        <w:t xml:space="preserve">5. I / We do hereby declare that our Firm has not been blacklisted/ debarred by any Govt. Department/Public sector undertaking.</w:t>
      </w:r>
    </w:p>
    <w:p>
      <w:pPr/>
      <w:r>
        <w:rPr>
          <w:sz w:val="22"/>
          <w:szCs w:val="22"/>
        </w:rPr>
        <w:t xml:space="preserve">6. I / We certify that all information furnished by the our Firm is true &amp; correct and in the event that the information is found to be incorrect/untrue or found violated, then your department/ organisation shall without giving any notice or reason therefore or summarily reject the bid or terminate the contract, without prejudice to any other rights or remedy including actions taken by Department as per Bid-Security Declaration Form – Annexure 1.</w:t>
      </w:r>
    </w:p>
    <w:p>
      <w:pPr>
        <w:jc w:val="right"/>
      </w:pPr>
      <w:r>
        <w:rPr>
          <w:sz w:val="22"/>
          <w:szCs w:val="22"/>
        </w:rPr>
        <w:t xml:space="preserve">Yours Faithfully,</w:t>
      </w:r>
    </w:p>
    <w:p>
      <w:pPr>
        <w:jc w:val="right"/>
      </w:pPr>
      <w:r>
        <w:rPr>
          <w:sz w:val="22"/>
          <w:szCs w:val="22"/>
        </w:rPr>
        <w:t xml:space="preserve">(Signature of the Bidder, with Official Seal)</w:t>
      </w:r>
    </w:p>
    <w:p>
      <w:pPr/>
      <w:r>
        <w:rPr>
          <w:sz w:val="22"/>
          <w:szCs w:val="22"/>
          <w:b w:val="1"/>
          <w:bCs w:val="1"/>
          <w:u w:val="single"/>
        </w:rPr>
        <w:t xml:space="preserve">PROFORMA OF SCHEDULES</w:t>
      </w:r>
    </w:p>
    <w:p>
      <w:pPr/>
      <w:r>
        <w:rPr>
          <w:sz w:val="22"/>
          <w:szCs w:val="22"/>
          <w:b w:val="1"/>
          <w:bCs w:val="1"/>
        </w:rPr>
        <w:t xml:space="preserve">SCHEDULE ‘A’</w:t>
      </w:r>
    </w:p>
    <w:p>
      <w:pPr/>
      <w:r>
        <w:rPr>
          <w:sz w:val="22"/>
          <w:szCs w:val="22"/>
        </w:rPr>
        <w:t xml:space="preserve">Schedule of materials to be issued to the contractor	:	Uploaded separately</w:t>
      </w:r>
    </w:p>
    <w:tbl>
      <w:tblGrid>
        <w:gridCol/>
        <w:gridCol/>
        <w:gridCol/>
        <w:gridCol/>
        <w:gridCol/>
      </w:tblGrid>
      <w:tblPr>
        <w:tblStyle w:val="table1"/>
      </w:tblPr>
      <w:tr>
        <w:trPr/>
        <w:tc>
          <w:tcPr/>
          <w:p>
            <w:pPr/>
            <w:r>
              <w:rPr/>
              <w:t xml:space="preserve">Sl. No.</w:t>
            </w:r>
          </w:p>
        </w:tc>
        <w:tc>
          <w:tcPr/>
          <w:p>
            <w:pPr/>
            <w:r>
              <w:rPr/>
              <w:t xml:space="preserve">Description of item</w:t>
            </w:r>
          </w:p>
        </w:tc>
        <w:tc>
          <w:tcPr/>
          <w:p>
            <w:pPr/>
            <w:r>
              <w:rPr/>
              <w:t xml:space="preserve">Quantity</w:t>
            </w:r>
          </w:p>
        </w:tc>
        <w:tc>
          <w:tcPr/>
          <w:p>
            <w:pPr/>
            <w:r>
              <w:rPr/>
              <w:t xml:space="preserve">Rates in figures &amp; words at which the material will be charged to the contractor</w:t>
            </w:r>
          </w:p>
        </w:tc>
        <w:tc>
          <w:tcPr/>
          <w:p>
            <w:pPr/>
            <w:r>
              <w:rPr/>
              <w:t xml:space="preserve">Place of issue</w:t>
            </w:r>
          </w:p>
        </w:tc>
      </w:tr>
      <w:tr>
        <w:trPr/>
        <w:tc>
          <w:tcPr/>
          <w:p>
            <w:pPr/>
            <w:r>
              <w:rPr/>
              <w:t xml:space="preserve">1</w:t>
            </w:r>
          </w:p>
        </w:tc>
        <w:tc>
          <w:tcPr/>
          <w:p>
            <w:pPr/>
            <w:r>
              <w:rPr/>
              <w:t xml:space="preserve">2</w:t>
            </w:r>
          </w:p>
        </w:tc>
        <w:tc>
          <w:tcPr/>
          <w:p>
            <w:pPr/>
            <w:r>
              <w:rPr/>
              <w:t xml:space="preserve">3</w:t>
            </w:r>
          </w:p>
        </w:tc>
        <w:tc>
          <w:tcPr/>
          <w:p>
            <w:pPr/>
            <w:r>
              <w:rPr/>
              <w:t xml:space="preserve">4</w:t>
            </w:r>
          </w:p>
        </w:tc>
        <w:tc>
          <w:tcPr/>
          <w:p>
            <w:pPr/>
            <w:r>
              <w:rPr/>
              <w:t xml:space="preserve">5</w:t>
            </w:r>
          </w:p>
        </w:tc>
      </w:tr>
    </w:tbl>
    <w:p>
      <w:pPr/>
      <w:r>
        <w:rPr>
          <w:sz w:val="22"/>
          <w:szCs w:val="22"/>
          <w:b w:val="1"/>
          <w:bCs w:val="1"/>
        </w:rPr>
        <w:t xml:space="preserve">SCHEDULE ‘B’</w:t>
      </w:r>
    </w:p>
    <w:p>
      <w:pPr/>
      <w:r>
        <w:rPr>
          <w:sz w:val="22"/>
          <w:szCs w:val="22"/>
        </w:rPr>
        <w:t xml:space="preserve">Schedule of quantities	:	Uploaded separately</w:t>
      </w:r>
    </w:p>
    <w:p>
      <w:pPr/>
      <w:r>
        <w:rPr>
          <w:b w:val="1"/>
          <w:bCs w:val="1"/>
        </w:rPr>
        <w:t xml:space="preserve">SCHEDULE ‘C’: Not Applicable</w:t>
      </w:r>
    </w:p>
    <w:p>
      <w:pPr/>
      <w:r>
        <w:rPr>
          <w:b w:val="1"/>
          <w:bCs w:val="1"/>
        </w:rPr>
        <w:t xml:space="preserve">Tools and plants to be hired to the contractor</w:t>
      </w:r>
    </w:p>
    <w:tbl>
      <w:tblGrid>
        <w:gridCol/>
        <w:gridCol/>
        <w:gridCol/>
        <w:gridCol/>
      </w:tblGrid>
      <w:tblPr>
        <w:tblStyle w:val="tableC"/>
      </w:tblPr>
      <w:tr>
        <w:trPr/>
        <w:tc>
          <w:tcPr/>
          <w:p>
            <w:pPr/>
            <w:r>
              <w:rPr/>
              <w:t xml:space="preserve">Sl. No.</w:t>
            </w:r>
          </w:p>
        </w:tc>
        <w:tc>
          <w:tcPr/>
          <w:p>
            <w:pPr/>
            <w:r>
              <w:rPr/>
              <w:t xml:space="preserve">Description</w:t>
            </w:r>
          </w:p>
        </w:tc>
        <w:tc>
          <w:tcPr/>
          <w:p>
            <w:pPr/>
            <w:r>
              <w:rPr/>
              <w:t xml:space="preserve">Hire charges per day</w:t>
            </w:r>
          </w:p>
        </w:tc>
        <w:tc>
          <w:tcPr/>
          <w:p>
            <w:pPr/>
            <w:r>
              <w:rPr/>
              <w:t xml:space="preserve">Place of issue</w:t>
            </w:r>
          </w:p>
        </w:tc>
      </w:tr>
      <w:tr>
        <w:trPr/>
        <w:tc>
          <w:tcPr/>
          <w:p>
            <w:pPr/>
            <w:r>
              <w:rPr/>
              <w:t xml:space="preserve">1</w:t>
            </w:r>
          </w:p>
        </w:tc>
        <w:tc>
          <w:tcPr/>
          <w:p>
            <w:pPr/>
            <w:r>
              <w:rPr/>
              <w:t xml:space="preserve">2</w:t>
            </w:r>
          </w:p>
        </w:tc>
        <w:tc>
          <w:tcPr/>
          <w:p>
            <w:pPr/>
            <w:r>
              <w:rPr/>
              <w:t xml:space="preserve">3</w:t>
            </w:r>
          </w:p>
        </w:tc>
        <w:tc>
          <w:tcPr/>
          <w:p>
            <w:pPr/>
            <w:r>
              <w:rPr/>
              <w:t xml:space="preserve">4</w:t>
            </w:r>
          </w:p>
        </w:tc>
      </w:tr>
    </w:tbl>
    <w:p>
      <w:pPr/>
      <w:r>
        <w:rPr>
          <w:b w:val="1"/>
          <w:bCs w:val="1"/>
        </w:rPr>
        <w:t xml:space="preserve">SCHEDULE ‘D’: Not Applicable</w:t>
      </w:r>
    </w:p>
    <w:p>
      <w:pPr/>
      <w:r>
        <w:rPr>
          <w:b w:val="1"/>
          <w:bCs w:val="1"/>
        </w:rPr>
        <w:t xml:space="preserve">Extra schedule for specific requirements / document for the work, if any.</w:t>
      </w:r>
    </w:p>
    <w:p>
      <w:pPr/>
      <w:r>
        <w:rPr>
          <w:b w:val="1"/>
          <w:bCs w:val="1"/>
        </w:rPr>
        <w:t xml:space="preserve">SCHEDULE ‘E’</w:t>
      </w:r>
    </w:p>
    <w:p>
      <w:pPr/>
      <w:r>
        <w:rPr>
          <w:b w:val="1"/>
          <w:bCs w:val="1"/>
        </w:rPr>
        <w:t xml:space="preserve">Reference to General Conditions of contract</w:t>
      </w:r>
    </w:p>
    <w:p>
      <w:pPr/>
      <w:r>
        <w:rPr>
          <w:b w:val="1"/>
          <w:bCs w:val="1"/>
        </w:rPr>
        <w:t xml:space="preserve">Name of work:TNPL Factory</w:t>
      </w:r>
    </w:p>
    <w:p>
      <w:pPr/>
      <w:r>
        <w:rPr>
          <w:b w:val="1"/>
          <w:bCs w:val="1"/>
        </w:rPr>
        <w:t xml:space="preserve">LOCATION AND SCOPE OF THE WORK</w:t>
      </w:r>
    </w:p>
    <w:p>
      <w:pPr/>
      <w:r>
        <w:rPr/>
        <w:t xml:space="preserve">Locations:</w:t>
      </w:r>
    </w:p>
    <w:p>
      <w:pPr/>
      <w:r>
        <w:rPr>
          <w:b w:val="1"/>
          <w:bCs w:val="1"/>
        </w:rPr>
        <w:t xml:space="preserve">SCOPE OF WORK SCOPE: The scope of work includes:</w:t>
      </w:r>
    </w:p>
    <w:p>
      <w:pPr/>
      <w:r>
        <w:rPr/>
        <w:t xml:space="preserve">a) Civil works: Excavation work, PCC &amp; RCC work, Reinforcement &amp; Structural steel work, Brick masonry work, plastering work, flooring work, dismantling work, PH work, Development of stilt area by providing garden, Footpath flooring, painting work, aluminium work, waterproofing work, providing Stainless steel benches, providing &amp; fixing natural bamboo screen wall, providing &amp; fixing Raised Arbor/Gajibo in Hexagonal shape, providing FRP pots for plants, providing GI weld mesh, providing &amp; fixing glass mosaic tiles, soling work, etc.</w:t>
      </w:r>
    </w:p>
    <w:p>
      <w:pPr/>
      <w:r>
        <w:rPr/>
        <w:t xml:space="preserve">b) Electrical works: providing ring type fountain, providing caddy mountain filtration plant, etc.</w:t>
      </w:r>
    </w:p>
    <w:p>
      <w:pPr/>
      <w:r>
        <w:rPr/>
        <w:t xml:space="preserve">(i) Estimated cost of work:7,78,800.00</w:t>
      </w:r>
    </w:p>
    <w:p>
      <w:pPr/>
      <w:r>
        <w:rPr/>
        <w:t xml:space="preserve">(ii) Earnest money: 15,576.00</w:t>
      </w:r>
    </w:p>
    <w:p>
      <w:pPr/>
      <w:r>
        <w:rPr/>
        <w:t xml:space="preserve">(iii) Performance Guarantee:3% of tendered value</w:t>
      </w:r>
    </w:p>
    <w:p>
      <w:pPr/>
      <w:r>
        <w:rPr/>
        <w:t xml:space="preserve">(iv) Security Deposit:2.5% of tendered value</w:t>
      </w:r>
    </w:p>
    <w:p>
      <w:pPr/>
      <w:r>
        <w:rPr>
          <w:b w:val="1"/>
          <w:bCs w:val="1"/>
        </w:rPr>
        <w:t xml:space="preserve">SCHEDULE ‘F’</w:t>
      </w:r>
    </w:p>
    <w:p>
      <w:pPr/>
      <w:r>
        <w:rPr>
          <w:b w:val="1"/>
          <w:bCs w:val="1"/>
        </w:rPr>
        <w:t xml:space="preserve">GENERAL RULES &amp; DIRECTIONS: Officer inviting tender: Chief Engineer</w:t>
      </w:r>
    </w:p>
    <w:p>
      <w:pPr/>
      <w:r>
        <w:rPr>
          <w:b w:val="1"/>
          <w:bCs w:val="1"/>
        </w:rPr>
        <w:t xml:space="preserve">Definitions:</w:t>
      </w:r>
    </w:p>
    <w:p>
      <w:pPr/>
      <w:r>
        <w:rPr/>
        <w:t xml:space="preserve">Maximum percentage for quantity of items of work to be executed beyond which rates are to be determined in accordance with Clauses 12.2 &amp; 12.3 see below</w:t>
      </w:r>
    </w:p>
    <w:p>
      <w:pPr/>
      <w:r>
        <w:rPr/>
        <w:t xml:space="preserve">2(v) Engineer-in-Charge: Project Engineer</w:t>
      </w:r>
    </w:p>
    <w:p>
      <w:pPr/>
      <w:r>
        <w:rPr/>
        <w:t xml:space="preserve">2(viii) Accepting Authority: Chief Engineer</w:t>
      </w:r>
    </w:p>
    <w:p>
      <w:pPr/>
      <w:r>
        <w:rPr/>
        <w:t xml:space="preserve">2(x) Percentage on cost of materials and Labour to cover all overheads and profits: 15%</w:t>
      </w:r>
    </w:p>
    <w:p>
      <w:pPr/>
      <w:r>
        <w:rPr/>
        <w:t xml:space="preserve">2(xi) Standard Schedule of Rates: BARC Schedule of Rates</w:t>
      </w:r>
    </w:p>
    <w:p>
      <w:pPr/>
      <w:r>
        <w:rPr/>
        <w:t xml:space="preserve">2(xii) Department: BARC</w:t>
      </w:r>
    </w:p>
    <w:p>
      <w:pPr/>
      <w:r>
        <w:rPr>
          <w:b w:val="1"/>
          <w:bCs w:val="1"/>
        </w:rPr>
        <w:t xml:space="preserve">Clause 1</w:t>
      </w:r>
    </w:p>
    <w:p>
      <w:pPr/>
      <w:r>
        <w:rPr/>
        <w:t xml:space="preserve">Time allowed for submission of Performance Guarantee from the date of issue of the letter of acceptance:  days</w:t>
      </w:r>
    </w:p>
    <w:p>
      <w:pPr/>
      <w:r>
        <w:rPr/>
        <w:t xml:space="preserve">Maximum allowable extension with late fee of 0.1% per day of Performance Guarantee amount beyond the period provided in (i) above:  days</w:t>
      </w:r>
    </w:p>
    <w:p>
      <w:pPr/>
      <w:r>
        <w:rPr>
          <w:b w:val="1"/>
          <w:bCs w:val="1"/>
        </w:rPr>
        <w:t xml:space="preserve">Clause 2</w:t>
      </w:r>
    </w:p>
    <w:p>
      <w:pPr/>
      <w:r>
        <w:rPr/>
        <w:t xml:space="preserve">Authority for fixing compensation under Clause 2: Superintending Engineer</w:t>
      </w:r>
    </w:p>
    <w:p>
      <w:pPr/>
      <w:r>
        <w:rPr>
          <w:b w:val="1"/>
          <w:bCs w:val="1"/>
        </w:rPr>
        <w:t xml:space="preserve">Clause 2A</w:t>
      </w:r>
    </w:p>
    <w:p>
      <w:pPr/>
      <w:r>
        <w:rPr/>
        <w:t xml:space="preserve">Whether Clause 2A shall be applicable: No</w:t>
      </w:r>
    </w:p>
    <w:p>
      <w:pPr/>
      <w:r>
        <w:rPr>
          <w:b w:val="1"/>
          <w:bCs w:val="1"/>
        </w:rPr>
        <w:t xml:space="preserve">Clause 5</w:t>
      </w:r>
    </w:p>
    <w:p>
      <w:pPr/>
      <w:r>
        <w:rPr/>
        <w:t xml:space="preserve">Number of days from the date of issue of the letter of acceptance for reckoning date of start after the date of issue of the work order: 15 days or commencement date as mentioned in the work order, whichever is later</w:t>
      </w:r>
    </w:p>
    <w:p>
      <w:pPr/>
      <w:r>
        <w:rPr>
          <w:b w:val="1"/>
          <w:bCs w:val="1"/>
        </w:rPr>
        <w:t xml:space="preserve">Table of Milestone(s): Not Applicable.</w:t>
      </w:r>
    </w:p>
    <w:tbl>
      <w:tblGrid>
        <w:gridCol/>
        <w:gridCol/>
        <w:gridCol/>
        <w:gridCol/>
      </w:tblGrid>
      <w:tblPr>
        <w:tblStyle w:val="tableD"/>
      </w:tblPr>
      <w:tr>
        <w:trPr/>
        <w:tc>
          <w:tcPr/>
          <w:p>
            <w:pPr/>
            <w:r>
              <w:rPr>
                <w:b w:val="1"/>
                <w:bCs w:val="1"/>
              </w:rPr>
              <w:t xml:space="preserve">Sl. No.</w:t>
            </w:r>
          </w:p>
        </w:tc>
        <w:tc>
          <w:tcPr/>
          <w:p>
            <w:pPr/>
            <w:r>
              <w:rPr>
                <w:b w:val="1"/>
                <w:bCs w:val="1"/>
              </w:rPr>
              <w:t xml:space="preserve">Financial Progress</w:t>
            </w:r>
          </w:p>
        </w:tc>
        <w:tc>
          <w:tcPr/>
          <w:p>
            <w:pPr/>
            <w:r>
              <w:rPr>
                <w:b w:val="1"/>
                <w:bCs w:val="1"/>
              </w:rPr>
              <w:t xml:space="preserve">Time allowed (from date of start)</w:t>
            </w:r>
          </w:p>
        </w:tc>
        <w:tc>
          <w:tcPr/>
          <w:p>
            <w:pPr/>
            <w:r>
              <w:rPr>
                <w:b w:val="1"/>
                <w:bCs w:val="1"/>
              </w:rPr>
              <w:t xml:space="preserve">Amount to be withheld in case of non-achievement of milestone</w:t>
            </w:r>
          </w:p>
        </w:tc>
      </w:tr>
      <w:tr>
        <w:trPr/>
        <w:tc>
          <w:tcPr/>
          <w:p/>
        </w:tc>
        <w:tc>
          <w:tcPr/>
          <w:p/>
        </w:tc>
        <w:tc>
          <w:tcPr/>
          <w:p/>
        </w:tc>
        <w:tc>
          <w:tcPr/>
          <w:p/>
        </w:tc>
      </w:tr>
      <w:tr>
        <w:trPr/>
        <w:tc>
          <w:tcPr/>
          <w:p/>
        </w:tc>
        <w:tc>
          <w:tcPr/>
          <w:p/>
        </w:tc>
        <w:tc>
          <w:tcPr/>
          <w:p/>
        </w:tc>
        <w:tc>
          <w:tcPr/>
          <w:p/>
        </w:tc>
      </w:tr>
      <w:tr>
        <w:trPr/>
        <w:tc>
          <w:tcPr/>
          <w:p/>
        </w:tc>
        <w:tc>
          <w:tcPr/>
          <w:p/>
        </w:tc>
        <w:tc>
          <w:tcPr/>
          <w:p/>
        </w:tc>
        <w:tc>
          <w:tcPr/>
          <w:p/>
        </w:tc>
      </w:tr>
    </w:tbl>
    <w:p>
      <w:pPr/>
      <w:r>
        <w:rPr/>
        <w:t xml:space="preserve">Time allowed for execution of work:  months</w:t>
      </w:r>
    </w:p>
    <w:p>
      <w:pPr/>
      <w:r>
        <w:rPr>
          <w:b w:val="1"/>
          <w:bCs w:val="1"/>
        </w:rPr>
        <w:t xml:space="preserve">Authority to decide:</w:t>
      </w:r>
    </w:p>
    <w:p>
      <w:pPr/>
      <w:r>
        <w:rPr/>
        <w:t xml:space="preserve">(i) Extension of time: Superintending Engineer of Major Component in case of Composite Contracts, as the case may be (Project Engineer when contract accepted by him)</w:t>
      </w:r>
    </w:p>
    <w:p>
      <w:pPr/>
      <w:r>
        <w:rPr/>
        <w:t xml:space="preserve">(ii)	Rescheduling of mile stones	: Superintending Engineer of Major Component in case of Composite Contracts, as the case may be (Project Engineer when contract accepted by him) </w:t>
      </w:r>
    </w:p>
    <w:p>
      <w:pPr/>
      <w:r>
        <w:rPr>
          <w:b w:val="1"/>
          <w:bCs w:val="1"/>
        </w:rPr>
        <w:t xml:space="preserve">Clause 6, 6A</w:t>
      </w:r>
    </w:p>
    <w:p>
      <w:pPr/>
      <w:r>
        <w:rPr/>
        <w:t xml:space="preserve">Clause applicable – (6 or 6A): Clause 6A</w:t>
      </w:r>
    </w:p>
    <w:p>
      <w:pPr/>
      <w:r>
        <w:rPr>
          <w:b w:val="1"/>
          <w:bCs w:val="1"/>
        </w:rPr>
        <w:t xml:space="preserve">Clause 7</w:t>
      </w:r>
    </w:p>
    <w:p>
      <w:pPr/>
      <w:r>
        <w:rPr/>
        <w:t xml:space="preserve">Gross work to be done together with net payment / adjustment of advances for material collected, if any, since the last such payment for being eligible to interim payment: -</w:t>
      </w:r>
    </w:p>
    <w:p>
      <w:pPr/>
      <w:r>
        <w:rPr>
          <w:b w:val="1"/>
          <w:bCs w:val="1"/>
        </w:rPr>
        <w:t xml:space="preserve">Clause 10A</w:t>
      </w:r>
    </w:p>
    <w:p>
      <w:pPr/>
      <w:r>
        <w:rPr/>
        <w:t xml:space="preserve">List of testing equipment to be provided by the contractor at site lab.</w:t>
      </w:r>
    </w:p>
    <w:tbl>
      <w:tblGrid>
        <w:gridCol w:w="2000" w:type="dxa"/>
        <w:gridCol w:w="2000" w:type="dxa"/>
        <w:gridCol w:w="2000" w:type="dxa"/>
      </w:tblGrid>
      <w:tblPr>
        <w:tblStyle w:val="tableF"/>
      </w:tblPr>
      <w:tr>
        <w:trPr/>
        <w:tc>
          <w:tcPr>
            <w:tcW w:w="2000" w:type="dxa"/>
          </w:tcPr>
          <w:p>
            <w:pPr/>
            <w:r>
              <w:rPr/>
              <w:t xml:space="preserve"/>
            </w:r>
          </w:p>
        </w:tc>
        <w:tc>
          <w:tcPr>
            <w:tcW w:w="2000" w:type="dxa"/>
          </w:tcPr>
          <w:p>
            <w:pPr/>
            <w:r>
              <w:rPr/>
              <w:t xml:space="preserve"/>
            </w:r>
          </w:p>
        </w:tc>
        <w:tc>
          <w:tcPr>
            <w:tcW w:w="2000" w:type="dxa"/>
          </w:tcPr>
          <w:p>
            <w:pPr/>
            <w:r>
              <w:rPr/>
              <w:t xml:space="preserve"/>
            </w:r>
          </w:p>
        </w:tc>
      </w:tr>
      <w:tr>
        <w:trPr/>
        <w:tc>
          <w:tcPr>
            <w:tcW w:w="2000" w:type="dxa"/>
          </w:tcPr>
          <w:p>
            <w:pPr/>
            <w:r>
              <w:rPr/>
              <w:t xml:space="preserve"/>
            </w:r>
          </w:p>
        </w:tc>
        <w:tc>
          <w:tcPr>
            <w:tcW w:w="2000" w:type="dxa"/>
          </w:tcPr>
          <w:p>
            <w:pPr/>
            <w:r>
              <w:rPr/>
              <w:t xml:space="preserve"/>
            </w:r>
          </w:p>
        </w:tc>
        <w:tc>
          <w:tcPr>
            <w:tcW w:w="2000" w:type="dxa"/>
          </w:tcPr>
          <w:p>
            <w:pPr/>
            <w:r>
              <w:rPr/>
              <w:t xml:space="preserve"/>
            </w:r>
          </w:p>
        </w:tc>
      </w:tr>
    </w:tbl>
    <w:p>
      <w:pPr/>
      <w:r>
        <w:rPr>
          <w:b w:val="1"/>
          <w:bCs w:val="1"/>
        </w:rPr>
        <w:t xml:space="preserve">Clause 10B(ii)</w:t>
      </w:r>
    </w:p>
    <w:p>
      <w:pPr/>
      <w:r>
        <w:rPr/>
        <w:t xml:space="preserve">Whether Clause 10B(ii) shall be applicable: No</w:t>
      </w:r>
    </w:p>
    <w:p>
      <w:pPr/>
      <w:r>
        <w:rPr>
          <w:b w:val="1"/>
          <w:bCs w:val="1"/>
        </w:rPr>
        <w:t xml:space="preserve">Clause 10C</w:t>
      </w:r>
    </w:p>
    <w:p>
      <w:pPr/>
      <w:r>
        <w:rPr/>
        <w:t xml:space="preserve">Component of labour expressed as percent of value of work: 25%</w:t>
      </w:r>
    </w:p>
    <w:p>
      <w:pPr/>
      <w:r>
        <w:rPr>
          <w:b w:val="1"/>
          <w:bCs w:val="1"/>
        </w:rPr>
        <w:t xml:space="preserve">Clause 10CA</w:t>
      </w:r>
    </w:p>
    <w:tbl>
      <w:tblGrid>
        <w:gridCol/>
        <w:gridCol/>
        <w:gridCol/>
      </w:tblGrid>
      <w:tblPr>
        <w:tblStyle w:val="tableE"/>
      </w:tblPr>
      <w:tr>
        <w:trPr/>
        <w:tc>
          <w:tcPr/>
          <w:p>
            <w:pPr/>
            <w:r>
              <w:rPr/>
              <w:t xml:space="preserve">Materials covered under this clause (10 CA)</w:t>
            </w:r>
          </w:p>
        </w:tc>
        <w:tc>
          <w:tcPr/>
          <w:p>
            <w:pPr/>
            <w:r>
              <w:rPr/>
              <w:t xml:space="preserve">Nearest Materials for which All India Wholesale Price Index to be followed</w:t>
            </w:r>
          </w:p>
        </w:tc>
        <w:tc>
          <w:tcPr/>
          <w:p>
            <w:pPr/>
            <w:r>
              <w:rPr/>
              <w:t xml:space="preserve">Base Price of all the Materials covered under clause 10CA*</w:t>
            </w:r>
          </w:p>
        </w:tc>
      </w:tr>
      <w:tr>
        <w:trPr/>
        <w:tc>
          <w:tcPr/>
          <w:p>
            <w:pPr/>
            <w:r>
              <w:rPr/>
              <w:t xml:space="preserve">---</w:t>
            </w:r>
          </w:p>
        </w:tc>
        <w:tc>
          <w:tcPr/>
          <w:p>
            <w:pPr/>
            <w:r>
              <w:rPr/>
              <w:t xml:space="preserve">---</w:t>
            </w:r>
          </w:p>
        </w:tc>
        <w:tc>
          <w:tcPr/>
          <w:p>
            <w:pPr/>
            <w:r>
              <w:rPr/>
              <w:t xml:space="preserve">---</w:t>
            </w:r>
          </w:p>
        </w:tc>
      </w:tr>
      <w:tr>
        <w:trPr/>
        <w:tc>
          <w:tcPr/>
          <w:p/>
        </w:tc>
        <w:tc>
          <w:tcPr/>
          <w:p/>
        </w:tc>
        <w:tc>
          <w:tcPr/>
          <w:p/>
        </w:tc>
      </w:tr>
    </w:tbl>
    <w:p>
      <w:pPr/>
      <w:r>
        <w:rPr/>
        <w:t xml:space="preserve">* Includes cement used in Ready Mix Concrete</w:t>
      </w:r>
    </w:p>
    <w:p>
      <w:pPr/>
      <w:r>
        <w:rPr/>
        <w:t xml:space="preserve">“Note: Base price for materials given above are for regulating operation of clause 10-CA. The tenderers are requested to consider prevailing market rates while quoting the rates.”</w:t>
      </w:r>
    </w:p>
    <w:p>
      <w:pPr/>
      <w:r>
        <w:rPr>
          <w:b w:val="1"/>
          <w:bCs w:val="1"/>
        </w:rPr>
        <w:t xml:space="preserve">Clause 10CC</w:t>
      </w:r>
    </w:p>
    <w:p>
      <w:pPr/>
      <w:r>
        <w:rPr/>
        <w:t xml:space="preserve">Clause 10CC to be applicable in contracts with a stipulated period of completion exceeding the period shown in the next column: 12 Month</w:t>
      </w:r>
    </w:p>
    <w:p>
      <w:pPr/>
      <w:r>
        <w:rPr/>
        <w:t xml:space="preserve">Schedule of component of other Materials, Labour, P.O.L. etc. for price escalation.</w:t>
      </w:r>
    </w:p>
    <w:p>
      <w:pPr/>
      <w:r>
        <w:rPr/>
        <w:t xml:space="preserve">Component of civil (except Materials covering under 10 CA)/Electrical construction Materials expressed as a percent of the total value of work Xm: -</w:t>
      </w:r>
    </w:p>
    <w:p>
      <w:pPr/>
      <w:r>
        <w:rPr/>
        <w:t xml:space="preserve">Component of Labour expressed as percent of total value of work: Y</w:t>
      </w:r>
    </w:p>
    <w:p>
      <w:pPr/>
      <w:r>
        <w:rPr/>
        <w:t xml:space="preserve">Component of P.O.L. expressed as percent of total value of work: Z</w:t>
      </w:r>
    </w:p>
    <w:p>
      <w:pPr/>
      <w:r>
        <w:rPr>
          <w:b w:val="1"/>
          <w:bCs w:val="1"/>
        </w:rPr>
        <w:t xml:space="preserve">Clause 11</w:t>
      </w:r>
    </w:p>
    <w:p>
      <w:pPr/>
      <w:r>
        <w:rPr/>
        <w:t xml:space="preserve">Specifications to be followed For execution of work: BARC Specifications</w:t>
      </w:r>
    </w:p>
    <w:p>
      <w:pPr/>
      <w:r>
        <w:rPr>
          <w:b w:val="1"/>
          <w:bCs w:val="1"/>
        </w:rPr>
        <w:t xml:space="preserve">Clause 12</w:t>
      </w:r>
    </w:p>
    <w:tbl>
      <w:tblGrid>
        <w:gridCol/>
        <w:gridCol/>
        <w:gridCol w:w="500" w:type="dxa"/>
        <w:gridCol/>
      </w:tblGrid>
      <w:tblPr>
        <w:tblStyle w:val="tableG"/>
      </w:tblPr>
      <w:tr>
        <w:trPr/>
        <w:tc>
          <w:tcPr/>
          <w:p>
            <w:pPr/>
            <w:r>
              <w:rPr/>
              <w:t xml:space="preserve">12.2 &amp; 12.3</w:t>
            </w:r>
          </w:p>
        </w:tc>
        <w:tc>
          <w:tcPr/>
          <w:p>
            <w:pPr/>
            <w:r>
              <w:rPr/>
              <w:t xml:space="preserve">Deviation Limit beyond which clauses 12.2 &amp; 12.3 shall apply for building work</w:t>
            </w:r>
          </w:p>
        </w:tc>
        <w:tc>
          <w:tcPr>
            <w:tcW w:w="500" w:type="dxa"/>
          </w:tcPr>
          <w:p>
            <w:pPr/>
            <w:r>
              <w:rPr/>
              <w:t xml:space="preserve">:</w:t>
            </w:r>
          </w:p>
        </w:tc>
        <w:tc>
          <w:tcPr/>
          <w:p>
            <w:pPr/>
            <w:r>
              <w:rPr/>
              <w:t xml:space="preserve">30% for superstructure items &amp; 50% for maintenance works</w:t>
            </w:r>
          </w:p>
        </w:tc>
      </w:tr>
      <w:tr>
        <w:trPr/>
        <w:tc>
          <w:tcPr/>
          <w:p>
            <w:pPr/>
            <w:r>
              <w:rPr/>
              <w:t xml:space="preserve">12.5</w:t>
            </w:r>
          </w:p>
        </w:tc>
        <w:tc>
          <w:tcPr/>
          <w:p>
            <w:pPr/>
            <w:r>
              <w:rPr/>
              <w:t xml:space="preserve">(i)Deviation Limit beyond which clauses 12.2 &amp; 12.3 shall apply for foundation work (except earth work)</w:t>
            </w:r>
          </w:p>
        </w:tc>
        <w:tc>
          <w:tcPr>
            <w:tcW w:w="500" w:type="dxa"/>
          </w:tcPr>
          <w:p>
            <w:pPr/>
            <w:r>
              <w:rPr/>
              <w:t xml:space="preserve">:</w:t>
            </w:r>
          </w:p>
        </w:tc>
        <w:tc>
          <w:tcPr/>
          <w:p>
            <w:pPr/>
            <w:r>
              <w:rPr/>
              <w:t xml:space="preserve">30%</w:t>
            </w:r>
          </w:p>
        </w:tc>
      </w:tr>
      <w:tr>
        <w:trPr/>
        <w:tc>
          <w:tcPr/>
          <w:p>
            <w:pPr/>
            <w:r>
              <w:rPr/>
              <w:t xml:space="preserve">12.5</w:t>
            </w:r>
          </w:p>
        </w:tc>
        <w:tc>
          <w:tcPr/>
          <w:p>
            <w:pPr/>
            <w:r>
              <w:rPr/>
              <w:t xml:space="preserve">(ii)Deviation Limit for items in earthwork and related items:</w:t>
            </w:r>
          </w:p>
        </w:tc>
        <w:tc>
          <w:tcPr>
            <w:tcW w:w="500" w:type="dxa"/>
          </w:tcPr>
          <w:p>
            <w:pPr/>
            <w:r>
              <w:rPr/>
              <w:t xml:space="preserve">:</w:t>
            </w:r>
          </w:p>
        </w:tc>
        <w:tc>
          <w:tcPr/>
          <w:p>
            <w:pPr/>
            <w:r>
              <w:rPr/>
              <w:t xml:space="preserve">100%</w:t>
            </w:r>
          </w:p>
        </w:tc>
      </w:tr>
    </w:tbl>
    <w:p>
      <w:pPr/>
      <w:r>
        <w:rPr>
          <w:b w:val="1"/>
          <w:bCs w:val="1"/>
        </w:rPr>
        <w:t xml:space="preserve">Clause 16</w:t>
      </w:r>
    </w:p>
    <w:p>
      <w:pPr/>
      <w:r>
        <w:rPr/>
        <w:t xml:space="preserve">Competent Authority for deciding reduced rates: Chief Engineer</w:t>
      </w:r>
    </w:p>
    <w:p>
      <w:pPr/>
      <w:r>
        <w:rPr>
          <w:b w:val="1"/>
          <w:bCs w:val="1"/>
        </w:rPr>
        <w:t xml:space="preserve">Clause 18</w:t>
      </w:r>
    </w:p>
    <w:p>
      <w:pPr/>
      <w:r>
        <w:rPr/>
        <w:t xml:space="preserve">List of mandatory machinery, tools &amp; plants to be deployed by the contractor at site:</w:t>
      </w:r>
    </w:p>
    <w:tbl>
      <w:tblGrid>
        <w:gridCol/>
        <w:gridCol/>
        <w:gridCol w:w="2000" w:type="dxa"/>
      </w:tblGrid>
      <w:tblPr>
        <w:tblStyle w:val="tableH"/>
      </w:tblPr>
      <w:tr>
        <w:trPr/>
        <w:tc>
          <w:tcPr/>
          <w:p>
            <w:pPr/>
            <w:r>
              <w:rPr/>
              <w:t xml:space="preserve">1. Safety Gears</w:t>
            </w:r>
          </w:p>
        </w:tc>
        <w:tc>
          <w:tcPr/>
          <w:p>
            <w:pPr/>
            <w:r>
              <w:rPr/>
              <w:t xml:space="preserve">2. Miscellaneous Machinery, Tools and Plants as required</w:t>
            </w:r>
          </w:p>
        </w:tc>
        <w:tc>
          <w:tcPr>
            <w:tcW w:w="2000" w:type="dxa"/>
          </w:tcPr>
          <w:p>
            <w:pPr/>
            <w:r>
              <w:rPr/>
              <w:t xml:space="preserve"/>
            </w:r>
          </w:p>
        </w:tc>
      </w:tr>
      <w:tr>
        <w:trPr/>
        <w:tc>
          <w:tcPr/>
          <w:p/>
        </w:tc>
        <w:tc>
          <w:tcPr/>
          <w:p/>
        </w:tc>
        <w:tc>
          <w:tcPr/>
          <w:p/>
        </w:tc>
      </w:tr>
    </w:tbl>
    <w:p>
      <w:pPr/>
      <w:r>
        <w:rPr>
          <w:b w:val="1"/>
          <w:bCs w:val="1"/>
        </w:rPr>
        <w:t xml:space="preserve">Clause 36(i)</w:t>
      </w:r>
    </w:p>
    <w:p>
      <w:pPr/>
      <w:r>
        <w:rPr>
          <w:b w:val="1"/>
          <w:bCs w:val="1"/>
        </w:rPr>
        <w:t xml:space="preserve">Requirement of Technical Representative(s) and recovery rate</w:t>
      </w:r>
    </w:p>
    <w:tbl>
      <w:tblGrid>
        <w:gridCol w:w="500" w:type="dxa"/>
        <w:gridCol w:w="2000" w:type="dxa"/>
        <w:gridCol w:w="1000" w:type="dxa"/>
        <w:gridCol w:w="1000" w:type="dxa"/>
        <w:gridCol w:w="1000" w:type="dxa"/>
        <w:gridCol w:w="500" w:type="dxa"/>
        <w:gridCol w:w="2000" w:type="dxa"/>
      </w:tblGrid>
      <w:tblPr>
        <w:tblStyle w:val="tableI"/>
      </w:tblPr>
      <w:tr>
        <w:trPr/>
        <w:tc>
          <w:tcPr>
            <w:tcW w:w="500" w:type="dxa"/>
          </w:tcPr>
          <w:p>
            <w:pPr/>
            <w:r>
              <w:rPr/>
              <w:t xml:space="preserve">Sl. No.</w:t>
            </w:r>
          </w:p>
        </w:tc>
        <w:tc>
          <w:tcPr>
            <w:tcW w:w="2000" w:type="dxa"/>
          </w:tcPr>
          <w:p>
            <w:pPr/>
            <w:r>
              <w:rPr/>
              <w:t xml:space="preserve">Minimum Qualification of Technical Representative</w:t>
            </w:r>
          </w:p>
        </w:tc>
        <w:tc>
          <w:tcPr>
            <w:tcW w:w="1000" w:type="dxa"/>
          </w:tcPr>
          <w:p>
            <w:pPr/>
            <w:r>
              <w:rPr/>
              <w:t xml:space="preserve">Discipline</w:t>
            </w:r>
          </w:p>
        </w:tc>
        <w:tc>
          <w:tcPr>
            <w:tcW w:w="1000" w:type="dxa"/>
          </w:tcPr>
          <w:p>
            <w:pPr/>
            <w:r>
              <w:rPr/>
              <w:t xml:space="preserve">Designation (Principal Technical representative)</w:t>
            </w:r>
          </w:p>
        </w:tc>
        <w:tc>
          <w:tcPr>
            <w:tcW w:w="1000" w:type="dxa"/>
          </w:tcPr>
          <w:p>
            <w:pPr/>
            <w:r>
              <w:rPr/>
              <w:t xml:space="preserve">Minimum Experience</w:t>
            </w:r>
          </w:p>
        </w:tc>
        <w:tc>
          <w:tcPr>
            <w:tcW w:w="500" w:type="dxa"/>
          </w:tcPr>
          <w:p>
            <w:pPr/>
            <w:r>
              <w:rPr/>
              <w:t xml:space="preserve">Number</w:t>
            </w:r>
          </w:p>
        </w:tc>
        <w:tc>
          <w:tcPr>
            <w:tcW w:w="2000" w:type="dxa"/>
          </w:tcPr>
          <w:p>
            <w:pPr/>
            <w:r>
              <w:rPr/>
              <w:t xml:space="preserve">Rate at which recovery shall be made from the contractor in the event of not fulfilling provision of clause 36(i)</w:t>
            </w:r>
          </w:p>
        </w:tc>
      </w:tr>
      <w:tr>
        <w:trPr/>
        <w:tc>
          <w:tcPr>
            <w:tcW w:w="500" w:type="dxa"/>
          </w:tcPr>
          <w:p>
            <w:pPr/>
            <w:r>
              <w:rPr/>
              <w:t xml:space="preserve"/>
            </w:r>
          </w:p>
        </w:tc>
        <w:tc>
          <w:tcPr>
            <w:tcW w:w="2000" w:type="dxa"/>
          </w:tcPr>
          <w:p>
            <w:pPr/>
            <w:r>
              <w:rPr/>
              <w:t xml:space="preserve"/>
            </w:r>
          </w:p>
        </w:tc>
        <w:tc>
          <w:tcPr>
            <w:tcW w:w="1000" w:type="dxa"/>
          </w:tcPr>
          <w:p>
            <w:pPr/>
            <w:r>
              <w:rPr/>
              <w:t xml:space="preserve"/>
            </w:r>
          </w:p>
        </w:tc>
        <w:tc>
          <w:tcPr>
            <w:tcW w:w="1000" w:type="dxa"/>
          </w:tcPr>
          <w:p>
            <w:pPr/>
            <w:r>
              <w:rPr/>
              <w:t xml:space="preserve">----</w:t>
            </w:r>
          </w:p>
        </w:tc>
        <w:tc>
          <w:tcPr>
            <w:tcW w:w="1000" w:type="dxa"/>
          </w:tcPr>
          <w:p>
            <w:pPr/>
            <w:r>
              <w:rPr/>
              <w:t xml:space="preserve"/>
            </w:r>
          </w:p>
        </w:tc>
        <w:tc>
          <w:tcPr>
            <w:tcW w:w="500" w:type="dxa"/>
          </w:tcPr>
          <w:p>
            <w:pPr/>
            <w:r>
              <w:rPr/>
              <w:t xml:space="preserve"/>
            </w:r>
          </w:p>
        </w:tc>
        <w:tc>
          <w:tcPr>
            <w:tcW w:w="2000" w:type="dxa"/>
          </w:tcPr>
          <w:p>
            <w:pPr/>
            <w:r>
              <w:rPr/>
              <w:t xml:space="preserve"/>
            </w:r>
          </w:p>
        </w:tc>
      </w:tr>
    </w:tbl>
    <w:p>
      <w:pPr/>
      <w:r>
        <w:rPr/>
        <w:t xml:space="preserve">Assistant Engineers retired from Government services that are holding Diploma will be treated at par with Graduate Engineers.</w:t>
      </w:r>
    </w:p>
    <w:p>
      <w:pPr/>
      <w:r>
        <w:rPr>
          <w:b w:val="1"/>
          <w:bCs w:val="1"/>
        </w:rPr>
        <w:t xml:space="preserve">Clause 42</w:t>
      </w:r>
    </w:p>
    <w:p>
      <w:pPr/>
      <w:r>
        <w:rPr>
          <w:b w:val="1"/>
          <w:bCs w:val="1"/>
        </w:rPr>
        <w:t xml:space="preserve">(I) Schedule / statement for determining theoretical quantity of cement &amp; bitumen on the basis of BARC Provisional Schedule of Rates 2021 printed by BARC</w:t>
      </w:r>
    </w:p>
    <w:p>
      <w:pPr/>
      <w:r>
        <w:rPr/>
        <w:t xml:space="preserve">(II) Variations permissible on theoretical quantities</w:t>
      </w:r>
    </w:p>
    <w:p>
      <w:pPr/>
      <w:r>
        <w:rPr>
          <w:b w:val="1"/>
          <w:bCs w:val="1"/>
        </w:rPr>
        <w:t xml:space="preserve">(a) Cement</w:t>
      </w:r>
    </w:p>
    <w:p>
      <w:pPr/>
      <w:r>
        <w:rPr/>
        <w:t xml:space="preserve">   For works with estimated cost put to tender not more than Rs.5 Lakhs: 3% plus / minus</w:t>
      </w:r>
    </w:p>
    <w:p>
      <w:pPr/>
      <w:r>
        <w:rPr/>
        <w:t xml:space="preserve">   For works with estimated cost put to tender more than Rs.5 Lakhs: 2% plus / minus</w:t>
      </w:r>
    </w:p>
    <w:p>
      <w:pPr/>
      <w:r>
        <w:rPr/>
        <w:t xml:space="preserve">(b) Bitumen all works: 2.5% plus only &amp; nil on minus side</w:t>
      </w:r>
    </w:p>
    <w:p>
      <w:pPr/>
      <w:r>
        <w:rPr/>
        <w:t xml:space="preserve">(c) Steel Reinforcement and structural steel Sections for each diameter, section, and category: 2% plus / minus</w:t>
      </w:r>
    </w:p>
    <w:p>
      <w:pPr/>
      <w:r>
        <w:rPr/>
        <w:t xml:space="preserve">(d) All other materials: Nil</w:t>
      </w:r>
    </w:p>
    <w:p>
      <w:pPr/>
      <w:r>
        <w:rPr>
          <w:b w:val="1"/>
          <w:bCs w:val="1"/>
        </w:rPr>
        <w:t xml:space="preserve">RECOVERY RATES FOR QUANTITIES BEYOND PERMISSIBLE VARIATION</w:t>
      </w:r>
    </w:p>
    <w:tbl>
      <w:tblGrid>
        <w:gridCol w:w="300" w:type="dxa"/>
        <w:gridCol w:w="4000" w:type="dxa"/>
        <w:gridCol w:w="3000" w:type="dxa"/>
        <w:gridCol w:w="1500" w:type="dxa"/>
      </w:tblGrid>
      <w:tblPr>
        <w:tblStyle w:val="recoveryTable"/>
      </w:tblPr>
      <w:tr>
        <w:trPr/>
        <w:tc>
          <w:tcPr>
            <w:tcW w:w="300" w:type="dxa"/>
          </w:tcPr>
          <w:p>
            <w:pPr/>
            <w:r>
              <w:rPr/>
              <w:t xml:space="preserve">Sl. No.</w:t>
            </w:r>
          </w:p>
        </w:tc>
        <w:tc>
          <w:tcPr>
            <w:tcW w:w="4000" w:type="dxa"/>
          </w:tcPr>
          <w:p>
            <w:pPr/>
            <w:r>
              <w:rPr/>
              <w:t xml:space="preserve">Description of Item</w:t>
            </w:r>
          </w:p>
        </w:tc>
        <w:tc>
          <w:tcPr>
            <w:tcW w:w="3000" w:type="dxa"/>
          </w:tcPr>
          <w:p>
            <w:pPr/>
            <w:r>
              <w:rPr/>
              <w:t xml:space="preserve">Rates in figures and words at which recovery shall be made from the contractor</w:t>
            </w:r>
          </w:p>
        </w:tc>
        <w:tc>
          <w:tcPr>
            <w:tcW w:w="1500" w:type="dxa"/>
          </w:tcPr>
          <w:p>
            <w:pPr/>
            <w:r>
              <w:rPr/>
              <w:t xml:space="preserve"/>
            </w:r>
          </w:p>
        </w:tc>
      </w:tr>
      <w:tr>
        <w:trPr/>
        <w:tc>
          <w:tcPr>
            <w:tcW w:w="300" w:type="dxa"/>
          </w:tcPr>
          <w:p>
            <w:pPr/>
            <w:r>
              <w:rPr/>
              <w:t xml:space="preserve"/>
            </w:r>
          </w:p>
        </w:tc>
        <w:tc>
          <w:tcPr>
            <w:tcW w:w="4000" w:type="dxa"/>
          </w:tcPr>
          <w:p>
            <w:pPr/>
            <w:r>
              <w:rPr/>
              <w:t xml:space="preserve"/>
            </w:r>
          </w:p>
        </w:tc>
        <w:tc>
          <w:tcPr>
            <w:tcW w:w="1500" w:type="dxa"/>
          </w:tcPr>
          <w:p>
            <w:pPr/>
            <w:r>
              <w:rPr/>
              <w:t xml:space="preserve">Excess beyond permissible variation in Dept. issues</w:t>
            </w:r>
          </w:p>
        </w:tc>
        <w:tc>
          <w:tcPr>
            <w:tcW w:w="1500" w:type="dxa"/>
          </w:tcPr>
          <w:p>
            <w:pPr/>
            <w:r>
              <w:rPr/>
              <w:t xml:space="preserve">Less use beyond the permissible variation</w:t>
            </w:r>
          </w:p>
        </w:tc>
      </w:tr>
      <w:tr>
        <w:trPr/>
        <w:tc>
          <w:tcPr>
            <w:tcW w:w="300" w:type="dxa"/>
          </w:tcPr>
          <w:p>
            <w:pPr/>
            <w:r>
              <w:rPr/>
              <w:t xml:space="preserve">1</w:t>
            </w:r>
          </w:p>
        </w:tc>
        <w:tc>
          <w:tcPr>
            <w:tcW w:w="4000" w:type="dxa"/>
          </w:tcPr>
          <w:p>
            <w:pPr/>
            <w:r>
              <w:rPr/>
              <w:t xml:space="preserve">CEMENT</w:t>
            </w:r>
          </w:p>
        </w:tc>
        <w:tc>
          <w:tcPr>
            <w:tcW w:w="1500" w:type="dxa"/>
          </w:tcPr>
          <w:p>
            <w:pPr/>
            <w:r>
              <w:rPr/>
              <w:t xml:space="preserve">-- /- per MT</w:t>
            </w:r>
          </w:p>
        </w:tc>
        <w:tc>
          <w:tcPr>
            <w:tcW w:w="1500" w:type="dxa"/>
          </w:tcPr>
          <w:p>
            <w:pPr/>
            <w:r>
              <w:rPr/>
              <w:t xml:space="preserve">--</w:t>
            </w:r>
          </w:p>
        </w:tc>
      </w:tr>
      <w:tr>
        <w:trPr/>
        <w:tc>
          <w:tcPr>
            <w:tcW w:w="300" w:type="dxa"/>
          </w:tcPr>
          <w:p>
            <w:pPr/>
            <w:r>
              <w:rPr/>
              <w:t xml:space="preserve">2</w:t>
            </w:r>
          </w:p>
        </w:tc>
        <w:tc>
          <w:tcPr>
            <w:tcW w:w="4000" w:type="dxa"/>
          </w:tcPr>
          <w:p>
            <w:pPr/>
            <w:r>
              <w:rPr/>
              <w:t xml:space="preserve">Reinforcement Steel</w:t>
            </w:r>
          </w:p>
        </w:tc>
        <w:tc>
          <w:tcPr>
            <w:tcW w:w="1500" w:type="dxa"/>
          </w:tcPr>
          <w:p>
            <w:pPr/>
            <w:r>
              <w:rPr/>
              <w:t xml:space="preserve">-- /- per MT</w:t>
            </w:r>
          </w:p>
        </w:tc>
        <w:tc>
          <w:tcPr>
            <w:tcW w:w="1500" w:type="dxa"/>
          </w:tcPr>
          <w:p>
            <w:pPr/>
            <w:r>
              <w:rPr/>
              <w:t xml:space="preserve">--</w:t>
            </w:r>
          </w:p>
        </w:tc>
      </w:tr>
      <w:tr>
        <w:trPr/>
        <w:tc>
          <w:tcPr>
            <w:tcW w:w="300" w:type="dxa"/>
          </w:tcPr>
          <w:p>
            <w:pPr/>
            <w:r>
              <w:rPr/>
              <w:t xml:space="preserve"/>
            </w:r>
          </w:p>
        </w:tc>
        <w:tc>
          <w:tcPr>
            <w:tcW w:w="4000" w:type="dxa"/>
          </w:tcPr>
          <w:p>
            <w:pPr/>
            <w:r>
              <w:rPr/>
              <w:t xml:space="preserve"/>
            </w:r>
          </w:p>
        </w:tc>
        <w:tc>
          <w:tcPr>
            <w:tcW w:w="1500" w:type="dxa"/>
          </w:tcPr>
          <w:p>
            <w:pPr/>
            <w:r>
              <w:rPr/>
              <w:t xml:space="preserve"/>
            </w:r>
          </w:p>
        </w:tc>
        <w:tc>
          <w:tcPr>
            <w:tcW w:w="1500" w:type="dxa"/>
          </w:tcPr>
          <w:p>
            <w:pPr/>
            <w:r>
              <w:rPr/>
              <w:t xml:space="preserve"/>
            </w:r>
          </w:p>
        </w:tc>
      </w:tr>
      <w:tr>
        <w:trPr/>
        <w:tc>
          <w:tcPr>
            <w:tcW w:w="300" w:type="dxa"/>
          </w:tcPr>
          <w:p>
            <w:pPr/>
            <w:r>
              <w:rPr/>
              <w:t xml:space="preserve"/>
            </w:r>
          </w:p>
        </w:tc>
        <w:tc>
          <w:tcPr>
            <w:tcW w:w="4000" w:type="dxa"/>
          </w:tcPr>
          <w:p>
            <w:pPr/>
            <w:r>
              <w:rPr/>
              <w:t xml:space="preserve"/>
            </w:r>
          </w:p>
        </w:tc>
        <w:tc>
          <w:tcPr>
            <w:tcW w:w="1500" w:type="dxa"/>
          </w:tcPr>
          <w:p>
            <w:pPr/>
            <w:r>
              <w:rPr/>
              <w:t xml:space="preserve"/>
            </w:r>
          </w:p>
        </w:tc>
        <w:tc>
          <w:tcPr>
            <w:tcW w:w="1500" w:type="dxa"/>
          </w:tcPr>
          <w:p>
            <w:pPr/>
            <w:r>
              <w:rPr/>
              <w:t xml:space="preserve"/>
            </w:r>
          </w:p>
        </w:tc>
      </w:tr>
    </w:tbl>
    <w:p>
      <w:pPr/>
    </w:p>
    <w:p>
      <w:pPr/>
    </w:p>
    <w:p>
      <w:pPr/>
      <w:r>
        <w:rPr>
          <w:sz w:val="22"/>
          <w:szCs w:val="22"/>
          <w:b w:val="1"/>
          <w:bCs w:val="1"/>
        </w:rPr>
        <w:t xml:space="preserve">Prepared By</w:t>
      </w:r>
      <w:r>
        <w:rPr/>
        <w:t xml:space="preserve">                                                                                     </w:t>
      </w:r>
      <w:r>
        <w:rPr>
          <w:sz w:val="22"/>
          <w:szCs w:val="22"/>
          <w:b w:val="1"/>
          <w:bCs w:val="1"/>
        </w:rPr>
        <w:t xml:space="preserve">Approved</w:t>
      </w:r>
    </w:p>
    <w:p>
      <w:pPr/>
    </w:p>
    <w:p>
      <w:pPr/>
    </w:p>
    <w:p>
      <w:pPr/>
    </w:p>
    <w:p>
      <w:pPr/>
    </w:p>
    <w:p>
      <w:pPr/>
    </w:p>
    <w:p>
      <w:pPr/>
      <w:r>
        <w:rPr>
          <w:sz w:val="22"/>
          <w:szCs w:val="22"/>
          <w:b w:val="1"/>
          <w:bCs w:val="1"/>
        </w:rPr>
        <w:t xml:space="preserve">SO/E,CED</w:t>
      </w:r>
      <w:r>
        <w:rPr/>
        <w:t xml:space="preserve">                              </w:t>
      </w:r>
      <w:r>
        <w:rPr>
          <w:sz w:val="22"/>
          <w:szCs w:val="22"/>
          <w:b w:val="1"/>
          <w:bCs w:val="1"/>
        </w:rPr>
        <w:t xml:space="preserve">SE(P) &amp; HQS,CED</w:t>
      </w:r>
      <w:r>
        <w:rPr/>
        <w:t xml:space="preserve">                              </w:t>
      </w:r>
      <w:r>
        <w:rPr>
          <w:sz w:val="22"/>
          <w:szCs w:val="22"/>
          <w:b w:val="1"/>
          <w:bCs w:val="1"/>
        </w:rPr>
        <w:t xml:space="preserve">Head &amp; CE,CED</w:t>
      </w:r>
    </w:p>
    <w:p/>
    <w:p/>
    <w:p>
      <w:pPr>
        <w:jc w:val="center"/>
      </w:pPr>
      <w:r>
        <w:rPr>
          <w:sz w:val="22"/>
          <w:szCs w:val="22"/>
          <w:b w:val="1"/>
          <w:bCs w:val="1"/>
          <w:u w:val="single"/>
        </w:rPr>
        <w:t xml:space="preserve">Sch. A to F for NIT No. BARC/CED/ET/61/2023-2024 Dated 25/01/2024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table1">
    <w:name w:val="table1"/>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C">
    <w:name w:val="tableC"/>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D">
    <w:name w:val="tableD"/>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F">
    <w:name w:val="tableF"/>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E">
    <w:name w:val="tableE"/>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G">
    <w:name w:val="tableG"/>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H">
    <w:name w:val="tableH"/>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tableI">
    <w:name w:val="tableI"/>
    <w:uiPriority w:val="99"/>
    <w:tblPr>
      <w:tblW w:w="0" w:type="auto"/>
      <w:tblLayout w:type="autofit"/>
      <w:bidiVisual w:val="0"/>
      <w:tblBorders>
        <w:top w:val="single" w:sz="6"/>
        <w:left w:val="single" w:sz="6"/>
        <w:right w:val="single" w:sz="6"/>
        <w:bottom w:val="single" w:sz="6"/>
        <w:insideH w:val="single" w:sz="6"/>
        <w:insideV w:val="single" w:sz="6"/>
      </w:tblBorders>
    </w:tblPr>
  </w:style>
  <w:style w:type="table" w:customStyle="1" w:styleId="recoveryTable">
    <w:name w:val="recoveryTable"/>
    <w:uiPriority w:val="99"/>
    <w:tblPr>
      <w:tblW w:w="0" w:type="auto"/>
      <w:tblLayout w:type="autofit"/>
      <w:bidiVisual w:val="0"/>
      <w:tblBorders>
        <w:top w:val="single" w:sz="6"/>
        <w:left w:val="single" w:sz="6"/>
        <w:right w:val="single" w:sz="6"/>
        <w:bottom w:val="single" w:sz="6"/>
        <w:insideH w:val="single" w:sz="6"/>
        <w:insideV w:val="single" w:sz="6"/>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2024-01-25T12:00:08+05:30</dcterms:created>
  <dcterms:modified xsi:type="dcterms:W3CDTF">2024-01-25T12:00:08+05:30</dcterms:modified>
</cp:coreProperties>
</file>

<file path=docProps/custom.xml><?xml version="1.0" encoding="utf-8"?>
<Properties xmlns="http://schemas.openxmlformats.org/officeDocument/2006/custom-properties" xmlns:vt="http://schemas.openxmlformats.org/officeDocument/2006/docPropsVTypes"/>
</file>