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Brute Force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divide n by i starting from i=1 till k-factors found(worst case goes till 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store all factors in an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return k-th factor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-&gt; O(n)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Space -&gt; O(n) (to store the factors)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factors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n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%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factors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count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+=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k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i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99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Efficient/ less than 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find ony factors till root(n)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 Every factor must have its pair, that is if we have a d that can divide n then n/d can also divide 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 Except 1 case: n/d = d eg to find factors of 4 till root(4) -&gt; 2 we have [1,2] and 4/2 = 2 d=2 and n/d=2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 store 1 to root(n) in 1 array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5) store reverse pairs in another(to create a sorted array of factors)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6) return k-th factor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Time -&gt; O(sqrt(n))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Space -&gt; O(sqrt(n)) -&gt; atmost 2*sqrt(n) factors available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factors = []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f2 = []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root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(sqrt(n))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root+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n%i==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factors.append(i)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f2.append(n//i)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remove matching or mid factor if exists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factors[-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f2[-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f2.pop()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factors += f2[::-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(factors) &gt;= k: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factors[k-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    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