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EE18F" w14:textId="77777777" w:rsid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 데이터 및 변수 (Data and Variables)</w:t>
      </w:r>
    </w:p>
    <w:p w14:paraId="3384F6FF" w14:textId="77777777" w:rsidR="00261CF5" w:rsidRPr="00261CF5" w:rsidRDefault="00261CF5" w:rsidP="00261CF5">
      <w:pPr>
        <w:spacing w:before="0" w:after="0"/>
        <w:rPr>
          <w:b/>
          <w:bCs/>
        </w:rPr>
      </w:pPr>
    </w:p>
    <w:p w14:paraId="7F700ADB" w14:textId="77777777" w:rsidR="00261CF5" w:rsidRP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3.1 데이터 구성 및 선정 배경</w:t>
      </w:r>
    </w:p>
    <w:p w14:paraId="3787F612" w14:textId="77777777" w:rsidR="00261CF5" w:rsidRDefault="00261CF5" w:rsidP="00261CF5">
      <w:pPr>
        <w:spacing w:before="0" w:after="0"/>
        <w:rPr>
          <w:b/>
          <w:bCs/>
        </w:rPr>
      </w:pPr>
    </w:p>
    <w:p w14:paraId="085D6095" w14:textId="0F046AF5" w:rsidR="00261CF5" w:rsidRPr="00261CF5" w:rsidRDefault="00261CF5" w:rsidP="00261CF5">
      <w:pPr>
        <w:spacing w:before="0" w:after="0"/>
      </w:pPr>
      <w:r w:rsidRPr="00261CF5">
        <w:t>본 연구는 코스피(KOSPI) 시장의 버블 발생 가능성을 예측하기 위하여 시장 밸류에이션 변수, 거시경제 및 유동성 변수, 그리고 투자자 수급 변수를 포함한 시계열 데이터를 사용하였다. 주식시장 버블은 기업의 기초가치 변화만으로 설명되지 않는 가격 상승 현상으로, 기업의 실질 가치 대비 가격의 과도한 상승, 시장 내 유동성 증가, 그리고 투자자 자금 유입과 같은 요인들이 복합적으로 작용하여 형성되는 것으로 알려져 있다.</w:t>
      </w:r>
    </w:p>
    <w:p w14:paraId="014EF2B3" w14:textId="77777777" w:rsidR="00261CF5" w:rsidRPr="00261CF5" w:rsidRDefault="00261CF5" w:rsidP="00261CF5">
      <w:pPr>
        <w:spacing w:before="0" w:after="0"/>
      </w:pPr>
      <w:r w:rsidRPr="00261CF5">
        <w:t>특히, 자산가격이 기업의 이익이나 자산과 같은 펀더멘털 대비 지속적으로 높은 수준을 유지하는 현상은 시장의 과대평가 상태를 의미하며, 이는 버블 형성의 주요 특징으로 간주된다 (Shiller, 2000). 또한 중앙은행의 통화정책 완화로 인해 시장 내 유동성이 증가할 경우 투자자들은 상대적으로 높은 수익률을 기대할 수 있는 주식시장으로 자금을 이동시키게 되며, 이는 자산가격 상승 압력으로 작용할 수 있다 (Bernanke &amp; Gertler, 2001). 더불어 주식시장에서 실제로 발생하는 투자자 자금 흐름은 시장 가격 형성에 직접적인 영향을 미치며, 특히 외국인 및 기관 투자자의 순매수 증가는 시장 상승의 중요한 요인으로 작용할 수 있다 (Baker &amp; Wurgler, 2006).</w:t>
      </w:r>
    </w:p>
    <w:p w14:paraId="4CC163D7" w14:textId="77777777" w:rsidR="00261CF5" w:rsidRPr="00261CF5" w:rsidRDefault="00261CF5" w:rsidP="00261CF5">
      <w:pPr>
        <w:spacing w:before="0" w:after="0"/>
      </w:pPr>
      <w:r w:rsidRPr="00261CF5">
        <w:t>또한 선행연구에서는 거시경제 변수, 특히 GDP 성장률, 물가 수준, 금리와 같은 변수들이 자산가격 버블 예측에 중요한 역할을 하는 것으로 나타났다. 경제 성장률은 기업 실적 개선 기대와 투자 심리를 반영하며, 물가 및 금리는 시장 내 유동성과 투자 환경을 나타내는 중요한 지표로 작용한다. 이러한 변수들은 자산가격 상승의 거시경제적 배경을 설명하는 핵심 요인으로 활용될 수 있다.</w:t>
      </w:r>
    </w:p>
    <w:p w14:paraId="32200C65" w14:textId="77777777" w:rsidR="00261CF5" w:rsidRPr="00261CF5" w:rsidRDefault="00261CF5" w:rsidP="00261CF5">
      <w:pPr>
        <w:spacing w:before="0" w:after="0"/>
      </w:pPr>
      <w:r w:rsidRPr="00261CF5">
        <w:t>따라서 본 연구는 코스피 시장의 버블 형성과 관련된 주요 요인을 종합적으로 반영하기 위해 시장 밸류에이션 변수, 거시경제 및 유동성 변수, 그리고 투자자 수급 변수를 포함하였다.</w:t>
      </w:r>
    </w:p>
    <w:p w14:paraId="1288431B" w14:textId="77777777" w:rsidR="00261CF5" w:rsidRPr="00261CF5" w:rsidRDefault="00261CF5" w:rsidP="00261CF5">
      <w:pPr>
        <w:spacing w:before="0" w:after="0"/>
      </w:pPr>
      <w:r w:rsidRPr="00261CF5">
        <w:t>분석 기간은 2005년 1월부터 2025년 12월까지로 설정하였다. 해당 기간은 글로벌 금융위기(2008년), 유럽 재정위기(2011년), 그리고 COVID-19 이후 유동성 확대 시기(2020년 이후) 등 다양한 시장 국면을 포함하고 있어, 시장 과열 및 버블 형성과 붕괴가 반복적으로 나타난 시기를 모두 포함한다는 점에서 버블 예측 모델을 구축하기에 적합하다.</w:t>
      </w:r>
    </w:p>
    <w:p w14:paraId="10831012" w14:textId="77777777" w:rsidR="00261CF5" w:rsidRPr="00261CF5" w:rsidRDefault="00261CF5" w:rsidP="00261CF5">
      <w:pPr>
        <w:spacing w:before="0" w:after="0"/>
      </w:pPr>
      <w:r w:rsidRPr="00261CF5">
        <w:t>데이터는 국내 금융시장 및 거시경제 데이터를 체계적으로 제공하는 FnGuide DataGuide와 한국은행 경제통계시스템(ECOS)을 통해 수집하였다.</w:t>
      </w:r>
    </w:p>
    <w:p w14:paraId="0F0C2AEE" w14:textId="77777777" w:rsidR="00261CF5" w:rsidRPr="00261CF5" w:rsidRDefault="00161CFA" w:rsidP="00261CF5">
      <w:pPr>
        <w:spacing w:before="0" w:after="0"/>
        <w:rPr>
          <w:b/>
          <w:bCs/>
        </w:rPr>
      </w:pPr>
      <w:r w:rsidRPr="00261CF5">
        <w:rPr>
          <w:b/>
          <w:bCs/>
          <w:noProof/>
        </w:rPr>
        <w:pict w14:anchorId="52502D1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60D79C43" w14:textId="77777777" w:rsidR="00261CF5" w:rsidRP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3.2 시장 밸류에이션 변수</w:t>
      </w:r>
    </w:p>
    <w:p w14:paraId="4A92B232" w14:textId="77777777" w:rsidR="00261CF5" w:rsidRPr="00261CF5" w:rsidRDefault="00261CF5" w:rsidP="00261CF5">
      <w:pPr>
        <w:spacing w:before="0" w:after="0"/>
      </w:pPr>
      <w:r w:rsidRPr="00261CF5">
        <w:lastRenderedPageBreak/>
        <w:t>시장 밸류에이션 변수는 주식시장의 가격 수준이 기업의 기초가치 대비 어느 정도 수준에 있는지를 측정하기 위한 변수이다. 주식시장 버블은 기업의 실제 수익이나 자산 가치의 증가 속도보다 주가 상승 속도가 더 빠르게 나타나는 현상으로 정의되며, 이러한 현상은 밸류에이션 지표의 상승을 통해 확인할 수 있다 (Shiller, 2000).</w:t>
      </w:r>
    </w:p>
    <w:p w14:paraId="78CB0BAA" w14:textId="77777777" w:rsidR="00261CF5" w:rsidRPr="00261CF5" w:rsidRDefault="00261CF5" w:rsidP="00261CF5">
      <w:pPr>
        <w:spacing w:before="0" w:after="0"/>
      </w:pPr>
      <w:r w:rsidRPr="00261CF5">
        <w:t>PER (Price-to-Earnings Ratio)는 기업의 순이익 대비 주가 수준을 나타내는 지표로, PER가 상승할 경우 투자자들이 기업의 현재 수익 대비 더 높은 가격을 지불하고 있음을 의미한다. 이는 기업의 펀더멘털 대비 주가가 과도하게 상승했을 가능성을 나타내며, 시장 과열 상태를 반영하는 중요한 지표이다.</w:t>
      </w:r>
    </w:p>
    <w:p w14:paraId="208B815B" w14:textId="77777777" w:rsidR="00261CF5" w:rsidRPr="00261CF5" w:rsidRDefault="00261CF5" w:rsidP="00261CF5">
      <w:pPr>
        <w:spacing w:before="0" w:after="0"/>
      </w:pPr>
      <w:r w:rsidRPr="00261CF5">
        <w:t>PBR (Price-to-Book Ratio)은 기업의 순자산 대비 시장가격 수준을 나타내는 지표로, PBR이 높은 수준을 유지하는 경우 이는 기업의 자산 가치 대비 시장가격이 높게 형성되어 있음을 의미하며, 시장의 과대평가 가능성을 시사한다.</w:t>
      </w:r>
    </w:p>
    <w:p w14:paraId="22EE38A2" w14:textId="77777777" w:rsidR="00261CF5" w:rsidRPr="00261CF5" w:rsidRDefault="00261CF5" w:rsidP="00261CF5">
      <w:pPr>
        <w:spacing w:before="0" w:after="0"/>
      </w:pPr>
      <w:r w:rsidRPr="00261CF5">
        <w:t>또한 KOSPI Return (코스피 수익률)은 시장 전체의 가격 상승 및 하락 추세를 나타내는 변수로, 지속적인 높은 수익률은 시장 내 투자 수요 증가 및 가격 상승 압력이 존재함을 의미한다. 특히 버블 형성 과정에서는 일정 기간 동안 가격 상승이 지속되는 특징이 나타나므로, 시장 수익률은 버블 형성과 관련된 중요한 설명 변수로 활용될 수 있다.</w:t>
      </w:r>
    </w:p>
    <w:p w14:paraId="27FF57A6" w14:textId="77777777" w:rsidR="00261CF5" w:rsidRPr="00261CF5" w:rsidRDefault="00261CF5" w:rsidP="00261CF5">
      <w:pPr>
        <w:spacing w:before="0" w:after="0"/>
      </w:pPr>
      <w:r w:rsidRPr="00261CF5">
        <w:t>따라서 본 연구에서는 시장 밸류에이션 수준과 가격 상승 추세를 반영하기 위해 다음 변수를 사용하였다.</w:t>
      </w:r>
    </w:p>
    <w:p w14:paraId="09D24902" w14:textId="77777777" w:rsidR="00261CF5" w:rsidRPr="00261CF5" w:rsidRDefault="00261CF5" w:rsidP="00261CF5">
      <w:pPr>
        <w:spacing w:before="0" w:after="0"/>
      </w:pPr>
      <w:r w:rsidRPr="00261CF5">
        <w:t>사용 변수:</w:t>
      </w:r>
      <w:r w:rsidRPr="00261CF5">
        <w:br/>
        <w:t>• KOSPI Return</w:t>
      </w:r>
      <w:r w:rsidRPr="00261CF5">
        <w:br/>
        <w:t>• PER</w:t>
      </w:r>
      <w:r w:rsidRPr="00261CF5">
        <w:br/>
        <w:t>• PBR</w:t>
      </w:r>
    </w:p>
    <w:p w14:paraId="63479310" w14:textId="77777777" w:rsidR="00261CF5" w:rsidRPr="00261CF5" w:rsidRDefault="00161CFA" w:rsidP="00261CF5">
      <w:pPr>
        <w:spacing w:before="0" w:after="0"/>
        <w:rPr>
          <w:b/>
          <w:bCs/>
        </w:rPr>
      </w:pPr>
      <w:r w:rsidRPr="00261CF5">
        <w:rPr>
          <w:b/>
          <w:bCs/>
          <w:noProof/>
        </w:rPr>
        <w:pict w14:anchorId="5FAF161E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BE1B5A3" w14:textId="77777777" w:rsidR="00261CF5" w:rsidRP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3.3 거시경제 및 유동성 변수</w:t>
      </w:r>
    </w:p>
    <w:p w14:paraId="2D020C7A" w14:textId="77777777" w:rsidR="00261CF5" w:rsidRPr="00261CF5" w:rsidRDefault="00261CF5" w:rsidP="00261CF5">
      <w:pPr>
        <w:spacing w:before="0" w:after="0"/>
      </w:pPr>
      <w:r w:rsidRPr="00261CF5">
        <w:t>거시경제 및 유동성 변수는 통화정책, 시장 내 유동성, 그리고 경제 전반의 거시적 환경이 자산가격에 미치는 영향을 반영하기 위한 변수이다. 일반적으로 유동성이 증가하고 경제 성장 기대가 높아질 경우, 투자자들은 주식시장에 더 많은 자금을 투자하게 되며 이는 자산가격 상승으로 이어질 수 있다.</w:t>
      </w:r>
    </w:p>
    <w:p w14:paraId="42A56B21" w14:textId="77777777" w:rsidR="00261CF5" w:rsidRPr="00261CF5" w:rsidRDefault="00261CF5" w:rsidP="00261CF5">
      <w:pPr>
        <w:spacing w:before="0" w:after="0"/>
      </w:pPr>
      <w:r w:rsidRPr="00261CF5">
        <w:t>Base Rate (기준금리)는 중앙은행의 통화정책 방향을 나타내는 대표적인 변수로, 금리가 낮아질 경우 예금 및 채권과 같은 안전자산의 기대수익률이 감소하게 된다. 이에 따라 투자자들은 상대적으로 높은 수익률을 기대할 수 있는 주식시장으로 자금을 이동시키게 되며, 이는 주식 수요 증가와 가격 상승으로 이어질 수 있다.</w:t>
      </w:r>
    </w:p>
    <w:p w14:paraId="5F0B9D6A" w14:textId="77777777" w:rsidR="00261CF5" w:rsidRPr="00261CF5" w:rsidRDefault="00261CF5" w:rsidP="00261CF5">
      <w:pPr>
        <w:spacing w:before="0" w:after="0"/>
      </w:pPr>
      <w:r w:rsidRPr="00261CF5">
        <w:t>M2 (통화량)는 시중에 공급된 총 통화량을 나타내는 변수로, 시장 내 유동성 수준을 직접적으로 반영한다. 통화량 증가 는 투자 가능한 자금 증가를 의미하며, 이는 금융시장으로의 자금 유입 증가 및 자산가격 상승으로 이어질 수 있다.</w:t>
      </w:r>
    </w:p>
    <w:p w14:paraId="5BA2CFD6" w14:textId="77777777" w:rsidR="00261CF5" w:rsidRPr="00261CF5" w:rsidRDefault="00261CF5" w:rsidP="00261CF5">
      <w:pPr>
        <w:spacing w:before="0" w:after="0"/>
      </w:pPr>
      <w:r w:rsidRPr="00261CF5">
        <w:lastRenderedPageBreak/>
        <w:t>GDP Growth Rate (국내총생산 성장률)는 경제 성장 수준을 나타내는 대표적인 변수로, 경제 성장률이 높을 경우 기업 실적 개선 기대와 함께 투자 심리가 개선될 수 있다. 이는 주식시장으로의 자금 유입 증가와 자산가격 상승으로 이어질 가능성이 있으며, 시장 과열 및 버블 형성과 관련될 수 있다.</w:t>
      </w:r>
    </w:p>
    <w:p w14:paraId="100C26E7" w14:textId="77777777" w:rsidR="00261CF5" w:rsidRPr="00261CF5" w:rsidRDefault="00261CF5" w:rsidP="00261CF5">
      <w:pPr>
        <w:spacing w:before="0" w:after="0"/>
      </w:pPr>
      <w:r w:rsidRPr="00261CF5">
        <w:t>CPI (소비자물가지수)는 경제 내 물가 수준을 나타내는 변수로, 인플레이션 환경은 투자자의 자산 선택에 영향을 미칠 수 있다. 물가 상승은 실물자산 및 금융자산 투자 수요 증가로 이어질 수 있으며, 이는 자산가격 상승과 관련될 수 있다.</w:t>
      </w:r>
    </w:p>
    <w:p w14:paraId="3D3D1D72" w14:textId="77777777" w:rsidR="00261CF5" w:rsidRPr="00261CF5" w:rsidRDefault="00261CF5" w:rsidP="00261CF5">
      <w:pPr>
        <w:spacing w:before="0" w:after="0"/>
      </w:pPr>
      <w:r w:rsidRPr="00261CF5">
        <w:t>Long-term Interest Rate (장기금리)는 장기적인 경제 전망과 금융시장 환경을 반영하는 변수로, 장기금리 변화는 투자자의 기대 및 자산 배분 결정에 영향을 미칠 수 있다.</w:t>
      </w:r>
    </w:p>
    <w:p w14:paraId="6C9F7AB9" w14:textId="77777777" w:rsidR="00261CF5" w:rsidRPr="00261CF5" w:rsidRDefault="00261CF5" w:rsidP="00261CF5">
      <w:pPr>
        <w:spacing w:before="0" w:after="0"/>
      </w:pPr>
      <w:r w:rsidRPr="00261CF5">
        <w:t>따라서 본 연구에서는 시장 내 유동성 및 거시경제 환경을 반영하기 위해 다음 변수를 사용하였다.</w:t>
      </w:r>
    </w:p>
    <w:p w14:paraId="3D340305" w14:textId="77777777" w:rsidR="00261CF5" w:rsidRPr="00261CF5" w:rsidRDefault="00261CF5" w:rsidP="00261CF5">
      <w:pPr>
        <w:spacing w:before="0" w:after="0"/>
      </w:pPr>
      <w:r w:rsidRPr="00261CF5">
        <w:t>사용 변수:</w:t>
      </w:r>
      <w:r w:rsidRPr="00261CF5">
        <w:br/>
        <w:t>• Base Rate</w:t>
      </w:r>
      <w:r w:rsidRPr="00261CF5">
        <w:br/>
        <w:t>• M2</w:t>
      </w:r>
      <w:r w:rsidRPr="00261CF5">
        <w:br/>
        <w:t>• GDP Growth Rate</w:t>
      </w:r>
      <w:r w:rsidRPr="00261CF5">
        <w:br/>
        <w:t>• CPI</w:t>
      </w:r>
      <w:r w:rsidRPr="00261CF5">
        <w:br/>
        <w:t>• Long-term Interest Rate</w:t>
      </w:r>
    </w:p>
    <w:p w14:paraId="0F649B61" w14:textId="77777777" w:rsidR="00261CF5" w:rsidRPr="00261CF5" w:rsidRDefault="00161CFA" w:rsidP="00261CF5">
      <w:pPr>
        <w:spacing w:before="0" w:after="0"/>
        <w:rPr>
          <w:b/>
          <w:bCs/>
        </w:rPr>
      </w:pPr>
      <w:r w:rsidRPr="00261CF5">
        <w:rPr>
          <w:b/>
          <w:bCs/>
          <w:noProof/>
        </w:rPr>
        <w:pict w14:anchorId="035A985E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1A9936F" w14:textId="77777777" w:rsidR="00261CF5" w:rsidRP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3.4 투자자 수급 변수</w:t>
      </w:r>
    </w:p>
    <w:p w14:paraId="0189CFD6" w14:textId="77777777" w:rsidR="00261CF5" w:rsidRPr="00261CF5" w:rsidRDefault="00261CF5" w:rsidP="00261CF5">
      <w:pPr>
        <w:spacing w:before="0" w:after="0"/>
      </w:pPr>
      <w:r w:rsidRPr="00261CF5">
        <w:t>투자자 수급 변수는 주식시장 내 실제 자금 흐름을 반영하는 변수로, 시장 가격 변동을 설명하는 중요한 요인이다. 주식시장 가격은 기업의 기초가치뿐만 아니라 투자자의 매수 및 매도 활동에 의해 결정되며, 특히 대규모 자금을 운용하는 투자자의 거래는 시장 가격에 직접적인 영향을 미칠 수 있다 (Baker &amp; Wurgler, 2006).</w:t>
      </w:r>
    </w:p>
    <w:p w14:paraId="1EF6F54C" w14:textId="77777777" w:rsidR="00261CF5" w:rsidRPr="00261CF5" w:rsidRDefault="00261CF5" w:rsidP="00261CF5">
      <w:pPr>
        <w:spacing w:before="0" w:after="0"/>
      </w:pPr>
      <w:r w:rsidRPr="00261CF5">
        <w:t>Foreign Net Buy (외국인 순매수)는 외국인 투자자의 순자금 유입을 나타내는 변수로, 외국인 자금 유입 증가는 주식 수요 증가로 이어져 시장 상승 압력으로 작용할 수 있다.</w:t>
      </w:r>
    </w:p>
    <w:p w14:paraId="032D3311" w14:textId="77777777" w:rsidR="00261CF5" w:rsidRPr="00261CF5" w:rsidRDefault="00261CF5" w:rsidP="00261CF5">
      <w:pPr>
        <w:spacing w:before="0" w:after="0"/>
      </w:pPr>
      <w:r w:rsidRPr="00261CF5">
        <w:t>Institutional Net Buy (기관 순매수)는 기관 투자자의 순매수 규모를 나타내며, 기관 투자자는 시장 내 주요 참여자로서 자산가격 형성에 중요한 영향을 미칠 수 있다.</w:t>
      </w:r>
    </w:p>
    <w:p w14:paraId="780CB29B" w14:textId="77777777" w:rsidR="00261CF5" w:rsidRPr="00261CF5" w:rsidRDefault="00261CF5" w:rsidP="00261CF5">
      <w:pPr>
        <w:spacing w:before="0" w:after="0"/>
      </w:pPr>
      <w:r w:rsidRPr="00261CF5">
        <w:t>따라서 본 연구에서는 투자자 자금 흐름을 반영하기 위해 다음 변수를 사용하였다.</w:t>
      </w:r>
    </w:p>
    <w:p w14:paraId="1A2CD8F1" w14:textId="77777777" w:rsidR="00261CF5" w:rsidRPr="00261CF5" w:rsidRDefault="00261CF5" w:rsidP="00261CF5">
      <w:pPr>
        <w:spacing w:before="0" w:after="0"/>
      </w:pPr>
      <w:r w:rsidRPr="00261CF5">
        <w:t>사용 변수:</w:t>
      </w:r>
      <w:r w:rsidRPr="00261CF5">
        <w:br/>
        <w:t>• Foreign Net Buy</w:t>
      </w:r>
      <w:r w:rsidRPr="00261CF5">
        <w:br/>
        <w:t>• Institutional Net Buy</w:t>
      </w:r>
    </w:p>
    <w:p w14:paraId="458B4248" w14:textId="77777777" w:rsidR="00261CF5" w:rsidRPr="00261CF5" w:rsidRDefault="00161CFA" w:rsidP="00261CF5">
      <w:pPr>
        <w:spacing w:before="0" w:after="0"/>
        <w:rPr>
          <w:b/>
          <w:bCs/>
        </w:rPr>
      </w:pPr>
      <w:r w:rsidRPr="00261CF5">
        <w:rPr>
          <w:b/>
          <w:bCs/>
          <w:noProof/>
        </w:rPr>
        <w:pict w14:anchorId="590D0B4F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0A7AAEDC" w14:textId="77777777" w:rsidR="00261CF5" w:rsidRPr="00261CF5" w:rsidRDefault="00261CF5" w:rsidP="00261CF5">
      <w:pPr>
        <w:spacing w:before="0" w:after="0"/>
        <w:rPr>
          <w:b/>
          <w:bCs/>
        </w:rPr>
      </w:pPr>
      <w:r w:rsidRPr="00261CF5">
        <w:rPr>
          <w:b/>
          <w:bCs/>
        </w:rPr>
        <w:t>3.5 최종 사용 변수</w:t>
      </w:r>
    </w:p>
    <w:p w14:paraId="1F92D436" w14:textId="77777777" w:rsidR="00261CF5" w:rsidRPr="00261CF5" w:rsidRDefault="00261CF5" w:rsidP="00261CF5">
      <w:pPr>
        <w:spacing w:before="0" w:after="0"/>
      </w:pPr>
      <w:r w:rsidRPr="00261CF5">
        <w:t>본 연구에서는 코스피 시장의 버블 발생 가능성을 예측하기 위해 다음과 같은 변수를 최종 입력 변수로 사용하였다.</w:t>
      </w:r>
    </w:p>
    <w:p w14:paraId="5EE3EE7C" w14:textId="77777777" w:rsidR="00261CF5" w:rsidRPr="00261CF5" w:rsidRDefault="00261CF5" w:rsidP="00261CF5">
      <w:pPr>
        <w:spacing w:before="0" w:after="0"/>
      </w:pPr>
      <w:r w:rsidRPr="00261CF5">
        <w:lastRenderedPageBreak/>
        <w:t>• KOSPI Return</w:t>
      </w:r>
      <w:r w:rsidRPr="00261CF5">
        <w:br/>
        <w:t>• PER</w:t>
      </w:r>
      <w:r w:rsidRPr="00261CF5">
        <w:br/>
        <w:t>• PBR</w:t>
      </w:r>
      <w:r w:rsidRPr="00261CF5">
        <w:br/>
        <w:t>• Base Rate</w:t>
      </w:r>
      <w:r w:rsidRPr="00261CF5">
        <w:br/>
        <w:t>• M2</w:t>
      </w:r>
      <w:r w:rsidRPr="00261CF5">
        <w:br/>
        <w:t>• GDP Growth Rate</w:t>
      </w:r>
      <w:r w:rsidRPr="00261CF5">
        <w:br/>
        <w:t>• CPI</w:t>
      </w:r>
      <w:r w:rsidRPr="00261CF5">
        <w:br/>
        <w:t>• Long-term Interest Rate</w:t>
      </w:r>
      <w:r w:rsidRPr="00261CF5">
        <w:br/>
        <w:t>• Foreign Net Buy</w:t>
      </w:r>
      <w:r w:rsidRPr="00261CF5">
        <w:br/>
        <w:t>• Institutional Net Buy</w:t>
      </w:r>
    </w:p>
    <w:p w14:paraId="69410733" w14:textId="77777777" w:rsidR="00261CF5" w:rsidRPr="00261CF5" w:rsidRDefault="00261CF5" w:rsidP="00261CF5">
      <w:pPr>
        <w:spacing w:before="0" w:after="0"/>
      </w:pPr>
      <w:r w:rsidRPr="00261CF5">
        <w:t>이러한 변수들은 각각 시장 밸류에이션 수준, 거시경제 및 유동성 환경, 그리고 투자자 자금 흐름을 반영하며, 자산가격 버블 형성과 관련된 주요 요인을 종합적으로 설명할 수 있는 변수 구성이다.</w:t>
      </w:r>
    </w:p>
    <w:p w14:paraId="7EBE2EE7" w14:textId="77777777" w:rsidR="00261CF5" w:rsidRPr="00261CF5" w:rsidRDefault="00161CFA" w:rsidP="00261CF5">
      <w:pPr>
        <w:spacing w:before="0" w:after="0"/>
        <w:rPr>
          <w:b/>
          <w:bCs/>
        </w:rPr>
      </w:pPr>
      <w:r w:rsidRPr="00261CF5">
        <w:rPr>
          <w:b/>
          <w:bCs/>
          <w:noProof/>
        </w:rPr>
        <w:pict w14:anchorId="510CD1B2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18F6EE67" w14:textId="77777777" w:rsidR="0087285C" w:rsidRPr="00205CAA" w:rsidRDefault="0087285C" w:rsidP="0087285C">
      <w:pPr>
        <w:spacing w:before="0" w:after="0"/>
        <w:rPr>
          <w:b/>
          <w:bCs/>
        </w:rPr>
      </w:pPr>
      <w:r w:rsidRPr="00205CAA">
        <w:rPr>
          <w:b/>
          <w:bCs/>
        </w:rPr>
        <w:t>References</w:t>
      </w:r>
    </w:p>
    <w:p w14:paraId="5424A8D1" w14:textId="77777777" w:rsidR="0087285C" w:rsidRPr="00205CAA" w:rsidRDefault="0087285C" w:rsidP="0087285C">
      <w:pPr>
        <w:spacing w:before="0" w:after="0"/>
      </w:pPr>
      <w:r w:rsidRPr="00205CAA">
        <w:t>Shiller, R. J. (2000). </w:t>
      </w:r>
      <w:r w:rsidRPr="00205CAA">
        <w:rPr>
          <w:i/>
          <w:iCs/>
        </w:rPr>
        <w:t>Irrational Exuberance</w:t>
      </w:r>
      <w:r w:rsidRPr="00205CAA">
        <w:t>. Princeton University Press.</w:t>
      </w:r>
    </w:p>
    <w:p w14:paraId="1D6D2F62" w14:textId="77777777" w:rsidR="0087285C" w:rsidRPr="00205CAA" w:rsidRDefault="0087285C" w:rsidP="0087285C">
      <w:pPr>
        <w:spacing w:before="0" w:after="0"/>
      </w:pPr>
      <w:r w:rsidRPr="00205CAA">
        <w:t>Bernanke, B. S., &amp; Gertler, M. (2001). Should central banks respond to asset prices? </w:t>
      </w:r>
      <w:r w:rsidRPr="00205CAA">
        <w:rPr>
          <w:i/>
          <w:iCs/>
        </w:rPr>
        <w:t>American Economic Review</w:t>
      </w:r>
      <w:r w:rsidRPr="00205CAA">
        <w:t>, 91(2), 253–257.</w:t>
      </w:r>
    </w:p>
    <w:p w14:paraId="00BF8F7B" w14:textId="77777777" w:rsidR="0087285C" w:rsidRPr="00205CAA" w:rsidRDefault="0087285C" w:rsidP="0087285C">
      <w:pPr>
        <w:spacing w:before="0" w:after="0"/>
      </w:pPr>
      <w:r w:rsidRPr="00205CAA">
        <w:t>Baker, M., &amp; Wurgler, J. (2006). Investor sentiment and the cross-section of stock returns. </w:t>
      </w:r>
      <w:r w:rsidRPr="00205CAA">
        <w:rPr>
          <w:i/>
          <w:iCs/>
        </w:rPr>
        <w:t>Journal of Finance</w:t>
      </w:r>
      <w:r w:rsidRPr="00205CAA">
        <w:t>, 61(4), 1645–1680.</w:t>
      </w:r>
    </w:p>
    <w:p w14:paraId="0301825B" w14:textId="183E8979" w:rsidR="007161AF" w:rsidRPr="00261CF5" w:rsidRDefault="007161AF" w:rsidP="007161AF">
      <w:pPr>
        <w:spacing w:before="0" w:after="0"/>
        <w:rPr>
          <w:rFonts w:hint="eastAsia"/>
        </w:rPr>
      </w:pPr>
    </w:p>
    <w:sectPr w:rsidR="007161AF" w:rsidRPr="00261CF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334F4"/>
    <w:multiLevelType w:val="multilevel"/>
    <w:tmpl w:val="5D7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1604A3"/>
    <w:multiLevelType w:val="multilevel"/>
    <w:tmpl w:val="3F3E9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671957"/>
    <w:multiLevelType w:val="multilevel"/>
    <w:tmpl w:val="A2365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4B05"/>
    <w:multiLevelType w:val="multilevel"/>
    <w:tmpl w:val="AA121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55183"/>
    <w:multiLevelType w:val="multilevel"/>
    <w:tmpl w:val="CDCA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FC510E"/>
    <w:multiLevelType w:val="multilevel"/>
    <w:tmpl w:val="ACDE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72806"/>
    <w:multiLevelType w:val="multilevel"/>
    <w:tmpl w:val="4240D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04680F"/>
    <w:multiLevelType w:val="multilevel"/>
    <w:tmpl w:val="CC72E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F26040"/>
    <w:multiLevelType w:val="multilevel"/>
    <w:tmpl w:val="972A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893541"/>
    <w:multiLevelType w:val="multilevel"/>
    <w:tmpl w:val="7810A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8B509E"/>
    <w:multiLevelType w:val="multilevel"/>
    <w:tmpl w:val="1004A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2F41EA9"/>
    <w:multiLevelType w:val="multilevel"/>
    <w:tmpl w:val="BEF67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15A6A"/>
    <w:multiLevelType w:val="multilevel"/>
    <w:tmpl w:val="9A1C9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3841180"/>
    <w:multiLevelType w:val="multilevel"/>
    <w:tmpl w:val="0066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538F5"/>
    <w:multiLevelType w:val="multilevel"/>
    <w:tmpl w:val="9ECC7D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0E3B75"/>
    <w:multiLevelType w:val="multilevel"/>
    <w:tmpl w:val="8C90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46D26"/>
    <w:multiLevelType w:val="multilevel"/>
    <w:tmpl w:val="10D64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4249754">
    <w:abstractNumId w:val="14"/>
  </w:num>
  <w:num w:numId="2" w16cid:durableId="971442349">
    <w:abstractNumId w:val="11"/>
  </w:num>
  <w:num w:numId="3" w16cid:durableId="1703744573">
    <w:abstractNumId w:val="4"/>
  </w:num>
  <w:num w:numId="4" w16cid:durableId="198709738">
    <w:abstractNumId w:val="6"/>
  </w:num>
  <w:num w:numId="5" w16cid:durableId="1497767721">
    <w:abstractNumId w:val="13"/>
  </w:num>
  <w:num w:numId="6" w16cid:durableId="2069037158">
    <w:abstractNumId w:val="1"/>
  </w:num>
  <w:num w:numId="7" w16cid:durableId="1646666440">
    <w:abstractNumId w:val="2"/>
  </w:num>
  <w:num w:numId="8" w16cid:durableId="328410187">
    <w:abstractNumId w:val="3"/>
  </w:num>
  <w:num w:numId="9" w16cid:durableId="735318391">
    <w:abstractNumId w:val="5"/>
  </w:num>
  <w:num w:numId="10" w16cid:durableId="1648320303">
    <w:abstractNumId w:val="7"/>
  </w:num>
  <w:num w:numId="11" w16cid:durableId="1654606033">
    <w:abstractNumId w:val="10"/>
  </w:num>
  <w:num w:numId="12" w16cid:durableId="1602957059">
    <w:abstractNumId w:val="9"/>
  </w:num>
  <w:num w:numId="13" w16cid:durableId="1241405806">
    <w:abstractNumId w:val="12"/>
  </w:num>
  <w:num w:numId="14" w16cid:durableId="168297194">
    <w:abstractNumId w:val="15"/>
  </w:num>
  <w:num w:numId="15" w16cid:durableId="1295061429">
    <w:abstractNumId w:val="0"/>
  </w:num>
  <w:num w:numId="16" w16cid:durableId="1510754802">
    <w:abstractNumId w:val="8"/>
  </w:num>
  <w:num w:numId="17" w16cid:durableId="18519471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624"/>
    <w:rsid w:val="00161CFA"/>
    <w:rsid w:val="00205CAA"/>
    <w:rsid w:val="00261CF5"/>
    <w:rsid w:val="004A5ED8"/>
    <w:rsid w:val="004A61B4"/>
    <w:rsid w:val="007161AF"/>
    <w:rsid w:val="0087285C"/>
    <w:rsid w:val="008B2624"/>
    <w:rsid w:val="00A33EEB"/>
    <w:rsid w:val="00B61211"/>
    <w:rsid w:val="00D61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3C324E"/>
  <w15:chartTrackingRefBased/>
  <w15:docId w15:val="{A866AF19-4E75-B149-88F8-DDBB673A0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before="1440"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B26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B26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B26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B26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B26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B26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B26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B26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B26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B26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B26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B26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B26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B2624"/>
    <w:pPr>
      <w:spacing w:before="0"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B26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B26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B26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B26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B26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B26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B262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B26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B262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B26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968</Words>
  <Characters>3321</Characters>
  <Application>Microsoft Office Word</Application>
  <DocSecurity>0</DocSecurity>
  <Lines>132</Lines>
  <Paragraphs>63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김희승</dc:creator>
  <cp:keywords/>
  <dc:description/>
  <cp:lastModifiedBy>김희승</cp:lastModifiedBy>
  <cp:revision>2</cp:revision>
  <dcterms:created xsi:type="dcterms:W3CDTF">2026-02-14T03:41:00Z</dcterms:created>
  <dcterms:modified xsi:type="dcterms:W3CDTF">2026-02-14T04:45:00Z</dcterms:modified>
</cp:coreProperties>
</file>