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Scholarly Results Report on the AIDA Analysis of Okada Manila as the Ultimate Family Destination</w:t>
      </w:r>
    </w:p>
    <w:p>
      <w:pPr>
        <w:jc w:val="center"/>
      </w:pPr>
      <w:r>
        <w:rPr>
          <w:b/>
        </w:rPr>
        <w:t>Prepared by: Engr. Jamie Eduardo Rosal, MSCpE</w:t>
      </w:r>
    </w:p>
    <w:p>
      <w:pPr>
        <w:jc w:val="center"/>
      </w:pPr>
      <w:r>
        <w:t>Dataset: [Capstone] Okada Manila UAI Survey (Responses).xlsx</w:t>
        <w:br/>
        <w:t>Date of Analysis: June 3, 2026</w:t>
        <w:br/>
        <w:t>Main Sample: 229 qualified family respondents</w:t>
      </w:r>
    </w:p>
    <w:p>
      <w:r>
        <w:br w:type="page"/>
      </w:r>
    </w:p>
    <w:p>
      <w:pPr>
        <w:pStyle w:val="Heading1"/>
      </w:pPr>
      <w:r>
        <w:t>Abstract / Executive Summary</w:t>
      </w:r>
    </w:p>
    <w:p>
      <w:pPr/>
      <w:r>
        <w:t>This scholarly results report presents an AIDA-based analysis of survey responses concerning Okada Manila's positioning as the Ultimate Family Destination in the Philippines. The analysis used 301 raw survey responses and retained 229 qualified family respondents who indicated that they have children. The results show high baseline awareness of Okada Manila (99.6%), strong family-staycation preference (70.7%), meaningful future booking intent (52.0%), and favorable repeat-visitation sentiment (81.7%). Overall, the evidence suggests that Okada Manila already possesses strong brand salience among family travelers, while additional gains may be achieved by converting awareness and desire into action through family-focused packages, digital storytelling, loyalty initiatives, and differentiated non-gaming experiences.</w:t>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fig14_objective_scorecard.png"/>
                    <pic:cNvPicPr/>
                  </pic:nvPicPr>
                  <pic:blipFill>
                    <a:blip r:embed="rId11"/>
                    <a:stretch>
                      <a:fillRect/>
                    </a:stretch>
                  </pic:blipFill>
                  <pic:spPr>
                    <a:xfrm>
                      <a:off x="0" y="0"/>
                      <a:ext cx="5943600" cy="2971800"/>
                    </a:xfrm>
                    <a:prstGeom prst="rect"/>
                  </pic:spPr>
                </pic:pic>
              </a:graphicData>
            </a:graphic>
          </wp:inline>
        </w:drawing>
      </w:r>
    </w:p>
    <w:p>
      <w:pPr>
        <w:pStyle w:val="Caption"/>
        <w:jc w:val="center"/>
      </w:pPr>
      <w:r>
        <w:rPr>
          <w:i/>
        </w:rPr>
        <w:t>Figure 1. Objective summary scorecard based on survey-derived AIDA and campaign-relevant indicators.</w:t>
      </w:r>
    </w:p>
    <w:p>
      <w:pPr>
        <w:pStyle w:val="Heading1"/>
      </w:pPr>
      <w:r>
        <w:t>Introduction</w:t>
      </w:r>
    </w:p>
    <w:p>
      <w:pPr/>
      <w:r>
        <w:t>Okada Manila is widely recognized for luxury hospitality, entertainment, gaming, dining, and integrated resort experiences. The present analysis examines an opportunity to extend this brand relevance among Filipino families seeking premium staycations, family bonding, and leisure activities. The AIDA framework is appropriate for this evaluation because it traces a respondent's movement from brand awareness to interest, desire, and eventual action. In the context of family travel, this progression helps determine whether Okada Manila is merely known, actively considered, emotionally preferred, and behaviorally likely to receive bookings or repeat visits.</w:t>
      </w:r>
    </w:p>
    <w:p>
      <w:pPr/>
      <w:r>
        <w:t>The report is written in third-person scholarly style and focuses on the empirical results of the survey. The findings are interpreted against six marketing objectives: awareness growth, occupancy and room revenue support, family booking growth, repeat visitation, digital campaign engagement, and preference growth among family travelers.</w:t>
      </w:r>
    </w:p>
    <w:p>
      <w:pPr>
        <w:pStyle w:val="Heading1"/>
      </w:pPr>
      <w:r>
        <w:t>Methodology</w:t>
      </w:r>
    </w:p>
    <w:p>
      <w:pPr/>
      <w:r>
        <w:t>The dataset was obtained from the workbook named [Capstone] Okada Manila UAI Survey (Responses).xlsx. The raw file contained 301 responses and 56 variables. The main analytic sample was defined by the family-traveler screening item, retaining respondents who answered that they have children. This rule produced the expected qualified sample of 229 respondents and excluded 72 rows without the qualifying child-screening response.</w:t>
      </w:r>
    </w:p>
    <w:p>
      <w:pPr/>
      <w:r>
        <w:t>Data preparation involved renaming long survey items into compact analytic labels, removing identifiers from analytic tables, checking duplicate rows, documenting missingness, and converting ordinal and Likert-type items to comparable numeric measures. A cleaning caveat is noted because 2 qualified records selected 'No, I do not give my consent.' These rows were retained to match the expected qualified count but are disclosed for transparency.</w:t>
      </w:r>
    </w:p>
    <w:p>
      <w:pPr/>
      <w:r>
        <w:t>The AIDA index used normalized 0 to 100 scores. Attention combined integrated-resort awareness, Okada familiarity, media exposure breadth, and offering-recognition breadth. Interest combined family-amenity consideration, family-amenity importance, prior family-event participation, and package-interest breadth. Desire combined likelihood to book a family-friendly luxury hotel, Okada stay budget, interest in family-oriented events, and interest in experiential packages. Action combined staycation readiness, prior Okada hotel stay, planned Okada family staycation, past and planned Okada non-staycation visit frequency, and return intention for family occasions.</w:t>
      </w:r>
    </w:p>
    <w:p>
      <w:pPr>
        <w:pStyle w:val="TableTitle"/>
      </w:pPr>
      <w:r>
        <w:rPr>
          <w:b/>
        </w:rPr>
        <w:t>Table 1. Data Cleaning and Qualification Summary</w:t>
      </w:r>
    </w:p>
    <w:tbl>
      <w:tblPr>
        <w:tblStyle w:val="TableGrid"/>
        <w:tblW w:type="dxa" w:w="9360"/>
        <w:jc w:val="center"/>
        <w:tblLayout w:type="fixed"/>
        <w:tblLook w:firstColumn="1" w:firstRow="1" w:lastColumn="0" w:lastRow="0" w:noHBand="0" w:noVBand="1" w:val="04A0"/>
      </w:tblPr>
      <w:tblGrid>
        <w:gridCol w:w="4680"/>
        <w:gridCol w:w="4680"/>
      </w:tblGrid>
      <w:tr>
        <w:tc>
          <w:tcPr>
            <w:tcW w:type="dxa" w:w="6500"/>
            <w:tcMar>
              <w:top w:w="80" w:type="dxa"/>
              <w:start w:w="120" w:type="dxa"/>
              <w:bottom w:w="80" w:type="dxa"/>
              <w:end w:w="120" w:type="dxa"/>
            </w:tcMar>
            <w:vAlign w:val="center"/>
            <w:shd w:fill="F2F4F7"/>
          </w:tcPr>
          <w:p>
            <w:pPr>
              <w:spacing w:after="0" w:line="252" w:lineRule="auto"/>
            </w:pPr>
            <w:r>
              <w:rPr>
                <w:rFonts w:ascii="Calibri" w:hAnsi="Calibri"/>
                <w:b/>
                <w:color w:val="17324D"/>
                <w:sz w:val="18"/>
              </w:rPr>
              <w:t>Data Quality Check</w:t>
            </w:r>
          </w:p>
        </w:tc>
        <w:tc>
          <w:tcPr>
            <w:tcW w:type="dxa" w:w="2860"/>
            <w:tcMar>
              <w:top w:w="80" w:type="dxa"/>
              <w:start w:w="120" w:type="dxa"/>
              <w:bottom w:w="80" w:type="dxa"/>
              <w:end w:w="120" w:type="dxa"/>
            </w:tcMar>
            <w:vAlign w:val="center"/>
            <w:shd w:fill="F2F4F7"/>
          </w:tcPr>
          <w:p>
            <w:pPr>
              <w:spacing w:after="0" w:line="252" w:lineRule="auto"/>
            </w:pPr>
            <w:r>
              <w:rPr>
                <w:rFonts w:ascii="Calibri" w:hAnsi="Calibri"/>
                <w:b/>
                <w:color w:val="17324D"/>
                <w:sz w:val="18"/>
              </w:rPr>
              <w:t>Result</w:t>
            </w:r>
          </w:p>
        </w:tc>
      </w:tr>
      <w:tr>
        <w:tc>
          <w:tcPr>
            <w:tcW w:type="dxa" w:w="4680"/>
          </w:tcPr>
          <w:p>
            <w:pPr>
              <w:spacing w:after="0" w:line="252" w:lineRule="auto"/>
            </w:pPr>
            <w:r>
              <w:rPr>
                <w:rFonts w:ascii="Calibri" w:hAnsi="Calibri"/>
                <w:b w:val="0"/>
                <w:color w:val="000000"/>
                <w:sz w:val="17"/>
              </w:rPr>
              <w:t>Raw responses loaded</w:t>
            </w:r>
          </w:p>
        </w:tc>
        <w:tc>
          <w:tcPr>
            <w:tcW w:type="dxa" w:w="4680"/>
          </w:tcPr>
          <w:p>
            <w:pPr>
              <w:spacing w:after="0" w:line="252" w:lineRule="auto"/>
            </w:pPr>
            <w:r>
              <w:rPr>
                <w:rFonts w:ascii="Calibri" w:hAnsi="Calibri"/>
                <w:b w:val="0"/>
                <w:color w:val="000000"/>
                <w:sz w:val="17"/>
              </w:rPr>
              <w:t>301</w:t>
            </w:r>
          </w:p>
        </w:tc>
      </w:tr>
      <w:tr>
        <w:tc>
          <w:tcPr>
            <w:tcW w:type="dxa" w:w="4680"/>
          </w:tcPr>
          <w:p>
            <w:pPr>
              <w:spacing w:after="0" w:line="252" w:lineRule="auto"/>
            </w:pPr>
            <w:r>
              <w:rPr>
                <w:rFonts w:ascii="Calibri" w:hAnsi="Calibri"/>
                <w:b w:val="0"/>
                <w:color w:val="000000"/>
                <w:sz w:val="17"/>
              </w:rPr>
              <w:t>Raw columns loaded</w:t>
            </w:r>
          </w:p>
        </w:tc>
        <w:tc>
          <w:tcPr>
            <w:tcW w:type="dxa" w:w="4680"/>
          </w:tcPr>
          <w:p>
            <w:pPr>
              <w:spacing w:after="0" w:line="252" w:lineRule="auto"/>
            </w:pPr>
            <w:r>
              <w:rPr>
                <w:rFonts w:ascii="Calibri" w:hAnsi="Calibri"/>
                <w:b w:val="0"/>
                <w:color w:val="000000"/>
                <w:sz w:val="17"/>
              </w:rPr>
              <w:t>56</w:t>
            </w:r>
          </w:p>
        </w:tc>
      </w:tr>
      <w:tr>
        <w:tc>
          <w:tcPr>
            <w:tcW w:type="dxa" w:w="4680"/>
          </w:tcPr>
          <w:p>
            <w:pPr>
              <w:spacing w:after="0" w:line="252" w:lineRule="auto"/>
            </w:pPr>
            <w:r>
              <w:rPr>
                <w:rFonts w:ascii="Calibri" w:hAnsi="Calibri"/>
                <w:b w:val="0"/>
                <w:color w:val="000000"/>
                <w:sz w:val="17"/>
              </w:rPr>
              <w:t>Qualified family respondents</w:t>
            </w:r>
          </w:p>
        </w:tc>
        <w:tc>
          <w:tcPr>
            <w:tcW w:type="dxa" w:w="4680"/>
          </w:tcPr>
          <w:p>
            <w:pPr>
              <w:spacing w:after="0" w:line="252" w:lineRule="auto"/>
            </w:pPr>
            <w:r>
              <w:rPr>
                <w:rFonts w:ascii="Calibri" w:hAnsi="Calibri"/>
                <w:b w:val="0"/>
                <w:color w:val="000000"/>
                <w:sz w:val="17"/>
              </w:rPr>
              <w:t>229</w:t>
            </w:r>
          </w:p>
        </w:tc>
      </w:tr>
      <w:tr>
        <w:tc>
          <w:tcPr>
            <w:tcW w:type="dxa" w:w="4680"/>
          </w:tcPr>
          <w:p>
            <w:pPr>
              <w:spacing w:after="0" w:line="252" w:lineRule="auto"/>
            </w:pPr>
            <w:r>
              <w:rPr>
                <w:rFonts w:ascii="Calibri" w:hAnsi="Calibri"/>
                <w:b w:val="0"/>
                <w:color w:val="000000"/>
                <w:sz w:val="17"/>
              </w:rPr>
              <w:t>Excluded rows without Q1 = Yes</w:t>
            </w:r>
          </w:p>
        </w:tc>
        <w:tc>
          <w:tcPr>
            <w:tcW w:type="dxa" w:w="4680"/>
          </w:tcPr>
          <w:p>
            <w:pPr>
              <w:spacing w:after="0" w:line="252" w:lineRule="auto"/>
            </w:pPr>
            <w:r>
              <w:rPr>
                <w:rFonts w:ascii="Calibri" w:hAnsi="Calibri"/>
                <w:b w:val="0"/>
                <w:color w:val="000000"/>
                <w:sz w:val="17"/>
              </w:rPr>
              <w:t>72</w:t>
            </w:r>
          </w:p>
        </w:tc>
      </w:tr>
      <w:tr>
        <w:tc>
          <w:tcPr>
            <w:tcW w:type="dxa" w:w="4680"/>
          </w:tcPr>
          <w:p>
            <w:pPr>
              <w:spacing w:after="0" w:line="252" w:lineRule="auto"/>
            </w:pPr>
            <w:r>
              <w:rPr>
                <w:rFonts w:ascii="Calibri" w:hAnsi="Calibri"/>
                <w:b w:val="0"/>
                <w:color w:val="000000"/>
                <w:sz w:val="17"/>
              </w:rPr>
              <w:t>Qualified rows with no consent response</w:t>
            </w:r>
          </w:p>
        </w:tc>
        <w:tc>
          <w:tcPr>
            <w:tcW w:type="dxa" w:w="4680"/>
          </w:tcPr>
          <w:p>
            <w:pPr>
              <w:spacing w:after="0" w:line="252" w:lineRule="auto"/>
            </w:pPr>
            <w:r>
              <w:rPr>
                <w:rFonts w:ascii="Calibri" w:hAnsi="Calibri"/>
                <w:b w:val="0"/>
                <w:color w:val="000000"/>
                <w:sz w:val="17"/>
              </w:rPr>
              <w:t>2</w:t>
            </w:r>
          </w:p>
        </w:tc>
      </w:tr>
      <w:tr>
        <w:tc>
          <w:tcPr>
            <w:tcW w:type="dxa" w:w="4680"/>
          </w:tcPr>
          <w:p>
            <w:pPr>
              <w:spacing w:after="0" w:line="252" w:lineRule="auto"/>
            </w:pPr>
            <w:r>
              <w:rPr>
                <w:rFonts w:ascii="Calibri" w:hAnsi="Calibri"/>
                <w:b w:val="0"/>
                <w:color w:val="000000"/>
                <w:sz w:val="17"/>
              </w:rPr>
              <w:t>Exact duplicate qualified rows</w:t>
            </w:r>
          </w:p>
        </w:tc>
        <w:tc>
          <w:tcPr>
            <w:tcW w:type="dxa" w:w="4680"/>
          </w:tcPr>
          <w:p>
            <w:pPr>
              <w:spacing w:after="0" w:line="252" w:lineRule="auto"/>
            </w:pPr>
            <w:r>
              <w:rPr>
                <w:rFonts w:ascii="Calibri" w:hAnsi="Calibri"/>
                <w:b w:val="0"/>
                <w:color w:val="000000"/>
                <w:sz w:val="17"/>
              </w:rPr>
              <w:t>0</w:t>
            </w:r>
          </w:p>
        </w:tc>
      </w:tr>
    </w:tbl>
    <w:p>
      <w:pPr>
        <w:pStyle w:val="TableNote"/>
      </w:pPr>
      <w:r>
        <w:t>Note. The main analysis uses the expected qualified family respondent sample.</w:t>
      </w:r>
    </w:p>
    <w:p>
      <w:pPr>
        <w:pStyle w:val="Heading1"/>
      </w:pPr>
      <w:r>
        <w:t>Results</w:t>
      </w:r>
    </w:p>
    <w:p>
      <w:pPr>
        <w:pStyle w:val="Heading2"/>
      </w:pPr>
      <w:r>
        <w:t>Respondent Profile</w:t>
      </w:r>
    </w:p>
    <w:p>
      <w:pPr/>
      <w:r>
        <w:t>The sample was concentrated among adult family travelers in prime staycation decision-making age groups. The largest age group was 25 to 34 years old (36.2%), followed by adjacent working-age and parent-age segments. The profile supports the relevance of family staycation positioning because respondents were predominantly Filipino family decision-makers with children and measurable income diversity.</w:t>
      </w:r>
    </w:p>
    <w:p>
      <w:pPr>
        <w:jc w:val="center"/>
      </w:pPr>
      <w:r>
        <w:drawing>
          <wp:inline xmlns:a="http://schemas.openxmlformats.org/drawingml/2006/main" xmlns:pic="http://schemas.openxmlformats.org/drawingml/2006/picture">
            <wp:extent cx="5943600" cy="2314508"/>
            <wp:docPr id="2" name="Picture 2"/>
            <wp:cNvGraphicFramePr>
              <a:graphicFrameLocks noChangeAspect="1"/>
            </wp:cNvGraphicFramePr>
            <a:graphic>
              <a:graphicData uri="http://schemas.openxmlformats.org/drawingml/2006/picture">
                <pic:pic>
                  <pic:nvPicPr>
                    <pic:cNvPr id="0" name="fig01_age_profile.png"/>
                    <pic:cNvPicPr/>
                  </pic:nvPicPr>
                  <pic:blipFill>
                    <a:blip r:embed="rId12"/>
                    <a:stretch>
                      <a:fillRect/>
                    </a:stretch>
                  </pic:blipFill>
                  <pic:spPr>
                    <a:xfrm>
                      <a:off x="0" y="0"/>
                      <a:ext cx="5943600" cy="2314508"/>
                    </a:xfrm>
                    <a:prstGeom prst="rect"/>
                  </pic:spPr>
                </pic:pic>
              </a:graphicData>
            </a:graphic>
          </wp:inline>
        </w:drawing>
      </w:r>
    </w:p>
    <w:p>
      <w:pPr>
        <w:pStyle w:val="Caption"/>
        <w:jc w:val="center"/>
      </w:pPr>
      <w:r>
        <w:rPr>
          <w:i/>
        </w:rPr>
        <w:t>Figure 2. Respondent age profile among qualified family respondents.</w:t>
      </w:r>
    </w:p>
    <w:p>
      <w:pPr>
        <w:jc w:val="center"/>
      </w:pPr>
      <w:r>
        <w:drawing>
          <wp:inline xmlns:a="http://schemas.openxmlformats.org/drawingml/2006/main" xmlns:pic="http://schemas.openxmlformats.org/drawingml/2006/picture">
            <wp:extent cx="5943600" cy="2601199"/>
            <wp:docPr id="3" name="Picture 3"/>
            <wp:cNvGraphicFramePr>
              <a:graphicFrameLocks noChangeAspect="1"/>
            </wp:cNvGraphicFramePr>
            <a:graphic>
              <a:graphicData uri="http://schemas.openxmlformats.org/drawingml/2006/picture">
                <pic:pic>
                  <pic:nvPicPr>
                    <pic:cNvPr id="0" name="fig02_income_profile.png"/>
                    <pic:cNvPicPr/>
                  </pic:nvPicPr>
                  <pic:blipFill>
                    <a:blip r:embed="rId13"/>
                    <a:stretch>
                      <a:fillRect/>
                    </a:stretch>
                  </pic:blipFill>
                  <pic:spPr>
                    <a:xfrm>
                      <a:off x="0" y="0"/>
                      <a:ext cx="5943600" cy="2601199"/>
                    </a:xfrm>
                    <a:prstGeom prst="rect"/>
                  </pic:spPr>
                </pic:pic>
              </a:graphicData>
            </a:graphic>
          </wp:inline>
        </w:drawing>
      </w:r>
    </w:p>
    <w:p>
      <w:pPr>
        <w:pStyle w:val="Caption"/>
        <w:jc w:val="center"/>
      </w:pPr>
      <w:r>
        <w:rPr>
          <w:i/>
        </w:rPr>
        <w:t>Figure 3. Household income distribution among qualified family respondents.</w:t>
      </w:r>
    </w:p>
    <w:p>
      <w:pPr>
        <w:jc w:val="center"/>
      </w:pPr>
      <w:r>
        <w:drawing>
          <wp:inline xmlns:a="http://schemas.openxmlformats.org/drawingml/2006/main" xmlns:pic="http://schemas.openxmlformats.org/drawingml/2006/picture">
            <wp:extent cx="5943600" cy="3251499"/>
            <wp:docPr id="4" name="Picture 4"/>
            <wp:cNvGraphicFramePr>
              <a:graphicFrameLocks noChangeAspect="1"/>
            </wp:cNvGraphicFramePr>
            <a:graphic>
              <a:graphicData uri="http://schemas.openxmlformats.org/drawingml/2006/picture">
                <pic:pic>
                  <pic:nvPicPr>
                    <pic:cNvPr id="0" name="fig03_social_platform.png"/>
                    <pic:cNvPicPr/>
                  </pic:nvPicPr>
                  <pic:blipFill>
                    <a:blip r:embed="rId14"/>
                    <a:stretch>
                      <a:fillRect/>
                    </a:stretch>
                  </pic:blipFill>
                  <pic:spPr>
                    <a:xfrm>
                      <a:off x="0" y="0"/>
                      <a:ext cx="5943600" cy="3251499"/>
                    </a:xfrm>
                    <a:prstGeom prst="rect"/>
                  </pic:spPr>
                </pic:pic>
              </a:graphicData>
            </a:graphic>
          </wp:inline>
        </w:drawing>
      </w:r>
    </w:p>
    <w:p>
      <w:pPr>
        <w:pStyle w:val="Caption"/>
        <w:jc w:val="center"/>
      </w:pPr>
      <w:r>
        <w:rPr>
          <w:i/>
        </w:rPr>
        <w:t>Figure 4. Primary social media platform used most often by qualified respondents.</w:t>
      </w:r>
    </w:p>
    <w:p>
      <w:pPr>
        <w:pStyle w:val="TableTitle"/>
      </w:pPr>
      <w:r>
        <w:rPr>
          <w:b/>
        </w:rPr>
        <w:t>Table 2. Respondent Profile Frequency Summary</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1900"/>
            <w:tcMar>
              <w:top w:w="80" w:type="dxa"/>
              <w:start w:w="120" w:type="dxa"/>
              <w:bottom w:w="80" w:type="dxa"/>
              <w:end w:w="120" w:type="dxa"/>
            </w:tcMar>
            <w:vAlign w:val="center"/>
            <w:shd w:fill="F2F4F7"/>
          </w:tcPr>
          <w:p>
            <w:pPr>
              <w:spacing w:after="0" w:line="252" w:lineRule="auto"/>
            </w:pPr>
            <w:r>
              <w:rPr>
                <w:rFonts w:ascii="Calibri" w:hAnsi="Calibri"/>
                <w:b/>
                <w:color w:val="17324D"/>
                <w:sz w:val="18"/>
              </w:rPr>
              <w:t>Variable</w:t>
            </w:r>
          </w:p>
        </w:tc>
        <w:tc>
          <w:tcPr>
            <w:tcW w:type="dxa" w:w="4300"/>
            <w:tcMar>
              <w:top w:w="80" w:type="dxa"/>
              <w:start w:w="120" w:type="dxa"/>
              <w:bottom w:w="80" w:type="dxa"/>
              <w:end w:w="120" w:type="dxa"/>
            </w:tcMar>
            <w:vAlign w:val="center"/>
            <w:shd w:fill="F2F4F7"/>
          </w:tcPr>
          <w:p>
            <w:pPr>
              <w:spacing w:after="0" w:line="252" w:lineRule="auto"/>
            </w:pPr>
            <w:r>
              <w:rPr>
                <w:rFonts w:ascii="Calibri" w:hAnsi="Calibri"/>
                <w:b/>
                <w:color w:val="17324D"/>
                <w:sz w:val="18"/>
              </w:rPr>
              <w:t>Profile Category</w:t>
            </w:r>
          </w:p>
        </w:tc>
        <w:tc>
          <w:tcPr>
            <w:tcW w:type="dxa" w:w="1500"/>
            <w:tcMar>
              <w:top w:w="80" w:type="dxa"/>
              <w:start w:w="120" w:type="dxa"/>
              <w:bottom w:w="80" w:type="dxa"/>
              <w:end w:w="120" w:type="dxa"/>
            </w:tcMar>
            <w:vAlign w:val="center"/>
            <w:shd w:fill="F2F4F7"/>
          </w:tcPr>
          <w:p>
            <w:pPr>
              <w:spacing w:after="0" w:line="252" w:lineRule="auto"/>
            </w:pPr>
            <w:r>
              <w:rPr>
                <w:rFonts w:ascii="Calibri" w:hAnsi="Calibri"/>
                <w:b/>
                <w:color w:val="17324D"/>
                <w:sz w:val="18"/>
              </w:rPr>
              <w:t>Frequency</w:t>
            </w:r>
          </w:p>
        </w:tc>
        <w:tc>
          <w:tcPr>
            <w:tcW w:type="dxa" w:w="1660"/>
            <w:tcMar>
              <w:top w:w="80" w:type="dxa"/>
              <w:start w:w="120" w:type="dxa"/>
              <w:bottom w:w="80" w:type="dxa"/>
              <w:end w:w="120" w:type="dxa"/>
            </w:tcMar>
            <w:vAlign w:val="center"/>
            <w:shd w:fill="F2F4F7"/>
          </w:tcPr>
          <w:p>
            <w:pPr>
              <w:spacing w:after="0" w:line="252" w:lineRule="auto"/>
            </w:pPr>
            <w:r>
              <w:rPr>
                <w:rFonts w:ascii="Calibri" w:hAnsi="Calibri"/>
                <w:b/>
                <w:color w:val="17324D"/>
                <w:sz w:val="18"/>
              </w:rPr>
              <w:t>Percent</w:t>
            </w:r>
          </w:p>
        </w:tc>
      </w:tr>
      <w:tr>
        <w:tc>
          <w:tcPr>
            <w:tcW w:type="dxa" w:w="2340"/>
          </w:tcPr>
          <w:p>
            <w:pPr>
              <w:spacing w:after="0" w:line="252" w:lineRule="auto"/>
            </w:pPr>
            <w:r>
              <w:rPr>
                <w:rFonts w:ascii="Calibri" w:hAnsi="Calibri"/>
                <w:b w:val="0"/>
                <w:color w:val="000000"/>
                <w:sz w:val="17"/>
              </w:rPr>
              <w:t>Age</w:t>
            </w:r>
          </w:p>
        </w:tc>
        <w:tc>
          <w:tcPr>
            <w:tcW w:type="dxa" w:w="2340"/>
          </w:tcPr>
          <w:p>
            <w:pPr>
              <w:spacing w:after="0" w:line="252" w:lineRule="auto"/>
            </w:pPr>
            <w:r>
              <w:rPr>
                <w:rFonts w:ascii="Calibri" w:hAnsi="Calibri"/>
                <w:b w:val="0"/>
                <w:color w:val="000000"/>
                <w:sz w:val="17"/>
              </w:rPr>
              <w:t>25 to 34 years old</w:t>
            </w:r>
          </w:p>
        </w:tc>
        <w:tc>
          <w:tcPr>
            <w:tcW w:type="dxa" w:w="2340"/>
          </w:tcPr>
          <w:p>
            <w:pPr>
              <w:spacing w:after="0" w:line="252" w:lineRule="auto"/>
            </w:pPr>
            <w:r>
              <w:rPr>
                <w:rFonts w:ascii="Calibri" w:hAnsi="Calibri"/>
                <w:b w:val="0"/>
                <w:color w:val="000000"/>
                <w:sz w:val="17"/>
              </w:rPr>
              <w:t>83</w:t>
            </w:r>
          </w:p>
        </w:tc>
        <w:tc>
          <w:tcPr>
            <w:tcW w:type="dxa" w:w="2340"/>
          </w:tcPr>
          <w:p>
            <w:pPr>
              <w:spacing w:after="0" w:line="252" w:lineRule="auto"/>
            </w:pPr>
            <w:r>
              <w:rPr>
                <w:rFonts w:ascii="Calibri" w:hAnsi="Calibri"/>
                <w:b w:val="0"/>
                <w:color w:val="000000"/>
                <w:sz w:val="17"/>
              </w:rPr>
              <w:t>36.2</w:t>
            </w:r>
          </w:p>
        </w:tc>
      </w:tr>
      <w:tr>
        <w:tc>
          <w:tcPr>
            <w:tcW w:type="dxa" w:w="2340"/>
          </w:tcPr>
          <w:p>
            <w:pPr>
              <w:spacing w:after="0" w:line="252" w:lineRule="auto"/>
            </w:pPr>
            <w:r>
              <w:rPr>
                <w:rFonts w:ascii="Calibri" w:hAnsi="Calibri"/>
                <w:b w:val="0"/>
                <w:color w:val="000000"/>
                <w:sz w:val="17"/>
              </w:rPr>
              <w:t>Age</w:t>
            </w:r>
          </w:p>
        </w:tc>
        <w:tc>
          <w:tcPr>
            <w:tcW w:type="dxa" w:w="2340"/>
          </w:tcPr>
          <w:p>
            <w:pPr>
              <w:spacing w:after="0" w:line="252" w:lineRule="auto"/>
            </w:pPr>
            <w:r>
              <w:rPr>
                <w:rFonts w:ascii="Calibri" w:hAnsi="Calibri"/>
                <w:b w:val="0"/>
                <w:color w:val="000000"/>
                <w:sz w:val="17"/>
              </w:rPr>
              <w:t>35 to 44 years old</w:t>
            </w:r>
          </w:p>
        </w:tc>
        <w:tc>
          <w:tcPr>
            <w:tcW w:type="dxa" w:w="2340"/>
          </w:tcPr>
          <w:p>
            <w:pPr>
              <w:spacing w:after="0" w:line="252" w:lineRule="auto"/>
            </w:pPr>
            <w:r>
              <w:rPr>
                <w:rFonts w:ascii="Calibri" w:hAnsi="Calibri"/>
                <w:b w:val="0"/>
                <w:color w:val="000000"/>
                <w:sz w:val="17"/>
              </w:rPr>
              <w:t>80</w:t>
            </w:r>
          </w:p>
        </w:tc>
        <w:tc>
          <w:tcPr>
            <w:tcW w:type="dxa" w:w="2340"/>
          </w:tcPr>
          <w:p>
            <w:pPr>
              <w:spacing w:after="0" w:line="252" w:lineRule="auto"/>
            </w:pPr>
            <w:r>
              <w:rPr>
                <w:rFonts w:ascii="Calibri" w:hAnsi="Calibri"/>
                <w:b w:val="0"/>
                <w:color w:val="000000"/>
                <w:sz w:val="17"/>
              </w:rPr>
              <w:t>34.9</w:t>
            </w:r>
          </w:p>
        </w:tc>
      </w:tr>
      <w:tr>
        <w:tc>
          <w:tcPr>
            <w:tcW w:type="dxa" w:w="2340"/>
          </w:tcPr>
          <w:p>
            <w:pPr>
              <w:spacing w:after="0" w:line="252" w:lineRule="auto"/>
            </w:pPr>
            <w:r>
              <w:rPr>
                <w:rFonts w:ascii="Calibri" w:hAnsi="Calibri"/>
                <w:b w:val="0"/>
                <w:color w:val="000000"/>
                <w:sz w:val="17"/>
              </w:rPr>
              <w:t>Age</w:t>
            </w:r>
          </w:p>
        </w:tc>
        <w:tc>
          <w:tcPr>
            <w:tcW w:type="dxa" w:w="2340"/>
          </w:tcPr>
          <w:p>
            <w:pPr>
              <w:spacing w:after="0" w:line="252" w:lineRule="auto"/>
            </w:pPr>
            <w:r>
              <w:rPr>
                <w:rFonts w:ascii="Calibri" w:hAnsi="Calibri"/>
                <w:b w:val="0"/>
                <w:color w:val="000000"/>
                <w:sz w:val="17"/>
              </w:rPr>
              <w:t>45 to 54 years old</w:t>
            </w:r>
          </w:p>
        </w:tc>
        <w:tc>
          <w:tcPr>
            <w:tcW w:type="dxa" w:w="2340"/>
          </w:tcPr>
          <w:p>
            <w:pPr>
              <w:spacing w:after="0" w:line="252" w:lineRule="auto"/>
            </w:pPr>
            <w:r>
              <w:rPr>
                <w:rFonts w:ascii="Calibri" w:hAnsi="Calibri"/>
                <w:b w:val="0"/>
                <w:color w:val="000000"/>
                <w:sz w:val="17"/>
              </w:rPr>
              <w:t>35</w:t>
            </w:r>
          </w:p>
        </w:tc>
        <w:tc>
          <w:tcPr>
            <w:tcW w:type="dxa" w:w="2340"/>
          </w:tcPr>
          <w:p>
            <w:pPr>
              <w:spacing w:after="0" w:line="252" w:lineRule="auto"/>
            </w:pPr>
            <w:r>
              <w:rPr>
                <w:rFonts w:ascii="Calibri" w:hAnsi="Calibri"/>
                <w:b w:val="0"/>
                <w:color w:val="000000"/>
                <w:sz w:val="17"/>
              </w:rPr>
              <w:t>15.3</w:t>
            </w:r>
          </w:p>
        </w:tc>
      </w:tr>
      <w:tr>
        <w:tc>
          <w:tcPr>
            <w:tcW w:type="dxa" w:w="2340"/>
          </w:tcPr>
          <w:p>
            <w:pPr>
              <w:spacing w:after="0" w:line="252" w:lineRule="auto"/>
            </w:pPr>
            <w:r>
              <w:rPr>
                <w:rFonts w:ascii="Calibri" w:hAnsi="Calibri"/>
                <w:b w:val="0"/>
                <w:color w:val="000000"/>
                <w:sz w:val="17"/>
              </w:rPr>
              <w:t>Age</w:t>
            </w:r>
          </w:p>
        </w:tc>
        <w:tc>
          <w:tcPr>
            <w:tcW w:type="dxa" w:w="2340"/>
          </w:tcPr>
          <w:p>
            <w:pPr>
              <w:spacing w:after="0" w:line="252" w:lineRule="auto"/>
            </w:pPr>
            <w:r>
              <w:rPr>
                <w:rFonts w:ascii="Calibri" w:hAnsi="Calibri"/>
                <w:b w:val="0"/>
                <w:color w:val="000000"/>
                <w:sz w:val="17"/>
              </w:rPr>
              <w:t>18 to 24 years old</w:t>
            </w:r>
          </w:p>
        </w:tc>
        <w:tc>
          <w:tcPr>
            <w:tcW w:type="dxa" w:w="2340"/>
          </w:tcPr>
          <w:p>
            <w:pPr>
              <w:spacing w:after="0" w:line="252" w:lineRule="auto"/>
            </w:pPr>
            <w:r>
              <w:rPr>
                <w:rFonts w:ascii="Calibri" w:hAnsi="Calibri"/>
                <w:b w:val="0"/>
                <w:color w:val="000000"/>
                <w:sz w:val="17"/>
              </w:rPr>
              <w:t>17</w:t>
            </w:r>
          </w:p>
        </w:tc>
        <w:tc>
          <w:tcPr>
            <w:tcW w:type="dxa" w:w="2340"/>
          </w:tcPr>
          <w:p>
            <w:pPr>
              <w:spacing w:after="0" w:line="252" w:lineRule="auto"/>
            </w:pPr>
            <w:r>
              <w:rPr>
                <w:rFonts w:ascii="Calibri" w:hAnsi="Calibri"/>
                <w:b w:val="0"/>
                <w:color w:val="000000"/>
                <w:sz w:val="17"/>
              </w:rPr>
              <w:t>7.4</w:t>
            </w:r>
          </w:p>
        </w:tc>
      </w:tr>
      <w:tr>
        <w:tc>
          <w:tcPr>
            <w:tcW w:type="dxa" w:w="2340"/>
          </w:tcPr>
          <w:p>
            <w:pPr>
              <w:spacing w:after="0" w:line="252" w:lineRule="auto"/>
            </w:pPr>
            <w:r>
              <w:rPr>
                <w:rFonts w:ascii="Calibri" w:hAnsi="Calibri"/>
                <w:b w:val="0"/>
                <w:color w:val="000000"/>
                <w:sz w:val="17"/>
              </w:rPr>
              <w:t>Age</w:t>
            </w:r>
          </w:p>
        </w:tc>
        <w:tc>
          <w:tcPr>
            <w:tcW w:type="dxa" w:w="2340"/>
          </w:tcPr>
          <w:p>
            <w:pPr>
              <w:spacing w:after="0" w:line="252" w:lineRule="auto"/>
            </w:pPr>
            <w:r>
              <w:rPr>
                <w:rFonts w:ascii="Calibri" w:hAnsi="Calibri"/>
                <w:b w:val="0"/>
                <w:color w:val="000000"/>
                <w:sz w:val="17"/>
              </w:rPr>
              <w:t>54 to 64 years old</w:t>
            </w:r>
          </w:p>
        </w:tc>
        <w:tc>
          <w:tcPr>
            <w:tcW w:type="dxa" w:w="2340"/>
          </w:tcPr>
          <w:p>
            <w:pPr>
              <w:spacing w:after="0" w:line="252" w:lineRule="auto"/>
            </w:pPr>
            <w:r>
              <w:rPr>
                <w:rFonts w:ascii="Calibri" w:hAnsi="Calibri"/>
                <w:b w:val="0"/>
                <w:color w:val="000000"/>
                <w:sz w:val="17"/>
              </w:rPr>
              <w:t>11</w:t>
            </w:r>
          </w:p>
        </w:tc>
        <w:tc>
          <w:tcPr>
            <w:tcW w:type="dxa" w:w="2340"/>
          </w:tcPr>
          <w:p>
            <w:pPr>
              <w:spacing w:after="0" w:line="252" w:lineRule="auto"/>
            </w:pPr>
            <w:r>
              <w:rPr>
                <w:rFonts w:ascii="Calibri" w:hAnsi="Calibri"/>
                <w:b w:val="0"/>
                <w:color w:val="000000"/>
                <w:sz w:val="17"/>
              </w:rPr>
              <w:t>4.8</w:t>
            </w:r>
          </w:p>
        </w:tc>
      </w:tr>
      <w:tr>
        <w:tc>
          <w:tcPr>
            <w:tcW w:type="dxa" w:w="2340"/>
          </w:tcPr>
          <w:p>
            <w:pPr>
              <w:spacing w:after="0" w:line="252" w:lineRule="auto"/>
            </w:pPr>
            <w:r>
              <w:rPr>
                <w:rFonts w:ascii="Calibri" w:hAnsi="Calibri"/>
                <w:b w:val="0"/>
                <w:color w:val="000000"/>
                <w:sz w:val="17"/>
              </w:rPr>
              <w:t>Age</w:t>
            </w:r>
          </w:p>
        </w:tc>
        <w:tc>
          <w:tcPr>
            <w:tcW w:type="dxa" w:w="2340"/>
          </w:tcPr>
          <w:p>
            <w:pPr>
              <w:spacing w:after="0" w:line="252" w:lineRule="auto"/>
            </w:pPr>
            <w:r>
              <w:rPr>
                <w:rFonts w:ascii="Calibri" w:hAnsi="Calibri"/>
                <w:b w:val="0"/>
                <w:color w:val="000000"/>
                <w:sz w:val="17"/>
              </w:rPr>
              <w:t>65 and above</w:t>
            </w:r>
          </w:p>
        </w:tc>
        <w:tc>
          <w:tcPr>
            <w:tcW w:type="dxa" w:w="2340"/>
          </w:tcPr>
          <w:p>
            <w:pPr>
              <w:spacing w:after="0" w:line="252" w:lineRule="auto"/>
            </w:pPr>
            <w:r>
              <w:rPr>
                <w:rFonts w:ascii="Calibri" w:hAnsi="Calibri"/>
                <w:b w:val="0"/>
                <w:color w:val="000000"/>
                <w:sz w:val="17"/>
              </w:rPr>
              <w:t>3</w:t>
            </w:r>
          </w:p>
        </w:tc>
        <w:tc>
          <w:tcPr>
            <w:tcW w:type="dxa" w:w="2340"/>
          </w:tcPr>
          <w:p>
            <w:pPr>
              <w:spacing w:after="0" w:line="252" w:lineRule="auto"/>
            </w:pPr>
            <w:r>
              <w:rPr>
                <w:rFonts w:ascii="Calibri" w:hAnsi="Calibri"/>
                <w:b w:val="0"/>
                <w:color w:val="000000"/>
                <w:sz w:val="17"/>
              </w:rPr>
              <w:t>1.3</w:t>
            </w:r>
          </w:p>
        </w:tc>
      </w:tr>
      <w:tr>
        <w:tc>
          <w:tcPr>
            <w:tcW w:type="dxa" w:w="2340"/>
          </w:tcPr>
          <w:p>
            <w:pPr>
              <w:spacing w:after="0" w:line="252" w:lineRule="auto"/>
            </w:pPr>
            <w:r>
              <w:rPr>
                <w:rFonts w:ascii="Calibri" w:hAnsi="Calibri"/>
                <w:b w:val="0"/>
                <w:color w:val="000000"/>
                <w:sz w:val="17"/>
              </w:rPr>
              <w:t>Gender</w:t>
            </w:r>
          </w:p>
        </w:tc>
        <w:tc>
          <w:tcPr>
            <w:tcW w:type="dxa" w:w="2340"/>
          </w:tcPr>
          <w:p>
            <w:pPr>
              <w:spacing w:after="0" w:line="252" w:lineRule="auto"/>
            </w:pPr>
            <w:r>
              <w:rPr>
                <w:rFonts w:ascii="Calibri" w:hAnsi="Calibri"/>
                <w:b w:val="0"/>
                <w:color w:val="000000"/>
                <w:sz w:val="17"/>
              </w:rPr>
              <w:t>Woman</w:t>
            </w:r>
          </w:p>
        </w:tc>
        <w:tc>
          <w:tcPr>
            <w:tcW w:type="dxa" w:w="2340"/>
          </w:tcPr>
          <w:p>
            <w:pPr>
              <w:spacing w:after="0" w:line="252" w:lineRule="auto"/>
            </w:pPr>
            <w:r>
              <w:rPr>
                <w:rFonts w:ascii="Calibri" w:hAnsi="Calibri"/>
                <w:b w:val="0"/>
                <w:color w:val="000000"/>
                <w:sz w:val="17"/>
              </w:rPr>
              <w:t>122</w:t>
            </w:r>
          </w:p>
        </w:tc>
        <w:tc>
          <w:tcPr>
            <w:tcW w:type="dxa" w:w="2340"/>
          </w:tcPr>
          <w:p>
            <w:pPr>
              <w:spacing w:after="0" w:line="252" w:lineRule="auto"/>
            </w:pPr>
            <w:r>
              <w:rPr>
                <w:rFonts w:ascii="Calibri" w:hAnsi="Calibri"/>
                <w:b w:val="0"/>
                <w:color w:val="000000"/>
                <w:sz w:val="17"/>
              </w:rPr>
              <w:t>53.3</w:t>
            </w:r>
          </w:p>
        </w:tc>
      </w:tr>
      <w:tr>
        <w:tc>
          <w:tcPr>
            <w:tcW w:type="dxa" w:w="2340"/>
          </w:tcPr>
          <w:p>
            <w:pPr>
              <w:spacing w:after="0" w:line="252" w:lineRule="auto"/>
            </w:pPr>
            <w:r>
              <w:rPr>
                <w:rFonts w:ascii="Calibri" w:hAnsi="Calibri"/>
                <w:b w:val="0"/>
                <w:color w:val="000000"/>
                <w:sz w:val="17"/>
              </w:rPr>
              <w:t>Gender</w:t>
            </w:r>
          </w:p>
        </w:tc>
        <w:tc>
          <w:tcPr>
            <w:tcW w:type="dxa" w:w="2340"/>
          </w:tcPr>
          <w:p>
            <w:pPr>
              <w:spacing w:after="0" w:line="252" w:lineRule="auto"/>
            </w:pPr>
            <w:r>
              <w:rPr>
                <w:rFonts w:ascii="Calibri" w:hAnsi="Calibri"/>
                <w:b w:val="0"/>
                <w:color w:val="000000"/>
                <w:sz w:val="17"/>
              </w:rPr>
              <w:t>Man</w:t>
            </w:r>
          </w:p>
        </w:tc>
        <w:tc>
          <w:tcPr>
            <w:tcW w:type="dxa" w:w="2340"/>
          </w:tcPr>
          <w:p>
            <w:pPr>
              <w:spacing w:after="0" w:line="252" w:lineRule="auto"/>
            </w:pPr>
            <w:r>
              <w:rPr>
                <w:rFonts w:ascii="Calibri" w:hAnsi="Calibri"/>
                <w:b w:val="0"/>
                <w:color w:val="000000"/>
                <w:sz w:val="17"/>
              </w:rPr>
              <w:t>106</w:t>
            </w:r>
          </w:p>
        </w:tc>
        <w:tc>
          <w:tcPr>
            <w:tcW w:type="dxa" w:w="2340"/>
          </w:tcPr>
          <w:p>
            <w:pPr>
              <w:spacing w:after="0" w:line="252" w:lineRule="auto"/>
            </w:pPr>
            <w:r>
              <w:rPr>
                <w:rFonts w:ascii="Calibri" w:hAnsi="Calibri"/>
                <w:b w:val="0"/>
                <w:color w:val="000000"/>
                <w:sz w:val="17"/>
              </w:rPr>
              <w:t>46.3</w:t>
            </w:r>
          </w:p>
        </w:tc>
      </w:tr>
      <w:tr>
        <w:tc>
          <w:tcPr>
            <w:tcW w:type="dxa" w:w="2340"/>
          </w:tcPr>
          <w:p>
            <w:pPr>
              <w:spacing w:after="0" w:line="252" w:lineRule="auto"/>
            </w:pPr>
            <w:r>
              <w:rPr>
                <w:rFonts w:ascii="Calibri" w:hAnsi="Calibri"/>
                <w:b w:val="0"/>
                <w:color w:val="000000"/>
                <w:sz w:val="17"/>
              </w:rPr>
              <w:t>Gender</w:t>
            </w:r>
          </w:p>
        </w:tc>
        <w:tc>
          <w:tcPr>
            <w:tcW w:type="dxa" w:w="2340"/>
          </w:tcPr>
          <w:p>
            <w:pPr>
              <w:spacing w:after="0" w:line="252" w:lineRule="auto"/>
            </w:pPr>
            <w:r>
              <w:rPr>
                <w:rFonts w:ascii="Calibri" w:hAnsi="Calibri"/>
                <w:b w:val="0"/>
                <w:color w:val="000000"/>
                <w:sz w:val="17"/>
              </w:rPr>
              <w:t>Prefer not to say</w:t>
            </w:r>
          </w:p>
        </w:tc>
        <w:tc>
          <w:tcPr>
            <w:tcW w:type="dxa" w:w="2340"/>
          </w:tcPr>
          <w:p>
            <w:pPr>
              <w:spacing w:after="0" w:line="252" w:lineRule="auto"/>
            </w:pPr>
            <w:r>
              <w:rPr>
                <w:rFonts w:ascii="Calibri" w:hAnsi="Calibri"/>
                <w:b w:val="0"/>
                <w:color w:val="000000"/>
                <w:sz w:val="17"/>
              </w:rPr>
              <w:t>1</w:t>
            </w:r>
          </w:p>
        </w:tc>
        <w:tc>
          <w:tcPr>
            <w:tcW w:type="dxa" w:w="2340"/>
          </w:tcPr>
          <w:p>
            <w:pPr>
              <w:spacing w:after="0" w:line="252" w:lineRule="auto"/>
            </w:pPr>
            <w:r>
              <w:rPr>
                <w:rFonts w:ascii="Calibri" w:hAnsi="Calibri"/>
                <w:b w:val="0"/>
                <w:color w:val="000000"/>
                <w:sz w:val="17"/>
              </w:rPr>
              <w:t>0.4</w:t>
            </w:r>
          </w:p>
        </w:tc>
      </w:tr>
      <w:tr>
        <w:tc>
          <w:tcPr>
            <w:tcW w:type="dxa" w:w="2340"/>
          </w:tcPr>
          <w:p>
            <w:pPr>
              <w:spacing w:after="0" w:line="252" w:lineRule="auto"/>
            </w:pPr>
            <w:r>
              <w:rPr>
                <w:rFonts w:ascii="Calibri" w:hAnsi="Calibri"/>
                <w:b w:val="0"/>
                <w:color w:val="000000"/>
                <w:sz w:val="17"/>
              </w:rPr>
              <w:t>Primary Social Platform</w:t>
            </w:r>
          </w:p>
        </w:tc>
        <w:tc>
          <w:tcPr>
            <w:tcW w:type="dxa" w:w="2340"/>
          </w:tcPr>
          <w:p>
            <w:pPr>
              <w:spacing w:after="0" w:line="252" w:lineRule="auto"/>
            </w:pPr>
            <w:r>
              <w:rPr>
                <w:rFonts w:ascii="Calibri" w:hAnsi="Calibri"/>
                <w:b w:val="0"/>
                <w:color w:val="000000"/>
                <w:sz w:val="17"/>
              </w:rPr>
              <w:t>Facebook</w:t>
            </w:r>
          </w:p>
        </w:tc>
        <w:tc>
          <w:tcPr>
            <w:tcW w:type="dxa" w:w="2340"/>
          </w:tcPr>
          <w:p>
            <w:pPr>
              <w:spacing w:after="0" w:line="252" w:lineRule="auto"/>
            </w:pPr>
            <w:r>
              <w:rPr>
                <w:rFonts w:ascii="Calibri" w:hAnsi="Calibri"/>
                <w:b w:val="0"/>
                <w:color w:val="000000"/>
                <w:sz w:val="17"/>
              </w:rPr>
              <w:t>121</w:t>
            </w:r>
          </w:p>
        </w:tc>
        <w:tc>
          <w:tcPr>
            <w:tcW w:type="dxa" w:w="2340"/>
          </w:tcPr>
          <w:p>
            <w:pPr>
              <w:spacing w:after="0" w:line="252" w:lineRule="auto"/>
            </w:pPr>
            <w:r>
              <w:rPr>
                <w:rFonts w:ascii="Calibri" w:hAnsi="Calibri"/>
                <w:b w:val="0"/>
                <w:color w:val="000000"/>
                <w:sz w:val="17"/>
              </w:rPr>
              <w:t>52.8</w:t>
            </w:r>
          </w:p>
        </w:tc>
      </w:tr>
      <w:tr>
        <w:tc>
          <w:tcPr>
            <w:tcW w:type="dxa" w:w="2340"/>
          </w:tcPr>
          <w:p>
            <w:pPr>
              <w:spacing w:after="0" w:line="252" w:lineRule="auto"/>
            </w:pPr>
            <w:r>
              <w:rPr>
                <w:rFonts w:ascii="Calibri" w:hAnsi="Calibri"/>
                <w:b w:val="0"/>
                <w:color w:val="000000"/>
                <w:sz w:val="17"/>
              </w:rPr>
              <w:t>Primary Social Platform</w:t>
            </w:r>
          </w:p>
        </w:tc>
        <w:tc>
          <w:tcPr>
            <w:tcW w:type="dxa" w:w="2340"/>
          </w:tcPr>
          <w:p>
            <w:pPr>
              <w:spacing w:after="0" w:line="252" w:lineRule="auto"/>
            </w:pPr>
            <w:r>
              <w:rPr>
                <w:rFonts w:ascii="Calibri" w:hAnsi="Calibri"/>
                <w:b w:val="0"/>
                <w:color w:val="000000"/>
                <w:sz w:val="17"/>
              </w:rPr>
              <w:t>Instagram</w:t>
            </w:r>
          </w:p>
        </w:tc>
        <w:tc>
          <w:tcPr>
            <w:tcW w:type="dxa" w:w="2340"/>
          </w:tcPr>
          <w:p>
            <w:pPr>
              <w:spacing w:after="0" w:line="252" w:lineRule="auto"/>
            </w:pPr>
            <w:r>
              <w:rPr>
                <w:rFonts w:ascii="Calibri" w:hAnsi="Calibri"/>
                <w:b w:val="0"/>
                <w:color w:val="000000"/>
                <w:sz w:val="17"/>
              </w:rPr>
              <w:t>54</w:t>
            </w:r>
          </w:p>
        </w:tc>
        <w:tc>
          <w:tcPr>
            <w:tcW w:type="dxa" w:w="2340"/>
          </w:tcPr>
          <w:p>
            <w:pPr>
              <w:spacing w:after="0" w:line="252" w:lineRule="auto"/>
            </w:pPr>
            <w:r>
              <w:rPr>
                <w:rFonts w:ascii="Calibri" w:hAnsi="Calibri"/>
                <w:b w:val="0"/>
                <w:color w:val="000000"/>
                <w:sz w:val="17"/>
              </w:rPr>
              <w:t>23.6</w:t>
            </w:r>
          </w:p>
        </w:tc>
      </w:tr>
      <w:tr>
        <w:tc>
          <w:tcPr>
            <w:tcW w:type="dxa" w:w="2340"/>
          </w:tcPr>
          <w:p>
            <w:pPr>
              <w:spacing w:after="0" w:line="252" w:lineRule="auto"/>
            </w:pPr>
            <w:r>
              <w:rPr>
                <w:rFonts w:ascii="Calibri" w:hAnsi="Calibri"/>
                <w:b w:val="0"/>
                <w:color w:val="000000"/>
                <w:sz w:val="17"/>
              </w:rPr>
              <w:t>Primary Social Platform</w:t>
            </w:r>
          </w:p>
        </w:tc>
        <w:tc>
          <w:tcPr>
            <w:tcW w:type="dxa" w:w="2340"/>
          </w:tcPr>
          <w:p>
            <w:pPr>
              <w:spacing w:after="0" w:line="252" w:lineRule="auto"/>
            </w:pPr>
            <w:r>
              <w:rPr>
                <w:rFonts w:ascii="Calibri" w:hAnsi="Calibri"/>
                <w:b w:val="0"/>
                <w:color w:val="000000"/>
                <w:sz w:val="17"/>
              </w:rPr>
              <w:t>TikTok</w:t>
            </w:r>
          </w:p>
        </w:tc>
        <w:tc>
          <w:tcPr>
            <w:tcW w:type="dxa" w:w="2340"/>
          </w:tcPr>
          <w:p>
            <w:pPr>
              <w:spacing w:after="0" w:line="252" w:lineRule="auto"/>
            </w:pPr>
            <w:r>
              <w:rPr>
                <w:rFonts w:ascii="Calibri" w:hAnsi="Calibri"/>
                <w:b w:val="0"/>
                <w:color w:val="000000"/>
                <w:sz w:val="17"/>
              </w:rPr>
              <w:t>33</w:t>
            </w:r>
          </w:p>
        </w:tc>
        <w:tc>
          <w:tcPr>
            <w:tcW w:type="dxa" w:w="2340"/>
          </w:tcPr>
          <w:p>
            <w:pPr>
              <w:spacing w:after="0" w:line="252" w:lineRule="auto"/>
            </w:pPr>
            <w:r>
              <w:rPr>
                <w:rFonts w:ascii="Calibri" w:hAnsi="Calibri"/>
                <w:b w:val="0"/>
                <w:color w:val="000000"/>
                <w:sz w:val="17"/>
              </w:rPr>
              <w:t>14.4</w:t>
            </w:r>
          </w:p>
        </w:tc>
      </w:tr>
      <w:tr>
        <w:tc>
          <w:tcPr>
            <w:tcW w:type="dxa" w:w="2340"/>
          </w:tcPr>
          <w:p>
            <w:pPr>
              <w:spacing w:after="0" w:line="252" w:lineRule="auto"/>
            </w:pPr>
            <w:r>
              <w:rPr>
                <w:rFonts w:ascii="Calibri" w:hAnsi="Calibri"/>
                <w:b w:val="0"/>
                <w:color w:val="000000"/>
                <w:sz w:val="17"/>
              </w:rPr>
              <w:t>Primary Social Platform</w:t>
            </w:r>
          </w:p>
        </w:tc>
        <w:tc>
          <w:tcPr>
            <w:tcW w:type="dxa" w:w="2340"/>
          </w:tcPr>
          <w:p>
            <w:pPr>
              <w:spacing w:after="0" w:line="252" w:lineRule="auto"/>
            </w:pPr>
            <w:r>
              <w:rPr>
                <w:rFonts w:ascii="Calibri" w:hAnsi="Calibri"/>
                <w:b w:val="0"/>
                <w:color w:val="000000"/>
                <w:sz w:val="17"/>
              </w:rPr>
              <w:t>YouTube</w:t>
            </w:r>
          </w:p>
        </w:tc>
        <w:tc>
          <w:tcPr>
            <w:tcW w:type="dxa" w:w="2340"/>
          </w:tcPr>
          <w:p>
            <w:pPr>
              <w:spacing w:after="0" w:line="252" w:lineRule="auto"/>
            </w:pPr>
            <w:r>
              <w:rPr>
                <w:rFonts w:ascii="Calibri" w:hAnsi="Calibri"/>
                <w:b w:val="0"/>
                <w:color w:val="000000"/>
                <w:sz w:val="17"/>
              </w:rPr>
              <w:t>16</w:t>
            </w:r>
          </w:p>
        </w:tc>
        <w:tc>
          <w:tcPr>
            <w:tcW w:type="dxa" w:w="2340"/>
          </w:tcPr>
          <w:p>
            <w:pPr>
              <w:spacing w:after="0" w:line="252" w:lineRule="auto"/>
            </w:pPr>
            <w:r>
              <w:rPr>
                <w:rFonts w:ascii="Calibri" w:hAnsi="Calibri"/>
                <w:b w:val="0"/>
                <w:color w:val="000000"/>
                <w:sz w:val="17"/>
              </w:rPr>
              <w:t>7</w:t>
            </w:r>
          </w:p>
        </w:tc>
      </w:tr>
      <w:tr>
        <w:tc>
          <w:tcPr>
            <w:tcW w:type="dxa" w:w="2340"/>
          </w:tcPr>
          <w:p>
            <w:pPr>
              <w:spacing w:after="0" w:line="252" w:lineRule="auto"/>
            </w:pPr>
            <w:r>
              <w:rPr>
                <w:rFonts w:ascii="Calibri" w:hAnsi="Calibri"/>
                <w:b w:val="0"/>
                <w:color w:val="000000"/>
                <w:sz w:val="17"/>
              </w:rPr>
              <w:t>Primary Social Platform</w:t>
            </w:r>
          </w:p>
        </w:tc>
        <w:tc>
          <w:tcPr>
            <w:tcW w:type="dxa" w:w="2340"/>
          </w:tcPr>
          <w:p>
            <w:pPr>
              <w:spacing w:after="0" w:line="252" w:lineRule="auto"/>
            </w:pPr>
            <w:r>
              <w:rPr>
                <w:rFonts w:ascii="Calibri" w:hAnsi="Calibri"/>
                <w:b w:val="0"/>
                <w:color w:val="000000"/>
                <w:sz w:val="17"/>
              </w:rPr>
              <w:t>Twitter / X</w:t>
            </w:r>
          </w:p>
        </w:tc>
        <w:tc>
          <w:tcPr>
            <w:tcW w:type="dxa" w:w="2340"/>
          </w:tcPr>
          <w:p>
            <w:pPr>
              <w:spacing w:after="0" w:line="252" w:lineRule="auto"/>
            </w:pPr>
            <w:r>
              <w:rPr>
                <w:rFonts w:ascii="Calibri" w:hAnsi="Calibri"/>
                <w:b w:val="0"/>
                <w:color w:val="000000"/>
                <w:sz w:val="17"/>
              </w:rPr>
              <w:t>4</w:t>
            </w:r>
          </w:p>
        </w:tc>
        <w:tc>
          <w:tcPr>
            <w:tcW w:type="dxa" w:w="2340"/>
          </w:tcPr>
          <w:p>
            <w:pPr>
              <w:spacing w:after="0" w:line="252" w:lineRule="auto"/>
            </w:pPr>
            <w:r>
              <w:rPr>
                <w:rFonts w:ascii="Calibri" w:hAnsi="Calibri"/>
                <w:b w:val="0"/>
                <w:color w:val="000000"/>
                <w:sz w:val="17"/>
              </w:rPr>
              <w:t>1.7</w:t>
            </w:r>
          </w:p>
        </w:tc>
      </w:tr>
      <w:tr>
        <w:tc>
          <w:tcPr>
            <w:tcW w:type="dxa" w:w="2340"/>
          </w:tcPr>
          <w:p>
            <w:pPr>
              <w:spacing w:after="0" w:line="252" w:lineRule="auto"/>
            </w:pPr>
            <w:r>
              <w:rPr>
                <w:rFonts w:ascii="Calibri" w:hAnsi="Calibri"/>
                <w:b w:val="0"/>
                <w:color w:val="000000"/>
                <w:sz w:val="17"/>
              </w:rPr>
              <w:t>Primary Social Platform</w:t>
            </w:r>
          </w:p>
        </w:tc>
        <w:tc>
          <w:tcPr>
            <w:tcW w:type="dxa" w:w="2340"/>
          </w:tcPr>
          <w:p>
            <w:pPr>
              <w:spacing w:after="0" w:line="252" w:lineRule="auto"/>
            </w:pPr>
            <w:r>
              <w:rPr>
                <w:rFonts w:ascii="Calibri" w:hAnsi="Calibri"/>
                <w:b w:val="0"/>
                <w:color w:val="000000"/>
                <w:sz w:val="17"/>
              </w:rPr>
              <w:t>LinkedIn</w:t>
            </w:r>
          </w:p>
        </w:tc>
        <w:tc>
          <w:tcPr>
            <w:tcW w:type="dxa" w:w="2340"/>
          </w:tcPr>
          <w:p>
            <w:pPr>
              <w:spacing w:after="0" w:line="252" w:lineRule="auto"/>
            </w:pPr>
            <w:r>
              <w:rPr>
                <w:rFonts w:ascii="Calibri" w:hAnsi="Calibri"/>
                <w:b w:val="0"/>
                <w:color w:val="000000"/>
                <w:sz w:val="17"/>
              </w:rPr>
              <w:t>1</w:t>
            </w:r>
          </w:p>
        </w:tc>
        <w:tc>
          <w:tcPr>
            <w:tcW w:type="dxa" w:w="2340"/>
          </w:tcPr>
          <w:p>
            <w:pPr>
              <w:spacing w:after="0" w:line="252" w:lineRule="auto"/>
            </w:pPr>
            <w:r>
              <w:rPr>
                <w:rFonts w:ascii="Calibri" w:hAnsi="Calibri"/>
                <w:b w:val="0"/>
                <w:color w:val="000000"/>
                <w:sz w:val="17"/>
              </w:rPr>
              <w:t>0.4</w:t>
            </w:r>
          </w:p>
        </w:tc>
      </w:tr>
    </w:tbl>
    <w:p>
      <w:pPr>
        <w:pStyle w:val="TableNote"/>
      </w:pPr>
      <w:r>
        <w:t>Note. Percentages are based on n = 229 qualified respondents.</w:t>
      </w:r>
    </w:p>
    <w:p>
      <w:pPr>
        <w:pStyle w:val="Heading2"/>
      </w:pPr>
      <w:r>
        <w:t>AIDA Stage Results</w:t>
      </w:r>
    </w:p>
    <w:p>
      <w:pPr/>
      <w:r>
        <w:t>The AIDA results indicate a relatively strong brand-funnel position. The mean Attention score was 65.9, Interest was 68.4, Desire was 69.6, and Action was 62.2. These values suggest that Okada Manila has a well-established awareness and desire base, while the action stage remains the most important area for conversion improvement.</w:t>
      </w:r>
    </w:p>
    <w:p>
      <w:pPr>
        <w:jc w:val="center"/>
      </w:pPr>
      <w:r>
        <w:drawing>
          <wp:inline xmlns:a="http://schemas.openxmlformats.org/drawingml/2006/main" xmlns:pic="http://schemas.openxmlformats.org/drawingml/2006/picture">
            <wp:extent cx="5943600" cy="3146612"/>
            <wp:docPr id="5" name="Picture 5"/>
            <wp:cNvGraphicFramePr>
              <a:graphicFrameLocks noChangeAspect="1"/>
            </wp:cNvGraphicFramePr>
            <a:graphic>
              <a:graphicData uri="http://schemas.openxmlformats.org/drawingml/2006/picture">
                <pic:pic>
                  <pic:nvPicPr>
                    <pic:cNvPr id="0" name="fig04_aida_bar.png"/>
                    <pic:cNvPicPr/>
                  </pic:nvPicPr>
                  <pic:blipFill>
                    <a:blip r:embed="rId15"/>
                    <a:stretch>
                      <a:fillRect/>
                    </a:stretch>
                  </pic:blipFill>
                  <pic:spPr>
                    <a:xfrm>
                      <a:off x="0" y="0"/>
                      <a:ext cx="5943600" cy="3146612"/>
                    </a:xfrm>
                    <a:prstGeom prst="rect"/>
                  </pic:spPr>
                </pic:pic>
              </a:graphicData>
            </a:graphic>
          </wp:inline>
        </w:drawing>
      </w:r>
    </w:p>
    <w:p>
      <w:pPr>
        <w:pStyle w:val="Caption"/>
        <w:jc w:val="center"/>
      </w:pPr>
      <w:r>
        <w:rPr>
          <w:i/>
        </w:rPr>
        <w:t>Figure 5. Mean AIDA stage scores on a normalized 0 to 100 scale.</w:t>
      </w:r>
    </w:p>
    <w:p>
      <w:pPr>
        <w:jc w:val="center"/>
      </w:pPr>
      <w:r>
        <w:drawing>
          <wp:inline xmlns:a="http://schemas.openxmlformats.org/drawingml/2006/main" xmlns:pic="http://schemas.openxmlformats.org/drawingml/2006/picture">
            <wp:extent cx="5943600" cy="4330337"/>
            <wp:docPr id="6" name="Picture 6"/>
            <wp:cNvGraphicFramePr>
              <a:graphicFrameLocks noChangeAspect="1"/>
            </wp:cNvGraphicFramePr>
            <a:graphic>
              <a:graphicData uri="http://schemas.openxmlformats.org/drawingml/2006/picture">
                <pic:pic>
                  <pic:nvPicPr>
                    <pic:cNvPr id="0" name="fig05_aida_radar.png"/>
                    <pic:cNvPicPr/>
                  </pic:nvPicPr>
                  <pic:blipFill>
                    <a:blip r:embed="rId16"/>
                    <a:stretch>
                      <a:fillRect/>
                    </a:stretch>
                  </pic:blipFill>
                  <pic:spPr>
                    <a:xfrm>
                      <a:off x="0" y="0"/>
                      <a:ext cx="5943600" cy="4330337"/>
                    </a:xfrm>
                    <a:prstGeom prst="rect"/>
                  </pic:spPr>
                </pic:pic>
              </a:graphicData>
            </a:graphic>
          </wp:inline>
        </w:drawing>
      </w:r>
    </w:p>
    <w:p>
      <w:pPr>
        <w:pStyle w:val="Caption"/>
        <w:jc w:val="center"/>
      </w:pPr>
      <w:r>
        <w:rPr>
          <w:i/>
        </w:rPr>
        <w:t>Figure 6. Radar profile of Attention, Interest, Desire, and Action.</w:t>
      </w:r>
    </w:p>
    <w:p>
      <w:pPr>
        <w:jc w:val="center"/>
      </w:pPr>
      <w:r>
        <w:drawing>
          <wp:inline xmlns:a="http://schemas.openxmlformats.org/drawingml/2006/main" xmlns:pic="http://schemas.openxmlformats.org/drawingml/2006/picture">
            <wp:extent cx="5943600" cy="3146612"/>
            <wp:docPr id="7" name="Picture 7"/>
            <wp:cNvGraphicFramePr>
              <a:graphicFrameLocks noChangeAspect="1"/>
            </wp:cNvGraphicFramePr>
            <a:graphic>
              <a:graphicData uri="http://schemas.openxmlformats.org/drawingml/2006/picture">
                <pic:pic>
                  <pic:nvPicPr>
                    <pic:cNvPr id="0" name="fig06_aida_distribution.png"/>
                    <pic:cNvPicPr/>
                  </pic:nvPicPr>
                  <pic:blipFill>
                    <a:blip r:embed="rId17"/>
                    <a:stretch>
                      <a:fillRect/>
                    </a:stretch>
                  </pic:blipFill>
                  <pic:spPr>
                    <a:xfrm>
                      <a:off x="0" y="0"/>
                      <a:ext cx="5943600" cy="3146612"/>
                    </a:xfrm>
                    <a:prstGeom prst="rect"/>
                  </pic:spPr>
                </pic:pic>
              </a:graphicData>
            </a:graphic>
          </wp:inline>
        </w:drawing>
      </w:r>
    </w:p>
    <w:p>
      <w:pPr>
        <w:pStyle w:val="Caption"/>
        <w:jc w:val="center"/>
      </w:pPr>
      <w:r>
        <w:rPr>
          <w:i/>
        </w:rPr>
        <w:t>Figure 7. Distribution of AIDA scores across respondents.</w:t>
      </w:r>
    </w:p>
    <w:p>
      <w:pPr>
        <w:jc w:val="center"/>
      </w:pPr>
      <w:r>
        <w:drawing>
          <wp:inline xmlns:a="http://schemas.openxmlformats.org/drawingml/2006/main" xmlns:pic="http://schemas.openxmlformats.org/drawingml/2006/picture">
            <wp:extent cx="5943600" cy="5465989"/>
            <wp:docPr id="8" name="Picture 8"/>
            <wp:cNvGraphicFramePr>
              <a:graphicFrameLocks noChangeAspect="1"/>
            </wp:cNvGraphicFramePr>
            <a:graphic>
              <a:graphicData uri="http://schemas.openxmlformats.org/drawingml/2006/picture">
                <pic:pic>
                  <pic:nvPicPr>
                    <pic:cNvPr id="0" name="fig07_aida_heatmap.png"/>
                    <pic:cNvPicPr/>
                  </pic:nvPicPr>
                  <pic:blipFill>
                    <a:blip r:embed="rId18"/>
                    <a:stretch>
                      <a:fillRect/>
                    </a:stretch>
                  </pic:blipFill>
                  <pic:spPr>
                    <a:xfrm>
                      <a:off x="0" y="0"/>
                      <a:ext cx="5943600" cy="5465989"/>
                    </a:xfrm>
                    <a:prstGeom prst="rect"/>
                  </pic:spPr>
                </pic:pic>
              </a:graphicData>
            </a:graphic>
          </wp:inline>
        </w:drawing>
      </w:r>
    </w:p>
    <w:p>
      <w:pPr>
        <w:pStyle w:val="Caption"/>
        <w:jc w:val="center"/>
      </w:pPr>
      <w:r>
        <w:rPr>
          <w:i/>
        </w:rPr>
        <w:t>Figure 8. Correlation heatmap among AIDA stage scores.</w:t>
      </w:r>
    </w:p>
    <w:p>
      <w:pPr>
        <w:pStyle w:val="TableTitle"/>
      </w:pPr>
      <w:r>
        <w:rPr>
          <w:b/>
        </w:rPr>
        <w:t>Table 3. AIDA Stage Mean Scores</w:t>
      </w:r>
    </w:p>
    <w:tbl>
      <w:tblPr>
        <w:tblStyle w:val="TableGrid"/>
        <w:tblW w:type="dxa" w:w="9360"/>
        <w:jc w:val="center"/>
        <w:tblLayout w:type="fixed"/>
        <w:tblLook w:firstColumn="1" w:firstRow="1" w:lastColumn="0" w:lastRow="0" w:noHBand="0" w:noVBand="1" w:val="04A0"/>
      </w:tblPr>
      <w:tblGrid>
        <w:gridCol w:w="4680"/>
        <w:gridCol w:w="4680"/>
      </w:tblGrid>
      <w:tr>
        <w:tc>
          <w:tcPr>
            <w:tcW w:type="dxa" w:w="5200"/>
            <w:tcMar>
              <w:top w:w="80" w:type="dxa"/>
              <w:start w:w="120" w:type="dxa"/>
              <w:bottom w:w="80" w:type="dxa"/>
              <w:end w:w="120" w:type="dxa"/>
            </w:tcMar>
            <w:vAlign w:val="center"/>
            <w:shd w:fill="F2F4F7"/>
          </w:tcPr>
          <w:p>
            <w:pPr>
              <w:spacing w:after="0" w:line="252" w:lineRule="auto"/>
            </w:pPr>
            <w:r>
              <w:rPr>
                <w:rFonts w:ascii="Calibri" w:hAnsi="Calibri"/>
                <w:b/>
                <w:color w:val="17324D"/>
                <w:sz w:val="18"/>
              </w:rPr>
              <w:t>AIDA Stage</w:t>
            </w:r>
          </w:p>
        </w:tc>
        <w:tc>
          <w:tcPr>
            <w:tcW w:type="dxa" w:w="4160"/>
            <w:tcMar>
              <w:top w:w="80" w:type="dxa"/>
              <w:start w:w="120" w:type="dxa"/>
              <w:bottom w:w="80" w:type="dxa"/>
              <w:end w:w="120" w:type="dxa"/>
            </w:tcMar>
            <w:vAlign w:val="center"/>
            <w:shd w:fill="F2F4F7"/>
          </w:tcPr>
          <w:p>
            <w:pPr>
              <w:spacing w:after="0" w:line="252" w:lineRule="auto"/>
            </w:pPr>
            <w:r>
              <w:rPr>
                <w:rFonts w:ascii="Calibri" w:hAnsi="Calibri"/>
                <w:b/>
                <w:color w:val="17324D"/>
                <w:sz w:val="18"/>
              </w:rPr>
              <w:t>Mean Score</w:t>
            </w:r>
          </w:p>
        </w:tc>
      </w:tr>
      <w:tr>
        <w:tc>
          <w:tcPr>
            <w:tcW w:type="dxa" w:w="4680"/>
          </w:tcPr>
          <w:p>
            <w:pPr>
              <w:spacing w:after="0" w:line="252" w:lineRule="auto"/>
            </w:pPr>
            <w:r>
              <w:rPr>
                <w:rFonts w:ascii="Calibri" w:hAnsi="Calibri"/>
                <w:b w:val="0"/>
                <w:color w:val="000000"/>
                <w:sz w:val="17"/>
              </w:rPr>
              <w:t>Attention</w:t>
            </w:r>
          </w:p>
        </w:tc>
        <w:tc>
          <w:tcPr>
            <w:tcW w:type="dxa" w:w="4680"/>
          </w:tcPr>
          <w:p>
            <w:pPr>
              <w:spacing w:after="0" w:line="252" w:lineRule="auto"/>
            </w:pPr>
            <w:r>
              <w:rPr>
                <w:rFonts w:ascii="Calibri" w:hAnsi="Calibri"/>
                <w:b w:val="0"/>
                <w:color w:val="000000"/>
                <w:sz w:val="17"/>
              </w:rPr>
              <w:t>65.9</w:t>
            </w:r>
          </w:p>
        </w:tc>
      </w:tr>
      <w:tr>
        <w:tc>
          <w:tcPr>
            <w:tcW w:type="dxa" w:w="4680"/>
          </w:tcPr>
          <w:p>
            <w:pPr>
              <w:spacing w:after="0" w:line="252" w:lineRule="auto"/>
            </w:pPr>
            <w:r>
              <w:rPr>
                <w:rFonts w:ascii="Calibri" w:hAnsi="Calibri"/>
                <w:b w:val="0"/>
                <w:color w:val="000000"/>
                <w:sz w:val="17"/>
              </w:rPr>
              <w:t>Interest</w:t>
            </w:r>
          </w:p>
        </w:tc>
        <w:tc>
          <w:tcPr>
            <w:tcW w:type="dxa" w:w="4680"/>
          </w:tcPr>
          <w:p>
            <w:pPr>
              <w:spacing w:after="0" w:line="252" w:lineRule="auto"/>
            </w:pPr>
            <w:r>
              <w:rPr>
                <w:rFonts w:ascii="Calibri" w:hAnsi="Calibri"/>
                <w:b w:val="0"/>
                <w:color w:val="000000"/>
                <w:sz w:val="17"/>
              </w:rPr>
              <w:t>68.4</w:t>
            </w:r>
          </w:p>
        </w:tc>
      </w:tr>
      <w:tr>
        <w:tc>
          <w:tcPr>
            <w:tcW w:type="dxa" w:w="4680"/>
          </w:tcPr>
          <w:p>
            <w:pPr>
              <w:spacing w:after="0" w:line="252" w:lineRule="auto"/>
            </w:pPr>
            <w:r>
              <w:rPr>
                <w:rFonts w:ascii="Calibri" w:hAnsi="Calibri"/>
                <w:b w:val="0"/>
                <w:color w:val="000000"/>
                <w:sz w:val="17"/>
              </w:rPr>
              <w:t>Desire</w:t>
            </w:r>
          </w:p>
        </w:tc>
        <w:tc>
          <w:tcPr>
            <w:tcW w:type="dxa" w:w="4680"/>
          </w:tcPr>
          <w:p>
            <w:pPr>
              <w:spacing w:after="0" w:line="252" w:lineRule="auto"/>
            </w:pPr>
            <w:r>
              <w:rPr>
                <w:rFonts w:ascii="Calibri" w:hAnsi="Calibri"/>
                <w:b w:val="0"/>
                <w:color w:val="000000"/>
                <w:sz w:val="17"/>
              </w:rPr>
              <w:t>69.6</w:t>
            </w:r>
          </w:p>
        </w:tc>
      </w:tr>
      <w:tr>
        <w:tc>
          <w:tcPr>
            <w:tcW w:type="dxa" w:w="4680"/>
          </w:tcPr>
          <w:p>
            <w:pPr>
              <w:spacing w:after="0" w:line="252" w:lineRule="auto"/>
            </w:pPr>
            <w:r>
              <w:rPr>
                <w:rFonts w:ascii="Calibri" w:hAnsi="Calibri"/>
                <w:b w:val="0"/>
                <w:color w:val="000000"/>
                <w:sz w:val="17"/>
              </w:rPr>
              <w:t>Action</w:t>
            </w:r>
          </w:p>
        </w:tc>
        <w:tc>
          <w:tcPr>
            <w:tcW w:type="dxa" w:w="4680"/>
          </w:tcPr>
          <w:p>
            <w:pPr>
              <w:spacing w:after="0" w:line="252" w:lineRule="auto"/>
            </w:pPr>
            <w:r>
              <w:rPr>
                <w:rFonts w:ascii="Calibri" w:hAnsi="Calibri"/>
                <w:b w:val="0"/>
                <w:color w:val="000000"/>
                <w:sz w:val="17"/>
              </w:rPr>
              <w:t>62.2</w:t>
            </w:r>
          </w:p>
        </w:tc>
      </w:tr>
    </w:tbl>
    <w:p>
      <w:pPr>
        <w:pStyle w:val="TableNote"/>
      </w:pPr>
      <w:r>
        <w:t>Note. Scores are normalized from 0 to 100.</w:t>
      </w:r>
    </w:p>
    <w:p>
      <w:pPr>
        <w:pStyle w:val="TableTitle"/>
      </w:pPr>
      <w:r>
        <w:rPr>
          <w:b/>
        </w:rPr>
        <w:t>Table 4. AIDA Scoring Components and Mean Scores</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900"/>
            <w:tcMar>
              <w:top w:w="80" w:type="dxa"/>
              <w:start w:w="120" w:type="dxa"/>
              <w:bottom w:w="80" w:type="dxa"/>
              <w:end w:w="120" w:type="dxa"/>
            </w:tcMar>
            <w:vAlign w:val="center"/>
            <w:shd w:fill="F2F4F7"/>
          </w:tcPr>
          <w:p>
            <w:pPr>
              <w:spacing w:after="0" w:line="252" w:lineRule="auto"/>
            </w:pPr>
            <w:r>
              <w:rPr>
                <w:rFonts w:ascii="Calibri" w:hAnsi="Calibri"/>
                <w:b/>
                <w:color w:val="17324D"/>
                <w:sz w:val="18"/>
              </w:rPr>
              <w:t>AIDA Stage</w:t>
            </w:r>
          </w:p>
        </w:tc>
        <w:tc>
          <w:tcPr>
            <w:tcW w:type="dxa" w:w="5600"/>
            <w:tcMar>
              <w:top w:w="80" w:type="dxa"/>
              <w:start w:w="120" w:type="dxa"/>
              <w:bottom w:w="80" w:type="dxa"/>
              <w:end w:w="120" w:type="dxa"/>
            </w:tcMar>
            <w:vAlign w:val="center"/>
            <w:shd w:fill="F2F4F7"/>
          </w:tcPr>
          <w:p>
            <w:pPr>
              <w:spacing w:after="0" w:line="252" w:lineRule="auto"/>
            </w:pPr>
            <w:r>
              <w:rPr>
                <w:rFonts w:ascii="Calibri" w:hAnsi="Calibri"/>
                <w:b/>
                <w:color w:val="17324D"/>
                <w:sz w:val="18"/>
              </w:rPr>
              <w:t>Component</w:t>
            </w:r>
          </w:p>
        </w:tc>
        <w:tc>
          <w:tcPr>
            <w:tcW w:type="dxa" w:w="1860"/>
            <w:tcMar>
              <w:top w:w="80" w:type="dxa"/>
              <w:start w:w="120" w:type="dxa"/>
              <w:bottom w:w="80" w:type="dxa"/>
              <w:end w:w="120" w:type="dxa"/>
            </w:tcMar>
            <w:vAlign w:val="center"/>
            <w:shd w:fill="F2F4F7"/>
          </w:tcPr>
          <w:p>
            <w:pPr>
              <w:spacing w:after="0" w:line="252" w:lineRule="auto"/>
            </w:pPr>
            <w:r>
              <w:rPr>
                <w:rFonts w:ascii="Calibri" w:hAnsi="Calibri"/>
                <w:b/>
                <w:color w:val="17324D"/>
                <w:sz w:val="18"/>
              </w:rPr>
              <w:t>Mean Score</w:t>
            </w:r>
          </w:p>
        </w:tc>
      </w:tr>
      <w:tr>
        <w:tc>
          <w:tcPr>
            <w:tcW w:type="dxa" w:w="3120"/>
          </w:tcPr>
          <w:p>
            <w:pPr>
              <w:spacing w:after="0" w:line="252" w:lineRule="auto"/>
            </w:pPr>
            <w:r>
              <w:rPr>
                <w:rFonts w:ascii="Calibri" w:hAnsi="Calibri"/>
                <w:b w:val="0"/>
                <w:color w:val="000000"/>
                <w:sz w:val="17"/>
              </w:rPr>
              <w:t>Attention</w:t>
            </w:r>
          </w:p>
        </w:tc>
        <w:tc>
          <w:tcPr>
            <w:tcW w:type="dxa" w:w="3120"/>
          </w:tcPr>
          <w:p>
            <w:pPr>
              <w:spacing w:after="0" w:line="252" w:lineRule="auto"/>
            </w:pPr>
            <w:r>
              <w:rPr>
                <w:rFonts w:ascii="Calibri" w:hAnsi="Calibri"/>
                <w:b w:val="0"/>
                <w:color w:val="000000"/>
                <w:sz w:val="17"/>
              </w:rPr>
              <w:t>IR awareness of Okada</w:t>
            </w:r>
          </w:p>
        </w:tc>
        <w:tc>
          <w:tcPr>
            <w:tcW w:type="dxa" w:w="3120"/>
          </w:tcPr>
          <w:p>
            <w:pPr>
              <w:spacing w:after="0" w:line="252" w:lineRule="auto"/>
            </w:pPr>
            <w:r>
              <w:rPr>
                <w:rFonts w:ascii="Calibri" w:hAnsi="Calibri"/>
                <w:b w:val="0"/>
                <w:color w:val="000000"/>
                <w:sz w:val="17"/>
              </w:rPr>
              <w:t>99.6</w:t>
            </w:r>
          </w:p>
        </w:tc>
      </w:tr>
      <w:tr>
        <w:tc>
          <w:tcPr>
            <w:tcW w:type="dxa" w:w="3120"/>
          </w:tcPr>
          <w:p>
            <w:pPr>
              <w:spacing w:after="0" w:line="252" w:lineRule="auto"/>
            </w:pPr>
            <w:r>
              <w:rPr>
                <w:rFonts w:ascii="Calibri" w:hAnsi="Calibri"/>
                <w:b w:val="0"/>
                <w:color w:val="000000"/>
                <w:sz w:val="17"/>
              </w:rPr>
              <w:t>Attention</w:t>
            </w:r>
          </w:p>
        </w:tc>
        <w:tc>
          <w:tcPr>
            <w:tcW w:type="dxa" w:w="3120"/>
          </w:tcPr>
          <w:p>
            <w:pPr>
              <w:spacing w:after="0" w:line="252" w:lineRule="auto"/>
            </w:pPr>
            <w:r>
              <w:rPr>
                <w:rFonts w:ascii="Calibri" w:hAnsi="Calibri"/>
                <w:b w:val="0"/>
                <w:color w:val="000000"/>
                <w:sz w:val="17"/>
              </w:rPr>
              <w:t>Okada familiarity</w:t>
            </w:r>
          </w:p>
        </w:tc>
        <w:tc>
          <w:tcPr>
            <w:tcW w:type="dxa" w:w="3120"/>
          </w:tcPr>
          <w:p>
            <w:pPr>
              <w:spacing w:after="0" w:line="252" w:lineRule="auto"/>
            </w:pPr>
            <w:r>
              <w:rPr>
                <w:rFonts w:ascii="Calibri" w:hAnsi="Calibri"/>
                <w:b w:val="0"/>
                <w:color w:val="000000"/>
                <w:sz w:val="17"/>
              </w:rPr>
              <w:t>79.6</w:t>
            </w:r>
          </w:p>
        </w:tc>
      </w:tr>
      <w:tr>
        <w:tc>
          <w:tcPr>
            <w:tcW w:type="dxa" w:w="3120"/>
          </w:tcPr>
          <w:p>
            <w:pPr>
              <w:spacing w:after="0" w:line="252" w:lineRule="auto"/>
            </w:pPr>
            <w:r>
              <w:rPr>
                <w:rFonts w:ascii="Calibri" w:hAnsi="Calibri"/>
                <w:b w:val="0"/>
                <w:color w:val="000000"/>
                <w:sz w:val="17"/>
              </w:rPr>
              <w:t>Attention</w:t>
            </w:r>
          </w:p>
        </w:tc>
        <w:tc>
          <w:tcPr>
            <w:tcW w:type="dxa" w:w="3120"/>
          </w:tcPr>
          <w:p>
            <w:pPr>
              <w:spacing w:after="0" w:line="252" w:lineRule="auto"/>
            </w:pPr>
            <w:r>
              <w:rPr>
                <w:rFonts w:ascii="Calibri" w:hAnsi="Calibri"/>
                <w:b w:val="0"/>
                <w:color w:val="000000"/>
                <w:sz w:val="17"/>
              </w:rPr>
              <w:t>Okada media exposure breadth</w:t>
            </w:r>
          </w:p>
        </w:tc>
        <w:tc>
          <w:tcPr>
            <w:tcW w:type="dxa" w:w="3120"/>
          </w:tcPr>
          <w:p>
            <w:pPr>
              <w:spacing w:after="0" w:line="252" w:lineRule="auto"/>
            </w:pPr>
            <w:r>
              <w:rPr>
                <w:rFonts w:ascii="Calibri" w:hAnsi="Calibri"/>
                <w:b w:val="0"/>
                <w:color w:val="000000"/>
                <w:sz w:val="17"/>
              </w:rPr>
              <w:t>37.1</w:t>
            </w:r>
          </w:p>
        </w:tc>
      </w:tr>
      <w:tr>
        <w:tc>
          <w:tcPr>
            <w:tcW w:type="dxa" w:w="3120"/>
          </w:tcPr>
          <w:p>
            <w:pPr>
              <w:spacing w:after="0" w:line="252" w:lineRule="auto"/>
            </w:pPr>
            <w:r>
              <w:rPr>
                <w:rFonts w:ascii="Calibri" w:hAnsi="Calibri"/>
                <w:b w:val="0"/>
                <w:color w:val="000000"/>
                <w:sz w:val="17"/>
              </w:rPr>
              <w:t>Attention</w:t>
            </w:r>
          </w:p>
        </w:tc>
        <w:tc>
          <w:tcPr>
            <w:tcW w:type="dxa" w:w="3120"/>
          </w:tcPr>
          <w:p>
            <w:pPr>
              <w:spacing w:after="0" w:line="252" w:lineRule="auto"/>
            </w:pPr>
            <w:r>
              <w:rPr>
                <w:rFonts w:ascii="Calibri" w:hAnsi="Calibri"/>
                <w:b w:val="0"/>
                <w:color w:val="000000"/>
                <w:sz w:val="17"/>
              </w:rPr>
              <w:t>Okada offering awareness breadth</w:t>
            </w:r>
          </w:p>
        </w:tc>
        <w:tc>
          <w:tcPr>
            <w:tcW w:type="dxa" w:w="3120"/>
          </w:tcPr>
          <w:p>
            <w:pPr>
              <w:spacing w:after="0" w:line="252" w:lineRule="auto"/>
            </w:pPr>
            <w:r>
              <w:rPr>
                <w:rFonts w:ascii="Calibri" w:hAnsi="Calibri"/>
                <w:b w:val="0"/>
                <w:color w:val="000000"/>
                <w:sz w:val="17"/>
              </w:rPr>
              <w:t>47.5</w:t>
            </w:r>
          </w:p>
        </w:tc>
      </w:tr>
      <w:tr>
        <w:tc>
          <w:tcPr>
            <w:tcW w:type="dxa" w:w="3120"/>
          </w:tcPr>
          <w:p>
            <w:pPr>
              <w:spacing w:after="0" w:line="252" w:lineRule="auto"/>
            </w:pPr>
            <w:r>
              <w:rPr>
                <w:rFonts w:ascii="Calibri" w:hAnsi="Calibri"/>
                <w:b w:val="0"/>
                <w:color w:val="000000"/>
                <w:sz w:val="17"/>
              </w:rPr>
              <w:t>Interest</w:t>
            </w:r>
          </w:p>
        </w:tc>
        <w:tc>
          <w:tcPr>
            <w:tcW w:type="dxa" w:w="3120"/>
          </w:tcPr>
          <w:p>
            <w:pPr>
              <w:spacing w:after="0" w:line="252" w:lineRule="auto"/>
            </w:pPr>
            <w:r>
              <w:rPr>
                <w:rFonts w:ascii="Calibri" w:hAnsi="Calibri"/>
                <w:b w:val="0"/>
                <w:color w:val="000000"/>
                <w:sz w:val="17"/>
              </w:rPr>
              <w:t>Family-amenity consideration</w:t>
            </w:r>
          </w:p>
        </w:tc>
        <w:tc>
          <w:tcPr>
            <w:tcW w:type="dxa" w:w="3120"/>
          </w:tcPr>
          <w:p>
            <w:pPr>
              <w:spacing w:after="0" w:line="252" w:lineRule="auto"/>
            </w:pPr>
            <w:r>
              <w:rPr>
                <w:rFonts w:ascii="Calibri" w:hAnsi="Calibri"/>
                <w:b w:val="0"/>
                <w:color w:val="000000"/>
                <w:sz w:val="17"/>
              </w:rPr>
              <w:t>98.2</w:t>
            </w:r>
          </w:p>
        </w:tc>
      </w:tr>
      <w:tr>
        <w:tc>
          <w:tcPr>
            <w:tcW w:type="dxa" w:w="3120"/>
          </w:tcPr>
          <w:p>
            <w:pPr>
              <w:spacing w:after="0" w:line="252" w:lineRule="auto"/>
            </w:pPr>
            <w:r>
              <w:rPr>
                <w:rFonts w:ascii="Calibri" w:hAnsi="Calibri"/>
                <w:b w:val="0"/>
                <w:color w:val="000000"/>
                <w:sz w:val="17"/>
              </w:rPr>
              <w:t>Interest</w:t>
            </w:r>
          </w:p>
        </w:tc>
        <w:tc>
          <w:tcPr>
            <w:tcW w:type="dxa" w:w="3120"/>
          </w:tcPr>
          <w:p>
            <w:pPr>
              <w:spacing w:after="0" w:line="252" w:lineRule="auto"/>
            </w:pPr>
            <w:r>
              <w:rPr>
                <w:rFonts w:ascii="Calibri" w:hAnsi="Calibri"/>
                <w:b w:val="0"/>
                <w:color w:val="000000"/>
                <w:sz w:val="17"/>
              </w:rPr>
              <w:t>Family-amenity importance</w:t>
            </w:r>
          </w:p>
        </w:tc>
        <w:tc>
          <w:tcPr>
            <w:tcW w:type="dxa" w:w="3120"/>
          </w:tcPr>
          <w:p>
            <w:pPr>
              <w:spacing w:after="0" w:line="252" w:lineRule="auto"/>
            </w:pPr>
            <w:r>
              <w:rPr>
                <w:rFonts w:ascii="Calibri" w:hAnsi="Calibri"/>
                <w:b w:val="0"/>
                <w:color w:val="000000"/>
                <w:sz w:val="17"/>
              </w:rPr>
              <w:t>87.2</w:t>
            </w:r>
          </w:p>
        </w:tc>
      </w:tr>
      <w:tr>
        <w:tc>
          <w:tcPr>
            <w:tcW w:type="dxa" w:w="3120"/>
          </w:tcPr>
          <w:p>
            <w:pPr>
              <w:spacing w:after="0" w:line="252" w:lineRule="auto"/>
            </w:pPr>
            <w:r>
              <w:rPr>
                <w:rFonts w:ascii="Calibri" w:hAnsi="Calibri"/>
                <w:b w:val="0"/>
                <w:color w:val="000000"/>
                <w:sz w:val="17"/>
              </w:rPr>
              <w:t>Interest</w:t>
            </w:r>
          </w:p>
        </w:tc>
        <w:tc>
          <w:tcPr>
            <w:tcW w:type="dxa" w:w="3120"/>
          </w:tcPr>
          <w:p>
            <w:pPr>
              <w:spacing w:after="0" w:line="252" w:lineRule="auto"/>
            </w:pPr>
            <w:r>
              <w:rPr>
                <w:rFonts w:ascii="Calibri" w:hAnsi="Calibri"/>
                <w:b w:val="0"/>
                <w:color w:val="000000"/>
                <w:sz w:val="17"/>
              </w:rPr>
              <w:t>Prior family-event participation</w:t>
            </w:r>
          </w:p>
        </w:tc>
        <w:tc>
          <w:tcPr>
            <w:tcW w:type="dxa" w:w="3120"/>
          </w:tcPr>
          <w:p>
            <w:pPr>
              <w:spacing w:after="0" w:line="252" w:lineRule="auto"/>
            </w:pPr>
            <w:r>
              <w:rPr>
                <w:rFonts w:ascii="Calibri" w:hAnsi="Calibri"/>
                <w:b w:val="0"/>
                <w:color w:val="000000"/>
                <w:sz w:val="17"/>
              </w:rPr>
              <w:t>52.4</w:t>
            </w:r>
          </w:p>
        </w:tc>
      </w:tr>
      <w:tr>
        <w:tc>
          <w:tcPr>
            <w:tcW w:type="dxa" w:w="3120"/>
          </w:tcPr>
          <w:p>
            <w:pPr>
              <w:spacing w:after="0" w:line="252" w:lineRule="auto"/>
            </w:pPr>
            <w:r>
              <w:rPr>
                <w:rFonts w:ascii="Calibri" w:hAnsi="Calibri"/>
                <w:b w:val="0"/>
                <w:color w:val="000000"/>
                <w:sz w:val="17"/>
              </w:rPr>
              <w:t>Interest</w:t>
            </w:r>
          </w:p>
        </w:tc>
        <w:tc>
          <w:tcPr>
            <w:tcW w:type="dxa" w:w="3120"/>
          </w:tcPr>
          <w:p>
            <w:pPr>
              <w:spacing w:after="0" w:line="252" w:lineRule="auto"/>
            </w:pPr>
            <w:r>
              <w:rPr>
                <w:rFonts w:ascii="Calibri" w:hAnsi="Calibri"/>
                <w:b w:val="0"/>
                <w:color w:val="000000"/>
                <w:sz w:val="17"/>
              </w:rPr>
              <w:t>Package interest breadth</w:t>
            </w:r>
          </w:p>
        </w:tc>
        <w:tc>
          <w:tcPr>
            <w:tcW w:type="dxa" w:w="3120"/>
          </w:tcPr>
          <w:p>
            <w:pPr>
              <w:spacing w:after="0" w:line="252" w:lineRule="auto"/>
            </w:pPr>
            <w:r>
              <w:rPr>
                <w:rFonts w:ascii="Calibri" w:hAnsi="Calibri"/>
                <w:b w:val="0"/>
                <w:color w:val="000000"/>
                <w:sz w:val="17"/>
              </w:rPr>
              <w:t>35.9</w:t>
            </w:r>
          </w:p>
        </w:tc>
      </w:tr>
      <w:tr>
        <w:tc>
          <w:tcPr>
            <w:tcW w:type="dxa" w:w="3120"/>
          </w:tcPr>
          <w:p>
            <w:pPr>
              <w:spacing w:after="0" w:line="252" w:lineRule="auto"/>
            </w:pPr>
            <w:r>
              <w:rPr>
                <w:rFonts w:ascii="Calibri" w:hAnsi="Calibri"/>
                <w:b w:val="0"/>
                <w:color w:val="000000"/>
                <w:sz w:val="17"/>
              </w:rPr>
              <w:t>Desire</w:t>
            </w:r>
          </w:p>
        </w:tc>
        <w:tc>
          <w:tcPr>
            <w:tcW w:type="dxa" w:w="3120"/>
          </w:tcPr>
          <w:p>
            <w:pPr>
              <w:spacing w:after="0" w:line="252" w:lineRule="auto"/>
            </w:pPr>
            <w:r>
              <w:rPr>
                <w:rFonts w:ascii="Calibri" w:hAnsi="Calibri"/>
                <w:b w:val="0"/>
                <w:color w:val="000000"/>
                <w:sz w:val="17"/>
              </w:rPr>
              <w:t>Likelihood to book family-friendly luxury hotel</w:t>
            </w:r>
          </w:p>
        </w:tc>
        <w:tc>
          <w:tcPr>
            <w:tcW w:type="dxa" w:w="3120"/>
          </w:tcPr>
          <w:p>
            <w:pPr>
              <w:spacing w:after="0" w:line="252" w:lineRule="auto"/>
            </w:pPr>
            <w:r>
              <w:rPr>
                <w:rFonts w:ascii="Calibri" w:hAnsi="Calibri"/>
                <w:b w:val="0"/>
                <w:color w:val="000000"/>
                <w:sz w:val="17"/>
              </w:rPr>
              <w:t>76.3</w:t>
            </w:r>
          </w:p>
        </w:tc>
      </w:tr>
      <w:tr>
        <w:tc>
          <w:tcPr>
            <w:tcW w:type="dxa" w:w="3120"/>
          </w:tcPr>
          <w:p>
            <w:pPr>
              <w:spacing w:after="0" w:line="252" w:lineRule="auto"/>
            </w:pPr>
            <w:r>
              <w:rPr>
                <w:rFonts w:ascii="Calibri" w:hAnsi="Calibri"/>
                <w:b w:val="0"/>
                <w:color w:val="000000"/>
                <w:sz w:val="17"/>
              </w:rPr>
              <w:t>Desire</w:t>
            </w:r>
          </w:p>
        </w:tc>
        <w:tc>
          <w:tcPr>
            <w:tcW w:type="dxa" w:w="3120"/>
          </w:tcPr>
          <w:p>
            <w:pPr>
              <w:spacing w:after="0" w:line="252" w:lineRule="auto"/>
            </w:pPr>
            <w:r>
              <w:rPr>
                <w:rFonts w:ascii="Calibri" w:hAnsi="Calibri"/>
                <w:b w:val="0"/>
                <w:color w:val="000000"/>
                <w:sz w:val="17"/>
              </w:rPr>
              <w:t>Okada stay budget</w:t>
            </w:r>
          </w:p>
        </w:tc>
        <w:tc>
          <w:tcPr>
            <w:tcW w:type="dxa" w:w="3120"/>
          </w:tcPr>
          <w:p>
            <w:pPr>
              <w:spacing w:after="0" w:line="252" w:lineRule="auto"/>
            </w:pPr>
            <w:r>
              <w:rPr>
                <w:rFonts w:ascii="Calibri" w:hAnsi="Calibri"/>
                <w:b w:val="0"/>
                <w:color w:val="000000"/>
                <w:sz w:val="17"/>
              </w:rPr>
              <w:t>51.8</w:t>
            </w:r>
          </w:p>
        </w:tc>
      </w:tr>
      <w:tr>
        <w:tc>
          <w:tcPr>
            <w:tcW w:type="dxa" w:w="3120"/>
          </w:tcPr>
          <w:p>
            <w:pPr>
              <w:spacing w:after="0" w:line="252" w:lineRule="auto"/>
            </w:pPr>
            <w:r>
              <w:rPr>
                <w:rFonts w:ascii="Calibri" w:hAnsi="Calibri"/>
                <w:b w:val="0"/>
                <w:color w:val="000000"/>
                <w:sz w:val="17"/>
              </w:rPr>
              <w:t>Desire</w:t>
            </w:r>
          </w:p>
        </w:tc>
        <w:tc>
          <w:tcPr>
            <w:tcW w:type="dxa" w:w="3120"/>
          </w:tcPr>
          <w:p>
            <w:pPr>
              <w:spacing w:after="0" w:line="252" w:lineRule="auto"/>
            </w:pPr>
            <w:r>
              <w:rPr>
                <w:rFonts w:ascii="Calibri" w:hAnsi="Calibri"/>
                <w:b w:val="0"/>
                <w:color w:val="000000"/>
                <w:sz w:val="17"/>
              </w:rPr>
              <w:t>Interest in family-oriented events</w:t>
            </w:r>
          </w:p>
        </w:tc>
        <w:tc>
          <w:tcPr>
            <w:tcW w:type="dxa" w:w="3120"/>
          </w:tcPr>
          <w:p>
            <w:pPr>
              <w:spacing w:after="0" w:line="252" w:lineRule="auto"/>
            </w:pPr>
            <w:r>
              <w:rPr>
                <w:rFonts w:ascii="Calibri" w:hAnsi="Calibri"/>
                <w:b w:val="0"/>
                <w:color w:val="000000"/>
                <w:sz w:val="17"/>
              </w:rPr>
              <w:t>75.9</w:t>
            </w:r>
          </w:p>
        </w:tc>
      </w:tr>
      <w:tr>
        <w:tc>
          <w:tcPr>
            <w:tcW w:type="dxa" w:w="3120"/>
          </w:tcPr>
          <w:p>
            <w:pPr>
              <w:spacing w:after="0" w:line="252" w:lineRule="auto"/>
            </w:pPr>
            <w:r>
              <w:rPr>
                <w:rFonts w:ascii="Calibri" w:hAnsi="Calibri"/>
                <w:b w:val="0"/>
                <w:color w:val="000000"/>
                <w:sz w:val="17"/>
              </w:rPr>
              <w:t>Desire</w:t>
            </w:r>
          </w:p>
        </w:tc>
        <w:tc>
          <w:tcPr>
            <w:tcW w:type="dxa" w:w="3120"/>
          </w:tcPr>
          <w:p>
            <w:pPr>
              <w:spacing w:after="0" w:line="252" w:lineRule="auto"/>
            </w:pPr>
            <w:r>
              <w:rPr>
                <w:rFonts w:ascii="Calibri" w:hAnsi="Calibri"/>
                <w:b w:val="0"/>
                <w:color w:val="000000"/>
                <w:sz w:val="17"/>
              </w:rPr>
              <w:t>Interest in experiential family packages</w:t>
            </w:r>
          </w:p>
        </w:tc>
        <w:tc>
          <w:tcPr>
            <w:tcW w:type="dxa" w:w="3120"/>
          </w:tcPr>
          <w:p>
            <w:pPr>
              <w:spacing w:after="0" w:line="252" w:lineRule="auto"/>
            </w:pPr>
            <w:r>
              <w:rPr>
                <w:rFonts w:ascii="Calibri" w:hAnsi="Calibri"/>
                <w:b w:val="0"/>
                <w:color w:val="000000"/>
                <w:sz w:val="17"/>
              </w:rPr>
              <w:t>74.2</w:t>
            </w:r>
          </w:p>
        </w:tc>
      </w:tr>
      <w:tr>
        <w:tc>
          <w:tcPr>
            <w:tcW w:type="dxa" w:w="3120"/>
          </w:tcPr>
          <w:p>
            <w:pPr>
              <w:spacing w:after="0" w:line="252" w:lineRule="auto"/>
            </w:pPr>
            <w:r>
              <w:rPr>
                <w:rFonts w:ascii="Calibri" w:hAnsi="Calibri"/>
                <w:b w:val="0"/>
                <w:color w:val="000000"/>
                <w:sz w:val="17"/>
              </w:rPr>
              <w:t>Action</w:t>
            </w:r>
          </w:p>
        </w:tc>
        <w:tc>
          <w:tcPr>
            <w:tcW w:type="dxa" w:w="3120"/>
          </w:tcPr>
          <w:p>
            <w:pPr>
              <w:spacing w:after="0" w:line="252" w:lineRule="auto"/>
            </w:pPr>
            <w:r>
              <w:rPr>
                <w:rFonts w:ascii="Calibri" w:hAnsi="Calibri"/>
                <w:b w:val="0"/>
                <w:color w:val="000000"/>
                <w:sz w:val="17"/>
              </w:rPr>
              <w:t>Hotel/staycation readiness</w:t>
            </w:r>
          </w:p>
        </w:tc>
        <w:tc>
          <w:tcPr>
            <w:tcW w:type="dxa" w:w="3120"/>
          </w:tcPr>
          <w:p>
            <w:pPr>
              <w:spacing w:after="0" w:line="252" w:lineRule="auto"/>
            </w:pPr>
            <w:r>
              <w:rPr>
                <w:rFonts w:ascii="Calibri" w:hAnsi="Calibri"/>
                <w:b w:val="0"/>
                <w:color w:val="000000"/>
                <w:sz w:val="17"/>
              </w:rPr>
              <w:t>82.2</w:t>
            </w:r>
          </w:p>
        </w:tc>
      </w:tr>
      <w:tr>
        <w:tc>
          <w:tcPr>
            <w:tcW w:type="dxa" w:w="3120"/>
          </w:tcPr>
          <w:p>
            <w:pPr>
              <w:spacing w:after="0" w:line="252" w:lineRule="auto"/>
            </w:pPr>
            <w:r>
              <w:rPr>
                <w:rFonts w:ascii="Calibri" w:hAnsi="Calibri"/>
                <w:b w:val="0"/>
                <w:color w:val="000000"/>
                <w:sz w:val="17"/>
              </w:rPr>
              <w:t>Action</w:t>
            </w:r>
          </w:p>
        </w:tc>
        <w:tc>
          <w:tcPr>
            <w:tcW w:type="dxa" w:w="3120"/>
          </w:tcPr>
          <w:p>
            <w:pPr>
              <w:spacing w:after="0" w:line="252" w:lineRule="auto"/>
            </w:pPr>
            <w:r>
              <w:rPr>
                <w:rFonts w:ascii="Calibri" w:hAnsi="Calibri"/>
                <w:b w:val="0"/>
                <w:color w:val="000000"/>
                <w:sz w:val="17"/>
              </w:rPr>
              <w:t>Prior Okada hotel stay</w:t>
            </w:r>
          </w:p>
        </w:tc>
        <w:tc>
          <w:tcPr>
            <w:tcW w:type="dxa" w:w="3120"/>
          </w:tcPr>
          <w:p>
            <w:pPr>
              <w:spacing w:after="0" w:line="252" w:lineRule="auto"/>
            </w:pPr>
            <w:r>
              <w:rPr>
                <w:rFonts w:ascii="Calibri" w:hAnsi="Calibri"/>
                <w:b w:val="0"/>
                <w:color w:val="000000"/>
                <w:sz w:val="17"/>
              </w:rPr>
              <w:t>38.0</w:t>
            </w:r>
          </w:p>
        </w:tc>
      </w:tr>
      <w:tr>
        <w:tc>
          <w:tcPr>
            <w:tcW w:type="dxa" w:w="3120"/>
          </w:tcPr>
          <w:p>
            <w:pPr>
              <w:spacing w:after="0" w:line="252" w:lineRule="auto"/>
            </w:pPr>
            <w:r>
              <w:rPr>
                <w:rFonts w:ascii="Calibri" w:hAnsi="Calibri"/>
                <w:b w:val="0"/>
                <w:color w:val="000000"/>
                <w:sz w:val="17"/>
              </w:rPr>
              <w:t>Action</w:t>
            </w:r>
          </w:p>
        </w:tc>
        <w:tc>
          <w:tcPr>
            <w:tcW w:type="dxa" w:w="3120"/>
          </w:tcPr>
          <w:p>
            <w:pPr>
              <w:spacing w:after="0" w:line="252" w:lineRule="auto"/>
            </w:pPr>
            <w:r>
              <w:rPr>
                <w:rFonts w:ascii="Calibri" w:hAnsi="Calibri"/>
                <w:b w:val="0"/>
                <w:color w:val="000000"/>
                <w:sz w:val="17"/>
              </w:rPr>
              <w:t>Planned Okada family staycation</w:t>
            </w:r>
          </w:p>
        </w:tc>
        <w:tc>
          <w:tcPr>
            <w:tcW w:type="dxa" w:w="3120"/>
          </w:tcPr>
          <w:p>
            <w:pPr>
              <w:spacing w:after="0" w:line="252" w:lineRule="auto"/>
            </w:pPr>
            <w:r>
              <w:rPr>
                <w:rFonts w:ascii="Calibri" w:hAnsi="Calibri"/>
                <w:b w:val="0"/>
                <w:color w:val="000000"/>
                <w:sz w:val="17"/>
              </w:rPr>
              <w:t>63.0</w:t>
            </w:r>
          </w:p>
        </w:tc>
      </w:tr>
      <w:tr>
        <w:tc>
          <w:tcPr>
            <w:tcW w:type="dxa" w:w="3120"/>
          </w:tcPr>
          <w:p>
            <w:pPr>
              <w:spacing w:after="0" w:line="252" w:lineRule="auto"/>
            </w:pPr>
            <w:r>
              <w:rPr>
                <w:rFonts w:ascii="Calibri" w:hAnsi="Calibri"/>
                <w:b w:val="0"/>
                <w:color w:val="000000"/>
                <w:sz w:val="17"/>
              </w:rPr>
              <w:t>Action</w:t>
            </w:r>
          </w:p>
        </w:tc>
        <w:tc>
          <w:tcPr>
            <w:tcW w:type="dxa" w:w="3120"/>
          </w:tcPr>
          <w:p>
            <w:pPr>
              <w:spacing w:after="0" w:line="252" w:lineRule="auto"/>
            </w:pPr>
            <w:r>
              <w:rPr>
                <w:rFonts w:ascii="Calibri" w:hAnsi="Calibri"/>
                <w:b w:val="0"/>
                <w:color w:val="000000"/>
                <w:sz w:val="17"/>
              </w:rPr>
              <w:t>Past Okada visit frequency</w:t>
            </w:r>
          </w:p>
        </w:tc>
        <w:tc>
          <w:tcPr>
            <w:tcW w:type="dxa" w:w="3120"/>
          </w:tcPr>
          <w:p>
            <w:pPr>
              <w:spacing w:after="0" w:line="252" w:lineRule="auto"/>
            </w:pPr>
            <w:r>
              <w:rPr>
                <w:rFonts w:ascii="Calibri" w:hAnsi="Calibri"/>
                <w:b w:val="0"/>
                <w:color w:val="000000"/>
                <w:sz w:val="17"/>
              </w:rPr>
              <w:t>51.4</w:t>
            </w:r>
          </w:p>
        </w:tc>
      </w:tr>
      <w:tr>
        <w:tc>
          <w:tcPr>
            <w:tcW w:type="dxa" w:w="3120"/>
          </w:tcPr>
          <w:p>
            <w:pPr>
              <w:spacing w:after="0" w:line="252" w:lineRule="auto"/>
            </w:pPr>
            <w:r>
              <w:rPr>
                <w:rFonts w:ascii="Calibri" w:hAnsi="Calibri"/>
                <w:b w:val="0"/>
                <w:color w:val="000000"/>
                <w:sz w:val="17"/>
              </w:rPr>
              <w:t>Action</w:t>
            </w:r>
          </w:p>
        </w:tc>
        <w:tc>
          <w:tcPr>
            <w:tcW w:type="dxa" w:w="3120"/>
          </w:tcPr>
          <w:p>
            <w:pPr>
              <w:spacing w:after="0" w:line="252" w:lineRule="auto"/>
            </w:pPr>
            <w:r>
              <w:rPr>
                <w:rFonts w:ascii="Calibri" w:hAnsi="Calibri"/>
                <w:b w:val="0"/>
                <w:color w:val="000000"/>
                <w:sz w:val="17"/>
              </w:rPr>
              <w:t>Planned Okada visit frequency</w:t>
            </w:r>
          </w:p>
        </w:tc>
        <w:tc>
          <w:tcPr>
            <w:tcW w:type="dxa" w:w="3120"/>
          </w:tcPr>
          <w:p>
            <w:pPr>
              <w:spacing w:after="0" w:line="252" w:lineRule="auto"/>
            </w:pPr>
            <w:r>
              <w:rPr>
                <w:rFonts w:ascii="Calibri" w:hAnsi="Calibri"/>
                <w:b w:val="0"/>
                <w:color w:val="000000"/>
                <w:sz w:val="17"/>
              </w:rPr>
              <w:t>52.5</w:t>
            </w:r>
          </w:p>
        </w:tc>
      </w:tr>
      <w:tr>
        <w:tc>
          <w:tcPr>
            <w:tcW w:type="dxa" w:w="3120"/>
          </w:tcPr>
          <w:p>
            <w:pPr>
              <w:spacing w:after="0" w:line="252" w:lineRule="auto"/>
            </w:pPr>
            <w:r>
              <w:rPr>
                <w:rFonts w:ascii="Calibri" w:hAnsi="Calibri"/>
                <w:b w:val="0"/>
                <w:color w:val="000000"/>
                <w:sz w:val="17"/>
              </w:rPr>
              <w:t>Action</w:t>
            </w:r>
          </w:p>
        </w:tc>
        <w:tc>
          <w:tcPr>
            <w:tcW w:type="dxa" w:w="3120"/>
          </w:tcPr>
          <w:p>
            <w:pPr>
              <w:spacing w:after="0" w:line="252" w:lineRule="auto"/>
            </w:pPr>
            <w:r>
              <w:rPr>
                <w:rFonts w:ascii="Calibri" w:hAnsi="Calibri"/>
                <w:b w:val="0"/>
                <w:color w:val="000000"/>
                <w:sz w:val="17"/>
              </w:rPr>
              <w:t>Return intention for family occasions</w:t>
            </w:r>
          </w:p>
        </w:tc>
        <w:tc>
          <w:tcPr>
            <w:tcW w:type="dxa" w:w="3120"/>
          </w:tcPr>
          <w:p>
            <w:pPr>
              <w:spacing w:after="0" w:line="252" w:lineRule="auto"/>
            </w:pPr>
            <w:r>
              <w:rPr>
                <w:rFonts w:ascii="Calibri" w:hAnsi="Calibri"/>
                <w:b w:val="0"/>
                <w:color w:val="000000"/>
                <w:sz w:val="17"/>
              </w:rPr>
              <w:t>77.8</w:t>
            </w:r>
          </w:p>
        </w:tc>
      </w:tr>
    </w:tbl>
    <w:p>
      <w:pPr>
        <w:pStyle w:val="TableNote"/>
      </w:pPr>
      <w:r>
        <w:t>Note. Component means show the contribution of each survey-derived proxy to its AIDA stage.</w:t>
      </w:r>
    </w:p>
    <w:p>
      <w:pPr>
        <w:pStyle w:val="Heading2"/>
      </w:pPr>
      <w:r>
        <w:t>Awareness, Preference, and Offering Recognition</w:t>
      </w:r>
    </w:p>
    <w:p>
      <w:pPr/>
      <w:r>
        <w:t>Okada Manila demonstrated broad awareness among family respondents. The property was recognized by 99.6% of respondents in the integrated-resort awareness item, and 70.7% selected Okada Manila as the integrated resort they would most likely choose for a family staycation. This indicates that Okada Manila is not only known but also comparatively preferred in the family-staycation context.</w:t>
      </w:r>
    </w:p>
    <w:p>
      <w:pPr>
        <w:jc w:val="center"/>
      </w:pPr>
      <w:r>
        <w:drawing>
          <wp:inline xmlns:a="http://schemas.openxmlformats.org/drawingml/2006/main" xmlns:pic="http://schemas.openxmlformats.org/drawingml/2006/picture">
            <wp:extent cx="5943600" cy="3461273"/>
            <wp:docPr id="9" name="Picture 9"/>
            <wp:cNvGraphicFramePr>
              <a:graphicFrameLocks noChangeAspect="1"/>
            </wp:cNvGraphicFramePr>
            <a:graphic>
              <a:graphicData uri="http://schemas.openxmlformats.org/drawingml/2006/picture">
                <pic:pic>
                  <pic:nvPicPr>
                    <pic:cNvPr id="0" name="fig08_offering_awareness.png"/>
                    <pic:cNvPicPr/>
                  </pic:nvPicPr>
                  <pic:blipFill>
                    <a:blip r:embed="rId19"/>
                    <a:stretch>
                      <a:fillRect/>
                    </a:stretch>
                  </pic:blipFill>
                  <pic:spPr>
                    <a:xfrm>
                      <a:off x="0" y="0"/>
                      <a:ext cx="5943600" cy="3461273"/>
                    </a:xfrm>
                    <a:prstGeom prst="rect"/>
                  </pic:spPr>
                </pic:pic>
              </a:graphicData>
            </a:graphic>
          </wp:inline>
        </w:drawing>
      </w:r>
    </w:p>
    <w:p>
      <w:pPr>
        <w:pStyle w:val="Caption"/>
        <w:jc w:val="center"/>
      </w:pPr>
      <w:r>
        <w:rPr>
          <w:i/>
        </w:rPr>
        <w:t>Figure 9. Recognition of Okada Manila offerings and facilities.</w:t>
      </w:r>
    </w:p>
    <w:p>
      <w:pPr>
        <w:jc w:val="center"/>
      </w:pPr>
      <w:r>
        <w:drawing>
          <wp:inline xmlns:a="http://schemas.openxmlformats.org/drawingml/2006/main" xmlns:pic="http://schemas.openxmlformats.org/drawingml/2006/picture">
            <wp:extent cx="5943600" cy="1741125"/>
            <wp:docPr id="10" name="Picture 10"/>
            <wp:cNvGraphicFramePr>
              <a:graphicFrameLocks noChangeAspect="1"/>
            </wp:cNvGraphicFramePr>
            <a:graphic>
              <a:graphicData uri="http://schemas.openxmlformats.org/drawingml/2006/picture">
                <pic:pic>
                  <pic:nvPicPr>
                    <pic:cNvPr id="0" name="fig09_ir_preference.png"/>
                    <pic:cNvPicPr/>
                  </pic:nvPicPr>
                  <pic:blipFill>
                    <a:blip r:embed="rId20"/>
                    <a:stretch>
                      <a:fillRect/>
                    </a:stretch>
                  </pic:blipFill>
                  <pic:spPr>
                    <a:xfrm>
                      <a:off x="0" y="0"/>
                      <a:ext cx="5943600" cy="1741125"/>
                    </a:xfrm>
                    <a:prstGeom prst="rect"/>
                  </pic:spPr>
                </pic:pic>
              </a:graphicData>
            </a:graphic>
          </wp:inline>
        </w:drawing>
      </w:r>
    </w:p>
    <w:p>
      <w:pPr>
        <w:pStyle w:val="Caption"/>
        <w:jc w:val="center"/>
      </w:pPr>
      <w:r>
        <w:rPr>
          <w:i/>
        </w:rPr>
        <w:t>Figure 10. Preferred integrated resort for a family staycation in Metro Manila.</w:t>
      </w:r>
    </w:p>
    <w:p>
      <w:pPr>
        <w:pStyle w:val="TableTitle"/>
      </w:pPr>
      <w:r>
        <w:rPr>
          <w:b/>
        </w:rPr>
        <w:t>Table 5. Preference and Competitor Frequency Summary</w:t>
      </w:r>
    </w:p>
    <w:tbl>
      <w:tblPr>
        <w:tblStyle w:val="TableGrid"/>
        <w:tblW w:type="dxa" w:w="9460"/>
        <w:jc w:val="center"/>
        <w:tblLayout w:type="fixed"/>
        <w:tblLook w:firstColumn="1" w:firstRow="1" w:lastColumn="0" w:lastRow="0" w:noHBand="0" w:noVBand="1" w:val="04A0"/>
      </w:tblPr>
      <w:tblGrid>
        <w:gridCol w:w="2340"/>
        <w:gridCol w:w="2340"/>
        <w:gridCol w:w="2340"/>
        <w:gridCol w:w="2340"/>
      </w:tblGrid>
      <w:tr>
        <w:tc>
          <w:tcPr>
            <w:tcW w:type="dxa" w:w="2900"/>
            <w:tcMar>
              <w:top w:w="80" w:type="dxa"/>
              <w:start w:w="120" w:type="dxa"/>
              <w:bottom w:w="80" w:type="dxa"/>
              <w:end w:w="120" w:type="dxa"/>
            </w:tcMar>
            <w:vAlign w:val="center"/>
            <w:shd w:fill="F2F4F7"/>
          </w:tcPr>
          <w:p>
            <w:pPr>
              <w:spacing w:after="0" w:line="252" w:lineRule="auto"/>
            </w:pPr>
            <w:r>
              <w:rPr>
                <w:rFonts w:ascii="Calibri" w:hAnsi="Calibri"/>
                <w:b/>
                <w:color w:val="17324D"/>
                <w:sz w:val="18"/>
              </w:rPr>
              <w:t>Measure</w:t>
            </w:r>
          </w:p>
        </w:tc>
        <w:tc>
          <w:tcPr>
            <w:tcW w:type="dxa" w:w="3600"/>
            <w:tcMar>
              <w:top w:w="80" w:type="dxa"/>
              <w:start w:w="120" w:type="dxa"/>
              <w:bottom w:w="80" w:type="dxa"/>
              <w:end w:w="120" w:type="dxa"/>
            </w:tcMar>
            <w:vAlign w:val="center"/>
            <w:shd w:fill="F2F4F7"/>
          </w:tcPr>
          <w:p>
            <w:pPr>
              <w:spacing w:after="0" w:line="252" w:lineRule="auto"/>
            </w:pPr>
            <w:r>
              <w:rPr>
                <w:rFonts w:ascii="Calibri" w:hAnsi="Calibri"/>
                <w:b/>
                <w:color w:val="17324D"/>
                <w:sz w:val="18"/>
              </w:rPr>
              <w:t>Category</w:t>
            </w:r>
          </w:p>
        </w:tc>
        <w:tc>
          <w:tcPr>
            <w:tcW w:type="dxa" w:w="1300"/>
            <w:tcMar>
              <w:top w:w="80" w:type="dxa"/>
              <w:start w:w="120" w:type="dxa"/>
              <w:bottom w:w="80" w:type="dxa"/>
              <w:end w:w="120" w:type="dxa"/>
            </w:tcMar>
            <w:vAlign w:val="center"/>
            <w:shd w:fill="F2F4F7"/>
          </w:tcPr>
          <w:p>
            <w:pPr>
              <w:spacing w:after="0" w:line="252" w:lineRule="auto"/>
            </w:pPr>
            <w:r>
              <w:rPr>
                <w:rFonts w:ascii="Calibri" w:hAnsi="Calibri"/>
                <w:b/>
                <w:color w:val="17324D"/>
                <w:sz w:val="18"/>
              </w:rPr>
              <w:t>Frequency</w:t>
            </w:r>
          </w:p>
        </w:tc>
        <w:tc>
          <w:tcPr>
            <w:tcW w:type="dxa" w:w="1660"/>
            <w:tcMar>
              <w:top w:w="80" w:type="dxa"/>
              <w:start w:w="120" w:type="dxa"/>
              <w:bottom w:w="80" w:type="dxa"/>
              <w:end w:w="120" w:type="dxa"/>
            </w:tcMar>
            <w:vAlign w:val="center"/>
            <w:shd w:fill="F2F4F7"/>
          </w:tcPr>
          <w:p>
            <w:pPr>
              <w:spacing w:after="0" w:line="252" w:lineRule="auto"/>
            </w:pPr>
            <w:r>
              <w:rPr>
                <w:rFonts w:ascii="Calibri" w:hAnsi="Calibri"/>
                <w:b/>
                <w:color w:val="17324D"/>
                <w:sz w:val="18"/>
              </w:rPr>
              <w:t>Percent</w:t>
            </w:r>
          </w:p>
        </w:tc>
      </w:tr>
      <w:tr>
        <w:tc>
          <w:tcPr>
            <w:tcW w:type="dxa" w:w="2340"/>
          </w:tcPr>
          <w:p>
            <w:pPr>
              <w:spacing w:after="0" w:line="252" w:lineRule="auto"/>
            </w:pPr>
            <w:r>
              <w:rPr>
                <w:rFonts w:ascii="Calibri" w:hAnsi="Calibri"/>
                <w:b w:val="0"/>
                <w:color w:val="000000"/>
                <w:sz w:val="17"/>
              </w:rPr>
              <w:t>Family Staycation Preference</w:t>
            </w:r>
          </w:p>
        </w:tc>
        <w:tc>
          <w:tcPr>
            <w:tcW w:type="dxa" w:w="2340"/>
          </w:tcPr>
          <w:p>
            <w:pPr>
              <w:spacing w:after="0" w:line="252" w:lineRule="auto"/>
            </w:pPr>
            <w:r>
              <w:rPr>
                <w:rFonts w:ascii="Calibri" w:hAnsi="Calibri"/>
                <w:b w:val="0"/>
                <w:color w:val="000000"/>
                <w:sz w:val="17"/>
              </w:rPr>
              <w:t>Okada Manila</w:t>
            </w:r>
          </w:p>
        </w:tc>
        <w:tc>
          <w:tcPr>
            <w:tcW w:type="dxa" w:w="2340"/>
          </w:tcPr>
          <w:p>
            <w:pPr>
              <w:spacing w:after="0" w:line="252" w:lineRule="auto"/>
            </w:pPr>
            <w:r>
              <w:rPr>
                <w:rFonts w:ascii="Calibri" w:hAnsi="Calibri"/>
                <w:b w:val="0"/>
                <w:color w:val="000000"/>
                <w:sz w:val="17"/>
              </w:rPr>
              <w:t>162</w:t>
            </w:r>
          </w:p>
        </w:tc>
        <w:tc>
          <w:tcPr>
            <w:tcW w:type="dxa" w:w="2340"/>
          </w:tcPr>
          <w:p>
            <w:pPr>
              <w:spacing w:after="0" w:line="252" w:lineRule="auto"/>
            </w:pPr>
            <w:r>
              <w:rPr>
                <w:rFonts w:ascii="Calibri" w:hAnsi="Calibri"/>
                <w:b w:val="0"/>
                <w:color w:val="000000"/>
                <w:sz w:val="17"/>
              </w:rPr>
              <w:t>70.7</w:t>
            </w:r>
          </w:p>
        </w:tc>
      </w:tr>
      <w:tr>
        <w:tc>
          <w:tcPr>
            <w:tcW w:type="dxa" w:w="2340"/>
          </w:tcPr>
          <w:p>
            <w:pPr>
              <w:spacing w:after="0" w:line="252" w:lineRule="auto"/>
            </w:pPr>
            <w:r>
              <w:rPr>
                <w:rFonts w:ascii="Calibri" w:hAnsi="Calibri"/>
                <w:b w:val="0"/>
                <w:color w:val="000000"/>
                <w:sz w:val="17"/>
              </w:rPr>
              <w:t>Family Staycation Preference</w:t>
            </w:r>
          </w:p>
        </w:tc>
        <w:tc>
          <w:tcPr>
            <w:tcW w:type="dxa" w:w="2340"/>
          </w:tcPr>
          <w:p>
            <w:pPr>
              <w:spacing w:after="0" w:line="252" w:lineRule="auto"/>
            </w:pPr>
            <w:r>
              <w:rPr>
                <w:rFonts w:ascii="Calibri" w:hAnsi="Calibri"/>
                <w:b w:val="0"/>
                <w:color w:val="000000"/>
                <w:sz w:val="17"/>
              </w:rPr>
              <w:t>Solaire Resort / Solaire North</w:t>
            </w:r>
          </w:p>
        </w:tc>
        <w:tc>
          <w:tcPr>
            <w:tcW w:type="dxa" w:w="2340"/>
          </w:tcPr>
          <w:p>
            <w:pPr>
              <w:spacing w:after="0" w:line="252" w:lineRule="auto"/>
            </w:pPr>
            <w:r>
              <w:rPr>
                <w:rFonts w:ascii="Calibri" w:hAnsi="Calibri"/>
                <w:b w:val="0"/>
                <w:color w:val="000000"/>
                <w:sz w:val="17"/>
              </w:rPr>
              <w:t>26</w:t>
            </w:r>
          </w:p>
        </w:tc>
        <w:tc>
          <w:tcPr>
            <w:tcW w:type="dxa" w:w="2340"/>
          </w:tcPr>
          <w:p>
            <w:pPr>
              <w:spacing w:after="0" w:line="252" w:lineRule="auto"/>
            </w:pPr>
            <w:r>
              <w:rPr>
                <w:rFonts w:ascii="Calibri" w:hAnsi="Calibri"/>
                <w:b w:val="0"/>
                <w:color w:val="000000"/>
                <w:sz w:val="17"/>
              </w:rPr>
              <w:t>11.4</w:t>
            </w:r>
          </w:p>
        </w:tc>
      </w:tr>
      <w:tr>
        <w:tc>
          <w:tcPr>
            <w:tcW w:type="dxa" w:w="2340"/>
          </w:tcPr>
          <w:p>
            <w:pPr>
              <w:spacing w:after="0" w:line="252" w:lineRule="auto"/>
            </w:pPr>
            <w:r>
              <w:rPr>
                <w:rFonts w:ascii="Calibri" w:hAnsi="Calibri"/>
                <w:b w:val="0"/>
                <w:color w:val="000000"/>
                <w:sz w:val="17"/>
              </w:rPr>
              <w:t>Family Staycation Preference</w:t>
            </w:r>
          </w:p>
        </w:tc>
        <w:tc>
          <w:tcPr>
            <w:tcW w:type="dxa" w:w="2340"/>
          </w:tcPr>
          <w:p>
            <w:pPr>
              <w:spacing w:after="0" w:line="252" w:lineRule="auto"/>
            </w:pPr>
            <w:r>
              <w:rPr>
                <w:rFonts w:ascii="Calibri" w:hAnsi="Calibri"/>
                <w:b w:val="0"/>
                <w:color w:val="000000"/>
                <w:sz w:val="17"/>
              </w:rPr>
              <w:t>Newport World Resorts</w:t>
            </w:r>
          </w:p>
        </w:tc>
        <w:tc>
          <w:tcPr>
            <w:tcW w:type="dxa" w:w="2340"/>
          </w:tcPr>
          <w:p>
            <w:pPr>
              <w:spacing w:after="0" w:line="252" w:lineRule="auto"/>
            </w:pPr>
            <w:r>
              <w:rPr>
                <w:rFonts w:ascii="Calibri" w:hAnsi="Calibri"/>
                <w:b w:val="0"/>
                <w:color w:val="000000"/>
                <w:sz w:val="17"/>
              </w:rPr>
              <w:t>22</w:t>
            </w:r>
          </w:p>
        </w:tc>
        <w:tc>
          <w:tcPr>
            <w:tcW w:type="dxa" w:w="2340"/>
          </w:tcPr>
          <w:p>
            <w:pPr>
              <w:spacing w:after="0" w:line="252" w:lineRule="auto"/>
            </w:pPr>
            <w:r>
              <w:rPr>
                <w:rFonts w:ascii="Calibri" w:hAnsi="Calibri"/>
                <w:b w:val="0"/>
                <w:color w:val="000000"/>
                <w:sz w:val="17"/>
              </w:rPr>
              <w:t>9.6</w:t>
            </w:r>
          </w:p>
        </w:tc>
      </w:tr>
      <w:tr>
        <w:tc>
          <w:tcPr>
            <w:tcW w:type="dxa" w:w="2340"/>
          </w:tcPr>
          <w:p>
            <w:pPr>
              <w:spacing w:after="0" w:line="252" w:lineRule="auto"/>
            </w:pPr>
            <w:r>
              <w:rPr>
                <w:rFonts w:ascii="Calibri" w:hAnsi="Calibri"/>
                <w:b w:val="0"/>
                <w:color w:val="000000"/>
                <w:sz w:val="17"/>
              </w:rPr>
              <w:t>Family Staycation Preference</w:t>
            </w:r>
          </w:p>
        </w:tc>
        <w:tc>
          <w:tcPr>
            <w:tcW w:type="dxa" w:w="2340"/>
          </w:tcPr>
          <w:p>
            <w:pPr>
              <w:spacing w:after="0" w:line="252" w:lineRule="auto"/>
            </w:pPr>
            <w:r>
              <w:rPr>
                <w:rFonts w:ascii="Calibri" w:hAnsi="Calibri"/>
                <w:b w:val="0"/>
                <w:color w:val="000000"/>
                <w:sz w:val="17"/>
              </w:rPr>
              <w:t>City of Dreams Manila</w:t>
            </w:r>
          </w:p>
        </w:tc>
        <w:tc>
          <w:tcPr>
            <w:tcW w:type="dxa" w:w="2340"/>
          </w:tcPr>
          <w:p>
            <w:pPr>
              <w:spacing w:after="0" w:line="252" w:lineRule="auto"/>
            </w:pPr>
            <w:r>
              <w:rPr>
                <w:rFonts w:ascii="Calibri" w:hAnsi="Calibri"/>
                <w:b w:val="0"/>
                <w:color w:val="000000"/>
                <w:sz w:val="17"/>
              </w:rPr>
              <w:t>19</w:t>
            </w:r>
          </w:p>
        </w:tc>
        <w:tc>
          <w:tcPr>
            <w:tcW w:type="dxa" w:w="2340"/>
          </w:tcPr>
          <w:p>
            <w:pPr>
              <w:spacing w:after="0" w:line="252" w:lineRule="auto"/>
            </w:pPr>
            <w:r>
              <w:rPr>
                <w:rFonts w:ascii="Calibri" w:hAnsi="Calibri"/>
                <w:b w:val="0"/>
                <w:color w:val="000000"/>
                <w:sz w:val="17"/>
              </w:rPr>
              <w:t>8.3</w:t>
            </w:r>
          </w:p>
        </w:tc>
      </w:tr>
      <w:tr>
        <w:tc>
          <w:tcPr>
            <w:tcW w:type="dxa" w:w="2340"/>
          </w:tcPr>
          <w:p>
            <w:pPr>
              <w:spacing w:after="0" w:line="252" w:lineRule="auto"/>
            </w:pPr>
            <w:r>
              <w:rPr>
                <w:rFonts w:ascii="Calibri" w:hAnsi="Calibri"/>
                <w:b w:val="0"/>
                <w:color w:val="000000"/>
                <w:sz w:val="17"/>
              </w:rPr>
              <w:t>Perceived Strongest Competitor</w:t>
            </w:r>
          </w:p>
        </w:tc>
        <w:tc>
          <w:tcPr>
            <w:tcW w:type="dxa" w:w="2340"/>
          </w:tcPr>
          <w:p>
            <w:pPr>
              <w:spacing w:after="0" w:line="252" w:lineRule="auto"/>
            </w:pPr>
            <w:r>
              <w:rPr>
                <w:rFonts w:ascii="Calibri" w:hAnsi="Calibri"/>
                <w:b w:val="0"/>
                <w:color w:val="000000"/>
                <w:sz w:val="17"/>
              </w:rPr>
              <w:t>Solaire Resort</w:t>
            </w:r>
          </w:p>
        </w:tc>
        <w:tc>
          <w:tcPr>
            <w:tcW w:type="dxa" w:w="2340"/>
          </w:tcPr>
          <w:p>
            <w:pPr>
              <w:spacing w:after="0" w:line="252" w:lineRule="auto"/>
            </w:pPr>
            <w:r>
              <w:rPr>
                <w:rFonts w:ascii="Calibri" w:hAnsi="Calibri"/>
                <w:b w:val="0"/>
                <w:color w:val="000000"/>
                <w:sz w:val="17"/>
              </w:rPr>
              <w:t>105</w:t>
            </w:r>
          </w:p>
        </w:tc>
        <w:tc>
          <w:tcPr>
            <w:tcW w:type="dxa" w:w="2340"/>
          </w:tcPr>
          <w:p>
            <w:pPr>
              <w:spacing w:after="0" w:line="252" w:lineRule="auto"/>
            </w:pPr>
            <w:r>
              <w:rPr>
                <w:rFonts w:ascii="Calibri" w:hAnsi="Calibri"/>
                <w:b w:val="0"/>
                <w:color w:val="000000"/>
                <w:sz w:val="17"/>
              </w:rPr>
              <w:t>45.9</w:t>
            </w:r>
          </w:p>
        </w:tc>
      </w:tr>
      <w:tr>
        <w:tc>
          <w:tcPr>
            <w:tcW w:type="dxa" w:w="2340"/>
          </w:tcPr>
          <w:p>
            <w:pPr>
              <w:spacing w:after="0" w:line="252" w:lineRule="auto"/>
            </w:pPr>
            <w:r>
              <w:rPr>
                <w:rFonts w:ascii="Calibri" w:hAnsi="Calibri"/>
                <w:b w:val="0"/>
                <w:color w:val="000000"/>
                <w:sz w:val="17"/>
              </w:rPr>
              <w:t>Perceived Strongest Competitor</w:t>
            </w:r>
          </w:p>
        </w:tc>
        <w:tc>
          <w:tcPr>
            <w:tcW w:type="dxa" w:w="2340"/>
          </w:tcPr>
          <w:p>
            <w:pPr>
              <w:spacing w:after="0" w:line="252" w:lineRule="auto"/>
            </w:pPr>
            <w:r>
              <w:rPr>
                <w:rFonts w:ascii="Calibri" w:hAnsi="Calibri"/>
                <w:b w:val="0"/>
                <w:color w:val="000000"/>
                <w:sz w:val="17"/>
              </w:rPr>
              <w:t>Newport World Resorts</w:t>
            </w:r>
          </w:p>
        </w:tc>
        <w:tc>
          <w:tcPr>
            <w:tcW w:type="dxa" w:w="2340"/>
          </w:tcPr>
          <w:p>
            <w:pPr>
              <w:spacing w:after="0" w:line="252" w:lineRule="auto"/>
            </w:pPr>
            <w:r>
              <w:rPr>
                <w:rFonts w:ascii="Calibri" w:hAnsi="Calibri"/>
                <w:b w:val="0"/>
                <w:color w:val="000000"/>
                <w:sz w:val="17"/>
              </w:rPr>
              <w:t>66</w:t>
            </w:r>
          </w:p>
        </w:tc>
        <w:tc>
          <w:tcPr>
            <w:tcW w:type="dxa" w:w="2340"/>
          </w:tcPr>
          <w:p>
            <w:pPr>
              <w:spacing w:after="0" w:line="252" w:lineRule="auto"/>
            </w:pPr>
            <w:r>
              <w:rPr>
                <w:rFonts w:ascii="Calibri" w:hAnsi="Calibri"/>
                <w:b w:val="0"/>
                <w:color w:val="000000"/>
                <w:sz w:val="17"/>
              </w:rPr>
              <w:t>28.8</w:t>
            </w:r>
          </w:p>
        </w:tc>
      </w:tr>
      <w:tr>
        <w:tc>
          <w:tcPr>
            <w:tcW w:type="dxa" w:w="2340"/>
          </w:tcPr>
          <w:p>
            <w:pPr>
              <w:spacing w:after="0" w:line="252" w:lineRule="auto"/>
            </w:pPr>
            <w:r>
              <w:rPr>
                <w:rFonts w:ascii="Calibri" w:hAnsi="Calibri"/>
                <w:b w:val="0"/>
                <w:color w:val="000000"/>
                <w:sz w:val="17"/>
              </w:rPr>
              <w:t>Perceived Strongest Competitor</w:t>
            </w:r>
          </w:p>
        </w:tc>
        <w:tc>
          <w:tcPr>
            <w:tcW w:type="dxa" w:w="2340"/>
          </w:tcPr>
          <w:p>
            <w:pPr>
              <w:spacing w:after="0" w:line="252" w:lineRule="auto"/>
            </w:pPr>
            <w:r>
              <w:rPr>
                <w:rFonts w:ascii="Calibri" w:hAnsi="Calibri"/>
                <w:b w:val="0"/>
                <w:color w:val="000000"/>
                <w:sz w:val="17"/>
              </w:rPr>
              <w:t>City of Dreams Manila</w:t>
            </w:r>
          </w:p>
        </w:tc>
        <w:tc>
          <w:tcPr>
            <w:tcW w:type="dxa" w:w="2340"/>
          </w:tcPr>
          <w:p>
            <w:pPr>
              <w:spacing w:after="0" w:line="252" w:lineRule="auto"/>
            </w:pPr>
            <w:r>
              <w:rPr>
                <w:rFonts w:ascii="Calibri" w:hAnsi="Calibri"/>
                <w:b w:val="0"/>
                <w:color w:val="000000"/>
                <w:sz w:val="17"/>
              </w:rPr>
              <w:t>58</w:t>
            </w:r>
          </w:p>
        </w:tc>
        <w:tc>
          <w:tcPr>
            <w:tcW w:type="dxa" w:w="2340"/>
          </w:tcPr>
          <w:p>
            <w:pPr>
              <w:spacing w:after="0" w:line="252" w:lineRule="auto"/>
            </w:pPr>
            <w:r>
              <w:rPr>
                <w:rFonts w:ascii="Calibri" w:hAnsi="Calibri"/>
                <w:b w:val="0"/>
                <w:color w:val="000000"/>
                <w:sz w:val="17"/>
              </w:rPr>
              <w:t>25.3</w:t>
            </w:r>
          </w:p>
        </w:tc>
      </w:tr>
    </w:tbl>
    <w:p>
      <w:pPr>
        <w:pStyle w:val="TableNote"/>
      </w:pPr>
      <w:r>
        <w:t>Note. Preference and competitor measures provide evidence for positioning and differentiation decisions.</w:t>
      </w:r>
    </w:p>
    <w:p>
      <w:pPr>
        <w:pStyle w:val="Heading2"/>
      </w:pPr>
      <w:r>
        <w:t>Booking Drivers, Package Interest, and Revenue-Relevant Indicators</w:t>
      </w:r>
    </w:p>
    <w:p>
      <w:pPr/>
      <w:r>
        <w:t>Booking decisions were strongly influenced by value and family relevance. The leading booking factor was Price/promos (28.4%), and the most preferred family package was Weekend family getaway (33.2%). The leading room type was Deluxe Room (55.0%), while the most common Okada stay budget was ₱10,000–₱14,999 (34.1%). These results suggest that premium positioning should be paired with concrete family benefits and carefully structured package value.</w:t>
      </w:r>
    </w:p>
    <w:p>
      <w:pPr>
        <w:jc w:val="center"/>
      </w:pPr>
      <w:r>
        <w:drawing>
          <wp:inline xmlns:a="http://schemas.openxmlformats.org/drawingml/2006/main" xmlns:pic="http://schemas.openxmlformats.org/drawingml/2006/picture">
            <wp:extent cx="5943600" cy="3174582"/>
            <wp:docPr id="11" name="Picture 11"/>
            <wp:cNvGraphicFramePr>
              <a:graphicFrameLocks noChangeAspect="1"/>
            </wp:cNvGraphicFramePr>
            <a:graphic>
              <a:graphicData uri="http://schemas.openxmlformats.org/drawingml/2006/picture">
                <pic:pic>
                  <pic:nvPicPr>
                    <pic:cNvPr id="0" name="fig10_booking_factors.png"/>
                    <pic:cNvPicPr/>
                  </pic:nvPicPr>
                  <pic:blipFill>
                    <a:blip r:embed="rId21"/>
                    <a:stretch>
                      <a:fillRect/>
                    </a:stretch>
                  </pic:blipFill>
                  <pic:spPr>
                    <a:xfrm>
                      <a:off x="0" y="0"/>
                      <a:ext cx="5943600" cy="3174582"/>
                    </a:xfrm>
                    <a:prstGeom prst="rect"/>
                  </pic:spPr>
                </pic:pic>
              </a:graphicData>
            </a:graphic>
          </wp:inline>
        </w:drawing>
      </w:r>
    </w:p>
    <w:p>
      <w:pPr>
        <w:pStyle w:val="Caption"/>
        <w:jc w:val="center"/>
      </w:pPr>
      <w:r>
        <w:rPr>
          <w:i/>
        </w:rPr>
        <w:t>Figure 11. Primary booking factors influencing a stay at Okada Manila.</w:t>
      </w:r>
    </w:p>
    <w:p>
      <w:pPr>
        <w:jc w:val="center"/>
      </w:pPr>
      <w:r>
        <w:drawing>
          <wp:inline xmlns:a="http://schemas.openxmlformats.org/drawingml/2006/main" xmlns:pic="http://schemas.openxmlformats.org/drawingml/2006/picture">
            <wp:extent cx="5943600" cy="2887890"/>
            <wp:docPr id="12" name="Picture 12"/>
            <wp:cNvGraphicFramePr>
              <a:graphicFrameLocks noChangeAspect="1"/>
            </wp:cNvGraphicFramePr>
            <a:graphic>
              <a:graphicData uri="http://schemas.openxmlformats.org/drawingml/2006/picture">
                <pic:pic>
                  <pic:nvPicPr>
                    <pic:cNvPr id="0" name="fig11_package_preference.png"/>
                    <pic:cNvPicPr/>
                  </pic:nvPicPr>
                  <pic:blipFill>
                    <a:blip r:embed="rId22"/>
                    <a:stretch>
                      <a:fillRect/>
                    </a:stretch>
                  </pic:blipFill>
                  <pic:spPr>
                    <a:xfrm>
                      <a:off x="0" y="0"/>
                      <a:ext cx="5943600" cy="2887890"/>
                    </a:xfrm>
                    <a:prstGeom prst="rect"/>
                  </pic:spPr>
                </pic:pic>
              </a:graphicData>
            </a:graphic>
          </wp:inline>
        </w:drawing>
      </w:r>
    </w:p>
    <w:p>
      <w:pPr>
        <w:pStyle w:val="Caption"/>
        <w:jc w:val="center"/>
      </w:pPr>
      <w:r>
        <w:rPr>
          <w:i/>
        </w:rPr>
        <w:t>Figure 12. Preferred family package concepts for Okada Manila.</w:t>
      </w:r>
    </w:p>
    <w:p>
      <w:pPr>
        <w:pStyle w:val="TableTitle"/>
      </w:pPr>
      <w:r>
        <w:rPr>
          <w:b/>
        </w:rPr>
        <w:t>Table 6. Booking Factor and Package Preference Summary</w:t>
      </w:r>
    </w:p>
    <w:tbl>
      <w:tblPr>
        <w:tblStyle w:val="TableGrid"/>
        <w:tblW w:type="dxa" w:w="9460"/>
        <w:jc w:val="center"/>
        <w:tblLayout w:type="fixed"/>
        <w:tblLook w:firstColumn="1" w:firstRow="1" w:lastColumn="0" w:lastRow="0" w:noHBand="0" w:noVBand="1" w:val="04A0"/>
      </w:tblPr>
      <w:tblGrid>
        <w:gridCol w:w="2340"/>
        <w:gridCol w:w="2340"/>
        <w:gridCol w:w="2340"/>
        <w:gridCol w:w="2340"/>
      </w:tblGrid>
      <w:tr>
        <w:tc>
          <w:tcPr>
            <w:tcW w:type="dxa" w:w="2200"/>
            <w:tcMar>
              <w:top w:w="80" w:type="dxa"/>
              <w:start w:w="120" w:type="dxa"/>
              <w:bottom w:w="80" w:type="dxa"/>
              <w:end w:w="120" w:type="dxa"/>
            </w:tcMar>
            <w:vAlign w:val="center"/>
            <w:shd w:fill="F2F4F7"/>
          </w:tcPr>
          <w:p>
            <w:pPr>
              <w:spacing w:after="0" w:line="252" w:lineRule="auto"/>
            </w:pPr>
            <w:r>
              <w:rPr>
                <w:rFonts w:ascii="Calibri" w:hAnsi="Calibri"/>
                <w:b/>
                <w:color w:val="17324D"/>
                <w:sz w:val="18"/>
              </w:rPr>
              <w:t>Measure</w:t>
            </w:r>
          </w:p>
        </w:tc>
        <w:tc>
          <w:tcPr>
            <w:tcW w:type="dxa" w:w="4300"/>
            <w:tcMar>
              <w:top w:w="80" w:type="dxa"/>
              <w:start w:w="120" w:type="dxa"/>
              <w:bottom w:w="80" w:type="dxa"/>
              <w:end w:w="120" w:type="dxa"/>
            </w:tcMar>
            <w:vAlign w:val="center"/>
            <w:shd w:fill="F2F4F7"/>
          </w:tcPr>
          <w:p>
            <w:pPr>
              <w:spacing w:after="0" w:line="252" w:lineRule="auto"/>
            </w:pPr>
            <w:r>
              <w:rPr>
                <w:rFonts w:ascii="Calibri" w:hAnsi="Calibri"/>
                <w:b/>
                <w:color w:val="17324D"/>
                <w:sz w:val="18"/>
              </w:rPr>
              <w:t>Category</w:t>
            </w:r>
          </w:p>
        </w:tc>
        <w:tc>
          <w:tcPr>
            <w:tcW w:type="dxa" w:w="1300"/>
            <w:tcMar>
              <w:top w:w="80" w:type="dxa"/>
              <w:start w:w="120" w:type="dxa"/>
              <w:bottom w:w="80" w:type="dxa"/>
              <w:end w:w="120" w:type="dxa"/>
            </w:tcMar>
            <w:vAlign w:val="center"/>
            <w:shd w:fill="F2F4F7"/>
          </w:tcPr>
          <w:p>
            <w:pPr>
              <w:spacing w:after="0" w:line="252" w:lineRule="auto"/>
            </w:pPr>
            <w:r>
              <w:rPr>
                <w:rFonts w:ascii="Calibri" w:hAnsi="Calibri"/>
                <w:b/>
                <w:color w:val="17324D"/>
                <w:sz w:val="18"/>
              </w:rPr>
              <w:t>Frequency</w:t>
            </w:r>
          </w:p>
        </w:tc>
        <w:tc>
          <w:tcPr>
            <w:tcW w:type="dxa" w:w="1660"/>
            <w:tcMar>
              <w:top w:w="80" w:type="dxa"/>
              <w:start w:w="120" w:type="dxa"/>
              <w:bottom w:w="80" w:type="dxa"/>
              <w:end w:w="120" w:type="dxa"/>
            </w:tcMar>
            <w:vAlign w:val="center"/>
            <w:shd w:fill="F2F4F7"/>
          </w:tcPr>
          <w:p>
            <w:pPr>
              <w:spacing w:after="0" w:line="252" w:lineRule="auto"/>
            </w:pPr>
            <w:r>
              <w:rPr>
                <w:rFonts w:ascii="Calibri" w:hAnsi="Calibri"/>
                <w:b/>
                <w:color w:val="17324D"/>
                <w:sz w:val="18"/>
              </w:rPr>
              <w:t>Percent</w:t>
            </w:r>
          </w:p>
        </w:tc>
      </w:tr>
      <w:tr>
        <w:tc>
          <w:tcPr>
            <w:tcW w:type="dxa" w:w="2340"/>
          </w:tcPr>
          <w:p>
            <w:pPr>
              <w:spacing w:after="0" w:line="252" w:lineRule="auto"/>
            </w:pPr>
            <w:r>
              <w:rPr>
                <w:rFonts w:ascii="Calibri" w:hAnsi="Calibri"/>
                <w:b w:val="0"/>
                <w:color w:val="000000"/>
                <w:sz w:val="17"/>
              </w:rPr>
              <w:t>Booking Factor</w:t>
            </w:r>
          </w:p>
        </w:tc>
        <w:tc>
          <w:tcPr>
            <w:tcW w:type="dxa" w:w="2340"/>
          </w:tcPr>
          <w:p>
            <w:pPr>
              <w:spacing w:after="0" w:line="252" w:lineRule="auto"/>
            </w:pPr>
            <w:r>
              <w:rPr>
                <w:rFonts w:ascii="Calibri" w:hAnsi="Calibri"/>
                <w:b w:val="0"/>
                <w:color w:val="000000"/>
                <w:sz w:val="17"/>
              </w:rPr>
              <w:t>Price/promos</w:t>
            </w:r>
          </w:p>
        </w:tc>
        <w:tc>
          <w:tcPr>
            <w:tcW w:type="dxa" w:w="2340"/>
          </w:tcPr>
          <w:p>
            <w:pPr>
              <w:spacing w:after="0" w:line="252" w:lineRule="auto"/>
            </w:pPr>
            <w:r>
              <w:rPr>
                <w:rFonts w:ascii="Calibri" w:hAnsi="Calibri"/>
                <w:b w:val="0"/>
                <w:color w:val="000000"/>
                <w:sz w:val="17"/>
              </w:rPr>
              <w:t>65</w:t>
            </w:r>
          </w:p>
        </w:tc>
        <w:tc>
          <w:tcPr>
            <w:tcW w:type="dxa" w:w="2340"/>
          </w:tcPr>
          <w:p>
            <w:pPr>
              <w:spacing w:after="0" w:line="252" w:lineRule="auto"/>
            </w:pPr>
            <w:r>
              <w:rPr>
                <w:rFonts w:ascii="Calibri" w:hAnsi="Calibri"/>
                <w:b w:val="0"/>
                <w:color w:val="000000"/>
                <w:sz w:val="17"/>
              </w:rPr>
              <w:t>28.4</w:t>
            </w:r>
          </w:p>
        </w:tc>
      </w:tr>
      <w:tr>
        <w:tc>
          <w:tcPr>
            <w:tcW w:type="dxa" w:w="2340"/>
          </w:tcPr>
          <w:p>
            <w:pPr>
              <w:spacing w:after="0" w:line="252" w:lineRule="auto"/>
            </w:pPr>
            <w:r>
              <w:rPr>
                <w:rFonts w:ascii="Calibri" w:hAnsi="Calibri"/>
                <w:b w:val="0"/>
                <w:color w:val="000000"/>
                <w:sz w:val="17"/>
              </w:rPr>
              <w:t>Booking Factor</w:t>
            </w:r>
          </w:p>
        </w:tc>
        <w:tc>
          <w:tcPr>
            <w:tcW w:type="dxa" w:w="2340"/>
          </w:tcPr>
          <w:p>
            <w:pPr>
              <w:spacing w:after="0" w:line="252" w:lineRule="auto"/>
            </w:pPr>
            <w:r>
              <w:rPr>
                <w:rFonts w:ascii="Calibri" w:hAnsi="Calibri"/>
                <w:b w:val="0"/>
                <w:color w:val="000000"/>
                <w:sz w:val="17"/>
              </w:rPr>
              <w:t>Family-friendly activities</w:t>
            </w:r>
          </w:p>
        </w:tc>
        <w:tc>
          <w:tcPr>
            <w:tcW w:type="dxa" w:w="2340"/>
          </w:tcPr>
          <w:p>
            <w:pPr>
              <w:spacing w:after="0" w:line="252" w:lineRule="auto"/>
            </w:pPr>
            <w:r>
              <w:rPr>
                <w:rFonts w:ascii="Calibri" w:hAnsi="Calibri"/>
                <w:b w:val="0"/>
                <w:color w:val="000000"/>
                <w:sz w:val="17"/>
              </w:rPr>
              <w:t>50</w:t>
            </w:r>
          </w:p>
        </w:tc>
        <w:tc>
          <w:tcPr>
            <w:tcW w:type="dxa" w:w="2340"/>
          </w:tcPr>
          <w:p>
            <w:pPr>
              <w:spacing w:after="0" w:line="252" w:lineRule="auto"/>
            </w:pPr>
            <w:r>
              <w:rPr>
                <w:rFonts w:ascii="Calibri" w:hAnsi="Calibri"/>
                <w:b w:val="0"/>
                <w:color w:val="000000"/>
                <w:sz w:val="17"/>
              </w:rPr>
              <w:t>21.8</w:t>
            </w:r>
          </w:p>
        </w:tc>
      </w:tr>
      <w:tr>
        <w:tc>
          <w:tcPr>
            <w:tcW w:type="dxa" w:w="2340"/>
          </w:tcPr>
          <w:p>
            <w:pPr>
              <w:spacing w:after="0" w:line="252" w:lineRule="auto"/>
            </w:pPr>
            <w:r>
              <w:rPr>
                <w:rFonts w:ascii="Calibri" w:hAnsi="Calibri"/>
                <w:b w:val="0"/>
                <w:color w:val="000000"/>
                <w:sz w:val="17"/>
              </w:rPr>
              <w:t>Booking Factor</w:t>
            </w:r>
          </w:p>
        </w:tc>
        <w:tc>
          <w:tcPr>
            <w:tcW w:type="dxa" w:w="2340"/>
          </w:tcPr>
          <w:p>
            <w:pPr>
              <w:spacing w:after="0" w:line="252" w:lineRule="auto"/>
            </w:pPr>
            <w:r>
              <w:rPr>
                <w:rFonts w:ascii="Calibri" w:hAnsi="Calibri"/>
                <w:b w:val="0"/>
                <w:color w:val="000000"/>
                <w:sz w:val="17"/>
              </w:rPr>
              <w:t>Luxury experience</w:t>
            </w:r>
          </w:p>
        </w:tc>
        <w:tc>
          <w:tcPr>
            <w:tcW w:type="dxa" w:w="2340"/>
          </w:tcPr>
          <w:p>
            <w:pPr>
              <w:spacing w:after="0" w:line="252" w:lineRule="auto"/>
            </w:pPr>
            <w:r>
              <w:rPr>
                <w:rFonts w:ascii="Calibri" w:hAnsi="Calibri"/>
                <w:b w:val="0"/>
                <w:color w:val="000000"/>
                <w:sz w:val="17"/>
              </w:rPr>
              <w:t>26</w:t>
            </w:r>
          </w:p>
        </w:tc>
        <w:tc>
          <w:tcPr>
            <w:tcW w:type="dxa" w:w="2340"/>
          </w:tcPr>
          <w:p>
            <w:pPr>
              <w:spacing w:after="0" w:line="252" w:lineRule="auto"/>
            </w:pPr>
            <w:r>
              <w:rPr>
                <w:rFonts w:ascii="Calibri" w:hAnsi="Calibri"/>
                <w:b w:val="0"/>
                <w:color w:val="000000"/>
                <w:sz w:val="17"/>
              </w:rPr>
              <w:t>11.4</w:t>
            </w:r>
          </w:p>
        </w:tc>
      </w:tr>
      <w:tr>
        <w:tc>
          <w:tcPr>
            <w:tcW w:type="dxa" w:w="2340"/>
          </w:tcPr>
          <w:p>
            <w:pPr>
              <w:spacing w:after="0" w:line="252" w:lineRule="auto"/>
            </w:pPr>
            <w:r>
              <w:rPr>
                <w:rFonts w:ascii="Calibri" w:hAnsi="Calibri"/>
                <w:b w:val="0"/>
                <w:color w:val="000000"/>
                <w:sz w:val="17"/>
              </w:rPr>
              <w:t>Booking Factor</w:t>
            </w:r>
          </w:p>
        </w:tc>
        <w:tc>
          <w:tcPr>
            <w:tcW w:type="dxa" w:w="2340"/>
          </w:tcPr>
          <w:p>
            <w:pPr>
              <w:spacing w:after="0" w:line="252" w:lineRule="auto"/>
            </w:pPr>
            <w:r>
              <w:rPr>
                <w:rFonts w:ascii="Calibri" w:hAnsi="Calibri"/>
                <w:b w:val="0"/>
                <w:color w:val="000000"/>
                <w:sz w:val="17"/>
              </w:rPr>
              <w:t>Room quality</w:t>
            </w:r>
          </w:p>
        </w:tc>
        <w:tc>
          <w:tcPr>
            <w:tcW w:type="dxa" w:w="2340"/>
          </w:tcPr>
          <w:p>
            <w:pPr>
              <w:spacing w:after="0" w:line="252" w:lineRule="auto"/>
            </w:pPr>
            <w:r>
              <w:rPr>
                <w:rFonts w:ascii="Calibri" w:hAnsi="Calibri"/>
                <w:b w:val="0"/>
                <w:color w:val="000000"/>
                <w:sz w:val="17"/>
              </w:rPr>
              <w:t>21</w:t>
            </w:r>
          </w:p>
        </w:tc>
        <w:tc>
          <w:tcPr>
            <w:tcW w:type="dxa" w:w="2340"/>
          </w:tcPr>
          <w:p>
            <w:pPr>
              <w:spacing w:after="0" w:line="252" w:lineRule="auto"/>
            </w:pPr>
            <w:r>
              <w:rPr>
                <w:rFonts w:ascii="Calibri" w:hAnsi="Calibri"/>
                <w:b w:val="0"/>
                <w:color w:val="000000"/>
                <w:sz w:val="17"/>
              </w:rPr>
              <w:t>9.2</w:t>
            </w:r>
          </w:p>
        </w:tc>
      </w:tr>
      <w:tr>
        <w:tc>
          <w:tcPr>
            <w:tcW w:type="dxa" w:w="2340"/>
          </w:tcPr>
          <w:p>
            <w:pPr>
              <w:spacing w:after="0" w:line="252" w:lineRule="auto"/>
            </w:pPr>
            <w:r>
              <w:rPr>
                <w:rFonts w:ascii="Calibri" w:hAnsi="Calibri"/>
                <w:b w:val="0"/>
                <w:color w:val="000000"/>
                <w:sz w:val="17"/>
              </w:rPr>
              <w:t>Booking Factor</w:t>
            </w:r>
          </w:p>
        </w:tc>
        <w:tc>
          <w:tcPr>
            <w:tcW w:type="dxa" w:w="2340"/>
          </w:tcPr>
          <w:p>
            <w:pPr>
              <w:spacing w:after="0" w:line="252" w:lineRule="auto"/>
            </w:pPr>
            <w:r>
              <w:rPr>
                <w:rFonts w:ascii="Calibri" w:hAnsi="Calibri"/>
                <w:b w:val="0"/>
                <w:color w:val="000000"/>
                <w:sz w:val="17"/>
              </w:rPr>
              <w:t>Reviews</w:t>
            </w:r>
          </w:p>
        </w:tc>
        <w:tc>
          <w:tcPr>
            <w:tcW w:type="dxa" w:w="2340"/>
          </w:tcPr>
          <w:p>
            <w:pPr>
              <w:spacing w:after="0" w:line="252" w:lineRule="auto"/>
            </w:pPr>
            <w:r>
              <w:rPr>
                <w:rFonts w:ascii="Calibri" w:hAnsi="Calibri"/>
                <w:b w:val="0"/>
                <w:color w:val="000000"/>
                <w:sz w:val="17"/>
              </w:rPr>
              <w:t>19</w:t>
            </w:r>
          </w:p>
        </w:tc>
        <w:tc>
          <w:tcPr>
            <w:tcW w:type="dxa" w:w="2340"/>
          </w:tcPr>
          <w:p>
            <w:pPr>
              <w:spacing w:after="0" w:line="252" w:lineRule="auto"/>
            </w:pPr>
            <w:r>
              <w:rPr>
                <w:rFonts w:ascii="Calibri" w:hAnsi="Calibri"/>
                <w:b w:val="0"/>
                <w:color w:val="000000"/>
                <w:sz w:val="17"/>
              </w:rPr>
              <w:t>8.3</w:t>
            </w:r>
          </w:p>
        </w:tc>
      </w:tr>
      <w:tr>
        <w:tc>
          <w:tcPr>
            <w:tcW w:type="dxa" w:w="2340"/>
          </w:tcPr>
          <w:p>
            <w:pPr>
              <w:spacing w:after="0" w:line="252" w:lineRule="auto"/>
            </w:pPr>
            <w:r>
              <w:rPr>
                <w:rFonts w:ascii="Calibri" w:hAnsi="Calibri"/>
                <w:b w:val="0"/>
                <w:color w:val="000000"/>
                <w:sz w:val="17"/>
              </w:rPr>
              <w:t>Booking Factor</w:t>
            </w:r>
          </w:p>
        </w:tc>
        <w:tc>
          <w:tcPr>
            <w:tcW w:type="dxa" w:w="2340"/>
          </w:tcPr>
          <w:p>
            <w:pPr>
              <w:spacing w:after="0" w:line="252" w:lineRule="auto"/>
            </w:pPr>
            <w:r>
              <w:rPr>
                <w:rFonts w:ascii="Calibri" w:hAnsi="Calibri"/>
                <w:b w:val="0"/>
                <w:color w:val="000000"/>
                <w:sz w:val="17"/>
              </w:rPr>
              <w:t>Amenities</w:t>
            </w:r>
          </w:p>
        </w:tc>
        <w:tc>
          <w:tcPr>
            <w:tcW w:type="dxa" w:w="2340"/>
          </w:tcPr>
          <w:p>
            <w:pPr>
              <w:spacing w:after="0" w:line="252" w:lineRule="auto"/>
            </w:pPr>
            <w:r>
              <w:rPr>
                <w:rFonts w:ascii="Calibri" w:hAnsi="Calibri"/>
                <w:b w:val="0"/>
                <w:color w:val="000000"/>
                <w:sz w:val="17"/>
              </w:rPr>
              <w:t>19</w:t>
            </w:r>
          </w:p>
        </w:tc>
        <w:tc>
          <w:tcPr>
            <w:tcW w:type="dxa" w:w="2340"/>
          </w:tcPr>
          <w:p>
            <w:pPr>
              <w:spacing w:after="0" w:line="252" w:lineRule="auto"/>
            </w:pPr>
            <w:r>
              <w:rPr>
                <w:rFonts w:ascii="Calibri" w:hAnsi="Calibri"/>
                <w:b w:val="0"/>
                <w:color w:val="000000"/>
                <w:sz w:val="17"/>
              </w:rPr>
              <w:t>8.3</w:t>
            </w:r>
          </w:p>
        </w:tc>
      </w:tr>
      <w:tr>
        <w:tc>
          <w:tcPr>
            <w:tcW w:type="dxa" w:w="2340"/>
          </w:tcPr>
          <w:p>
            <w:pPr>
              <w:spacing w:after="0" w:line="252" w:lineRule="auto"/>
            </w:pPr>
            <w:r>
              <w:rPr>
                <w:rFonts w:ascii="Calibri" w:hAnsi="Calibri"/>
                <w:b w:val="0"/>
                <w:color w:val="000000"/>
                <w:sz w:val="17"/>
              </w:rPr>
              <w:t>Booking Factor</w:t>
            </w:r>
          </w:p>
        </w:tc>
        <w:tc>
          <w:tcPr>
            <w:tcW w:type="dxa" w:w="2340"/>
          </w:tcPr>
          <w:p>
            <w:pPr>
              <w:spacing w:after="0" w:line="252" w:lineRule="auto"/>
            </w:pPr>
            <w:r>
              <w:rPr>
                <w:rFonts w:ascii="Calibri" w:hAnsi="Calibri"/>
                <w:b w:val="0"/>
                <w:color w:val="000000"/>
                <w:sz w:val="17"/>
              </w:rPr>
              <w:t>Location</w:t>
            </w:r>
          </w:p>
        </w:tc>
        <w:tc>
          <w:tcPr>
            <w:tcW w:type="dxa" w:w="2340"/>
          </w:tcPr>
          <w:p>
            <w:pPr>
              <w:spacing w:after="0" w:line="252" w:lineRule="auto"/>
            </w:pPr>
            <w:r>
              <w:rPr>
                <w:rFonts w:ascii="Calibri" w:hAnsi="Calibri"/>
                <w:b w:val="0"/>
                <w:color w:val="000000"/>
                <w:sz w:val="17"/>
              </w:rPr>
              <w:t>15</w:t>
            </w:r>
          </w:p>
        </w:tc>
        <w:tc>
          <w:tcPr>
            <w:tcW w:type="dxa" w:w="2340"/>
          </w:tcPr>
          <w:p>
            <w:pPr>
              <w:spacing w:after="0" w:line="252" w:lineRule="auto"/>
            </w:pPr>
            <w:r>
              <w:rPr>
                <w:rFonts w:ascii="Calibri" w:hAnsi="Calibri"/>
                <w:b w:val="0"/>
                <w:color w:val="000000"/>
                <w:sz w:val="17"/>
              </w:rPr>
              <w:t>6.6</w:t>
            </w:r>
          </w:p>
        </w:tc>
      </w:tr>
      <w:tr>
        <w:tc>
          <w:tcPr>
            <w:tcW w:type="dxa" w:w="2340"/>
          </w:tcPr>
          <w:p>
            <w:pPr>
              <w:spacing w:after="0" w:line="252" w:lineRule="auto"/>
            </w:pPr>
            <w:r>
              <w:rPr>
                <w:rFonts w:ascii="Calibri" w:hAnsi="Calibri"/>
                <w:b w:val="0"/>
                <w:color w:val="000000"/>
                <w:sz w:val="17"/>
              </w:rPr>
              <w:t>Booking Factor</w:t>
            </w:r>
          </w:p>
        </w:tc>
        <w:tc>
          <w:tcPr>
            <w:tcW w:type="dxa" w:w="2340"/>
          </w:tcPr>
          <w:p>
            <w:pPr>
              <w:spacing w:after="0" w:line="252" w:lineRule="auto"/>
            </w:pPr>
            <w:r>
              <w:rPr>
                <w:rFonts w:ascii="Calibri" w:hAnsi="Calibri"/>
                <w:b w:val="0"/>
                <w:color w:val="000000"/>
                <w:sz w:val="17"/>
              </w:rPr>
              <w:t>Brand reputation</w:t>
            </w:r>
          </w:p>
        </w:tc>
        <w:tc>
          <w:tcPr>
            <w:tcW w:type="dxa" w:w="2340"/>
          </w:tcPr>
          <w:p>
            <w:pPr>
              <w:spacing w:after="0" w:line="252" w:lineRule="auto"/>
            </w:pPr>
            <w:r>
              <w:rPr>
                <w:rFonts w:ascii="Calibri" w:hAnsi="Calibri"/>
                <w:b w:val="0"/>
                <w:color w:val="000000"/>
                <w:sz w:val="17"/>
              </w:rPr>
              <w:t>12</w:t>
            </w:r>
          </w:p>
        </w:tc>
        <w:tc>
          <w:tcPr>
            <w:tcW w:type="dxa" w:w="2340"/>
          </w:tcPr>
          <w:p>
            <w:pPr>
              <w:spacing w:after="0" w:line="252" w:lineRule="auto"/>
            </w:pPr>
            <w:r>
              <w:rPr>
                <w:rFonts w:ascii="Calibri" w:hAnsi="Calibri"/>
                <w:b w:val="0"/>
                <w:color w:val="000000"/>
                <w:sz w:val="17"/>
              </w:rPr>
              <w:t>5.2</w:t>
            </w:r>
          </w:p>
        </w:tc>
      </w:tr>
      <w:tr>
        <w:tc>
          <w:tcPr>
            <w:tcW w:type="dxa" w:w="2340"/>
          </w:tcPr>
          <w:p>
            <w:pPr>
              <w:spacing w:after="0" w:line="252" w:lineRule="auto"/>
            </w:pPr>
            <w:r>
              <w:rPr>
                <w:rFonts w:ascii="Calibri" w:hAnsi="Calibri"/>
                <w:b w:val="0"/>
                <w:color w:val="000000"/>
                <w:sz w:val="17"/>
              </w:rPr>
              <w:t>Family Package</w:t>
            </w:r>
          </w:p>
        </w:tc>
        <w:tc>
          <w:tcPr>
            <w:tcW w:type="dxa" w:w="2340"/>
          </w:tcPr>
          <w:p>
            <w:pPr>
              <w:spacing w:after="0" w:line="252" w:lineRule="auto"/>
            </w:pPr>
            <w:r>
              <w:rPr>
                <w:rFonts w:ascii="Calibri" w:hAnsi="Calibri"/>
                <w:b w:val="0"/>
                <w:color w:val="000000"/>
                <w:sz w:val="17"/>
              </w:rPr>
              <w:t>Weekend family getaway</w:t>
            </w:r>
          </w:p>
        </w:tc>
        <w:tc>
          <w:tcPr>
            <w:tcW w:type="dxa" w:w="2340"/>
          </w:tcPr>
          <w:p>
            <w:pPr>
              <w:spacing w:after="0" w:line="252" w:lineRule="auto"/>
            </w:pPr>
            <w:r>
              <w:rPr>
                <w:rFonts w:ascii="Calibri" w:hAnsi="Calibri"/>
                <w:b w:val="0"/>
                <w:color w:val="000000"/>
                <w:sz w:val="17"/>
              </w:rPr>
              <w:t>76</w:t>
            </w:r>
          </w:p>
        </w:tc>
        <w:tc>
          <w:tcPr>
            <w:tcW w:type="dxa" w:w="2340"/>
          </w:tcPr>
          <w:p>
            <w:pPr>
              <w:spacing w:after="0" w:line="252" w:lineRule="auto"/>
            </w:pPr>
            <w:r>
              <w:rPr>
                <w:rFonts w:ascii="Calibri" w:hAnsi="Calibri"/>
                <w:b w:val="0"/>
                <w:color w:val="000000"/>
                <w:sz w:val="17"/>
              </w:rPr>
              <w:t>33.2</w:t>
            </w:r>
          </w:p>
        </w:tc>
      </w:tr>
      <w:tr>
        <w:tc>
          <w:tcPr>
            <w:tcW w:type="dxa" w:w="2340"/>
          </w:tcPr>
          <w:p>
            <w:pPr>
              <w:spacing w:after="0" w:line="252" w:lineRule="auto"/>
            </w:pPr>
            <w:r>
              <w:rPr>
                <w:rFonts w:ascii="Calibri" w:hAnsi="Calibri"/>
                <w:b w:val="0"/>
                <w:color w:val="000000"/>
                <w:sz w:val="17"/>
              </w:rPr>
              <w:t>Family Package</w:t>
            </w:r>
          </w:p>
        </w:tc>
        <w:tc>
          <w:tcPr>
            <w:tcW w:type="dxa" w:w="2340"/>
          </w:tcPr>
          <w:p>
            <w:pPr>
              <w:spacing w:after="0" w:line="252" w:lineRule="auto"/>
            </w:pPr>
            <w:r>
              <w:rPr>
                <w:rFonts w:ascii="Calibri" w:hAnsi="Calibri"/>
                <w:b w:val="0"/>
                <w:color w:val="000000"/>
                <w:sz w:val="17"/>
              </w:rPr>
              <w:t>Dining + staycation bundle</w:t>
            </w:r>
          </w:p>
        </w:tc>
        <w:tc>
          <w:tcPr>
            <w:tcW w:type="dxa" w:w="2340"/>
          </w:tcPr>
          <w:p>
            <w:pPr>
              <w:spacing w:after="0" w:line="252" w:lineRule="auto"/>
            </w:pPr>
            <w:r>
              <w:rPr>
                <w:rFonts w:ascii="Calibri" w:hAnsi="Calibri"/>
                <w:b w:val="0"/>
                <w:color w:val="000000"/>
                <w:sz w:val="17"/>
              </w:rPr>
              <w:t>41</w:t>
            </w:r>
          </w:p>
        </w:tc>
        <w:tc>
          <w:tcPr>
            <w:tcW w:type="dxa" w:w="2340"/>
          </w:tcPr>
          <w:p>
            <w:pPr>
              <w:spacing w:after="0" w:line="252" w:lineRule="auto"/>
            </w:pPr>
            <w:r>
              <w:rPr>
                <w:rFonts w:ascii="Calibri" w:hAnsi="Calibri"/>
                <w:b w:val="0"/>
                <w:color w:val="000000"/>
                <w:sz w:val="17"/>
              </w:rPr>
              <w:t>17.9</w:t>
            </w:r>
          </w:p>
        </w:tc>
      </w:tr>
      <w:tr>
        <w:tc>
          <w:tcPr>
            <w:tcW w:type="dxa" w:w="2340"/>
          </w:tcPr>
          <w:p>
            <w:pPr>
              <w:spacing w:after="0" w:line="252" w:lineRule="auto"/>
            </w:pPr>
            <w:r>
              <w:rPr>
                <w:rFonts w:ascii="Calibri" w:hAnsi="Calibri"/>
                <w:b w:val="0"/>
                <w:color w:val="000000"/>
                <w:sz w:val="17"/>
              </w:rPr>
              <w:t>Family Package</w:t>
            </w:r>
          </w:p>
        </w:tc>
        <w:tc>
          <w:tcPr>
            <w:tcW w:type="dxa" w:w="2340"/>
          </w:tcPr>
          <w:p>
            <w:pPr>
              <w:spacing w:after="0" w:line="252" w:lineRule="auto"/>
            </w:pPr>
            <w:r>
              <w:rPr>
                <w:rFonts w:ascii="Calibri" w:hAnsi="Calibri"/>
                <w:b w:val="0"/>
                <w:color w:val="000000"/>
                <w:sz w:val="17"/>
              </w:rPr>
              <w:t>Holiday-themed package</w:t>
            </w:r>
          </w:p>
        </w:tc>
        <w:tc>
          <w:tcPr>
            <w:tcW w:type="dxa" w:w="2340"/>
          </w:tcPr>
          <w:p>
            <w:pPr>
              <w:spacing w:after="0" w:line="252" w:lineRule="auto"/>
            </w:pPr>
            <w:r>
              <w:rPr>
                <w:rFonts w:ascii="Calibri" w:hAnsi="Calibri"/>
                <w:b w:val="0"/>
                <w:color w:val="000000"/>
                <w:sz w:val="17"/>
              </w:rPr>
              <w:t>38</w:t>
            </w:r>
          </w:p>
        </w:tc>
        <w:tc>
          <w:tcPr>
            <w:tcW w:type="dxa" w:w="2340"/>
          </w:tcPr>
          <w:p>
            <w:pPr>
              <w:spacing w:after="0" w:line="252" w:lineRule="auto"/>
            </w:pPr>
            <w:r>
              <w:rPr>
                <w:rFonts w:ascii="Calibri" w:hAnsi="Calibri"/>
                <w:b w:val="0"/>
                <w:color w:val="000000"/>
                <w:sz w:val="17"/>
              </w:rPr>
              <w:t>16.6</w:t>
            </w:r>
          </w:p>
        </w:tc>
      </w:tr>
      <w:tr>
        <w:tc>
          <w:tcPr>
            <w:tcW w:type="dxa" w:w="2340"/>
          </w:tcPr>
          <w:p>
            <w:pPr>
              <w:spacing w:after="0" w:line="252" w:lineRule="auto"/>
            </w:pPr>
            <w:r>
              <w:rPr>
                <w:rFonts w:ascii="Calibri" w:hAnsi="Calibri"/>
                <w:b w:val="0"/>
                <w:color w:val="000000"/>
                <w:sz w:val="17"/>
              </w:rPr>
              <w:t>Family Package</w:t>
            </w:r>
          </w:p>
        </w:tc>
        <w:tc>
          <w:tcPr>
            <w:tcW w:type="dxa" w:w="2340"/>
          </w:tcPr>
          <w:p>
            <w:pPr>
              <w:spacing w:after="0" w:line="252" w:lineRule="auto"/>
            </w:pPr>
            <w:r>
              <w:rPr>
                <w:rFonts w:ascii="Calibri" w:hAnsi="Calibri"/>
                <w:b w:val="0"/>
                <w:color w:val="000000"/>
                <w:sz w:val="17"/>
              </w:rPr>
              <w:t>Wellness and relaxation package</w:t>
            </w:r>
          </w:p>
        </w:tc>
        <w:tc>
          <w:tcPr>
            <w:tcW w:type="dxa" w:w="2340"/>
          </w:tcPr>
          <w:p>
            <w:pPr>
              <w:spacing w:after="0" w:line="252" w:lineRule="auto"/>
            </w:pPr>
            <w:r>
              <w:rPr>
                <w:rFonts w:ascii="Calibri" w:hAnsi="Calibri"/>
                <w:b w:val="0"/>
                <w:color w:val="000000"/>
                <w:sz w:val="17"/>
              </w:rPr>
              <w:t>30</w:t>
            </w:r>
          </w:p>
        </w:tc>
        <w:tc>
          <w:tcPr>
            <w:tcW w:type="dxa" w:w="2340"/>
          </w:tcPr>
          <w:p>
            <w:pPr>
              <w:spacing w:after="0" w:line="252" w:lineRule="auto"/>
            </w:pPr>
            <w:r>
              <w:rPr>
                <w:rFonts w:ascii="Calibri" w:hAnsi="Calibri"/>
                <w:b w:val="0"/>
                <w:color w:val="000000"/>
                <w:sz w:val="17"/>
              </w:rPr>
              <w:t>13.1</w:t>
            </w:r>
          </w:p>
        </w:tc>
      </w:tr>
      <w:tr>
        <w:tc>
          <w:tcPr>
            <w:tcW w:type="dxa" w:w="2340"/>
          </w:tcPr>
          <w:p>
            <w:pPr>
              <w:spacing w:after="0" w:line="252" w:lineRule="auto"/>
            </w:pPr>
            <w:r>
              <w:rPr>
                <w:rFonts w:ascii="Calibri" w:hAnsi="Calibri"/>
                <w:b w:val="0"/>
                <w:color w:val="000000"/>
                <w:sz w:val="17"/>
              </w:rPr>
              <w:t>Family Package</w:t>
            </w:r>
          </w:p>
        </w:tc>
        <w:tc>
          <w:tcPr>
            <w:tcW w:type="dxa" w:w="2340"/>
          </w:tcPr>
          <w:p>
            <w:pPr>
              <w:spacing w:after="0" w:line="252" w:lineRule="auto"/>
            </w:pPr>
            <w:r>
              <w:rPr>
                <w:rFonts w:ascii="Calibri" w:hAnsi="Calibri"/>
                <w:b w:val="0"/>
                <w:color w:val="000000"/>
                <w:sz w:val="17"/>
              </w:rPr>
              <w:t>Kids’ activity package</w:t>
            </w:r>
          </w:p>
        </w:tc>
        <w:tc>
          <w:tcPr>
            <w:tcW w:type="dxa" w:w="2340"/>
          </w:tcPr>
          <w:p>
            <w:pPr>
              <w:spacing w:after="0" w:line="252" w:lineRule="auto"/>
            </w:pPr>
            <w:r>
              <w:rPr>
                <w:rFonts w:ascii="Calibri" w:hAnsi="Calibri"/>
                <w:b w:val="0"/>
                <w:color w:val="000000"/>
                <w:sz w:val="17"/>
              </w:rPr>
              <w:t>25</w:t>
            </w:r>
          </w:p>
        </w:tc>
        <w:tc>
          <w:tcPr>
            <w:tcW w:type="dxa" w:w="2340"/>
          </w:tcPr>
          <w:p>
            <w:pPr>
              <w:spacing w:after="0" w:line="252" w:lineRule="auto"/>
            </w:pPr>
            <w:r>
              <w:rPr>
                <w:rFonts w:ascii="Calibri" w:hAnsi="Calibri"/>
                <w:b w:val="0"/>
                <w:color w:val="000000"/>
                <w:sz w:val="17"/>
              </w:rPr>
              <w:t>10.9</w:t>
            </w:r>
          </w:p>
        </w:tc>
      </w:tr>
      <w:tr>
        <w:tc>
          <w:tcPr>
            <w:tcW w:type="dxa" w:w="2340"/>
          </w:tcPr>
          <w:p>
            <w:pPr>
              <w:spacing w:after="0" w:line="252" w:lineRule="auto"/>
            </w:pPr>
            <w:r>
              <w:rPr>
                <w:rFonts w:ascii="Calibri" w:hAnsi="Calibri"/>
                <w:b w:val="0"/>
                <w:color w:val="000000"/>
                <w:sz w:val="17"/>
              </w:rPr>
              <w:t>Family Package</w:t>
            </w:r>
          </w:p>
        </w:tc>
        <w:tc>
          <w:tcPr>
            <w:tcW w:type="dxa" w:w="2340"/>
          </w:tcPr>
          <w:p>
            <w:pPr>
              <w:spacing w:after="0" w:line="252" w:lineRule="auto"/>
            </w:pPr>
            <w:r>
              <w:rPr>
                <w:rFonts w:ascii="Calibri" w:hAnsi="Calibri"/>
                <w:b w:val="0"/>
                <w:color w:val="000000"/>
                <w:sz w:val="17"/>
              </w:rPr>
              <w:t>Birthday celebration package</w:t>
            </w:r>
          </w:p>
        </w:tc>
        <w:tc>
          <w:tcPr>
            <w:tcW w:type="dxa" w:w="2340"/>
          </w:tcPr>
          <w:p>
            <w:pPr>
              <w:spacing w:after="0" w:line="252" w:lineRule="auto"/>
            </w:pPr>
            <w:r>
              <w:rPr>
                <w:rFonts w:ascii="Calibri" w:hAnsi="Calibri"/>
                <w:b w:val="0"/>
                <w:color w:val="000000"/>
                <w:sz w:val="17"/>
              </w:rPr>
              <w:t>9</w:t>
            </w:r>
          </w:p>
        </w:tc>
        <w:tc>
          <w:tcPr>
            <w:tcW w:type="dxa" w:w="2340"/>
          </w:tcPr>
          <w:p>
            <w:pPr>
              <w:spacing w:after="0" w:line="252" w:lineRule="auto"/>
            </w:pPr>
            <w:r>
              <w:rPr>
                <w:rFonts w:ascii="Calibri" w:hAnsi="Calibri"/>
                <w:b w:val="0"/>
                <w:color w:val="000000"/>
                <w:sz w:val="17"/>
              </w:rPr>
              <w:t>3.9</w:t>
            </w:r>
          </w:p>
        </w:tc>
      </w:tr>
      <w:tr>
        <w:tc>
          <w:tcPr>
            <w:tcW w:type="dxa" w:w="2340"/>
          </w:tcPr>
          <w:p>
            <w:pPr>
              <w:spacing w:after="0" w:line="252" w:lineRule="auto"/>
            </w:pPr>
            <w:r>
              <w:rPr>
                <w:rFonts w:ascii="Calibri" w:hAnsi="Calibri"/>
                <w:b w:val="0"/>
                <w:color w:val="000000"/>
                <w:sz w:val="17"/>
              </w:rPr>
              <w:t>Family Package</w:t>
            </w:r>
          </w:p>
        </w:tc>
        <w:tc>
          <w:tcPr>
            <w:tcW w:type="dxa" w:w="2340"/>
          </w:tcPr>
          <w:p>
            <w:pPr>
              <w:spacing w:after="0" w:line="252" w:lineRule="auto"/>
            </w:pPr>
            <w:r>
              <w:rPr>
                <w:rFonts w:ascii="Calibri" w:hAnsi="Calibri"/>
                <w:b w:val="0"/>
                <w:color w:val="000000"/>
                <w:sz w:val="17"/>
              </w:rPr>
              <w:t>Entertainment-focused package</w:t>
            </w:r>
          </w:p>
        </w:tc>
        <w:tc>
          <w:tcPr>
            <w:tcW w:type="dxa" w:w="2340"/>
          </w:tcPr>
          <w:p>
            <w:pPr>
              <w:spacing w:after="0" w:line="252" w:lineRule="auto"/>
            </w:pPr>
            <w:r>
              <w:rPr>
                <w:rFonts w:ascii="Calibri" w:hAnsi="Calibri"/>
                <w:b w:val="0"/>
                <w:color w:val="000000"/>
                <w:sz w:val="17"/>
              </w:rPr>
              <w:t>8</w:t>
            </w:r>
          </w:p>
        </w:tc>
        <w:tc>
          <w:tcPr>
            <w:tcW w:type="dxa" w:w="2340"/>
          </w:tcPr>
          <w:p>
            <w:pPr>
              <w:spacing w:after="0" w:line="252" w:lineRule="auto"/>
            </w:pPr>
            <w:r>
              <w:rPr>
                <w:rFonts w:ascii="Calibri" w:hAnsi="Calibri"/>
                <w:b w:val="0"/>
                <w:color w:val="000000"/>
                <w:sz w:val="17"/>
              </w:rPr>
              <w:t>3.5</w:t>
            </w:r>
          </w:p>
        </w:tc>
      </w:tr>
    </w:tbl>
    <w:p>
      <w:pPr>
        <w:pStyle w:val="TableNote"/>
      </w:pPr>
      <w:r>
        <w:t>Note. The table identifies conversion levers for family booking growth.</w:t>
      </w:r>
    </w:p>
    <w:p>
      <w:pPr>
        <w:pStyle w:val="Heading2"/>
      </w:pPr>
      <w:r>
        <w:t>Repeat Visitation and Digital Engagement</w:t>
      </w:r>
    </w:p>
    <w:p>
      <w:pPr/>
      <w:r>
        <w:t>Repeat visitation indicators were favorable. Although 38.0% of qualified respondents had previously stayed at Okada Manila, 81.7% agreed or strongly agreed that they would return for family occasions or celebrations. Interest in additional family-oriented events reached 80.3%, while interest in experiential family packages reached 76.0%. These findings indicate that future engagement can be strengthened through event calendars, loyalty privileges, and experience-led post-stay communications.</w:t>
      </w:r>
    </w:p>
    <w:p>
      <w:pPr/>
      <w:r>
        <w:t>Digital engagement opportunities are also evident. The most used social media platform was Facebook (52.8%). Okada Manila exposure appeared across Facebook, Instagram, TikTok, YouTube, influencers, online articles, online travel agencies, and family or peer recommendations. The channel profile supports an integrated digital campaign that combines social storytelling, influencer content, and conversion-oriented booking links.</w:t>
      </w:r>
    </w:p>
    <w:p>
      <w:pPr>
        <w:jc w:val="center"/>
      </w:pPr>
      <w:r>
        <w:drawing>
          <wp:inline xmlns:a="http://schemas.openxmlformats.org/drawingml/2006/main" xmlns:pic="http://schemas.openxmlformats.org/drawingml/2006/picture">
            <wp:extent cx="5943600" cy="2027816"/>
            <wp:docPr id="13" name="Picture 13"/>
            <wp:cNvGraphicFramePr>
              <a:graphicFrameLocks noChangeAspect="1"/>
            </wp:cNvGraphicFramePr>
            <a:graphic>
              <a:graphicData uri="http://schemas.openxmlformats.org/drawingml/2006/picture">
                <pic:pic>
                  <pic:nvPicPr>
                    <pic:cNvPr id="0" name="fig12_repeat_intent.png"/>
                    <pic:cNvPicPr/>
                  </pic:nvPicPr>
                  <pic:blipFill>
                    <a:blip r:embed="rId23"/>
                    <a:stretch>
                      <a:fillRect/>
                    </a:stretch>
                  </pic:blipFill>
                  <pic:spPr>
                    <a:xfrm>
                      <a:off x="0" y="0"/>
                      <a:ext cx="5943600" cy="2027816"/>
                    </a:xfrm>
                    <a:prstGeom prst="rect"/>
                  </pic:spPr>
                </pic:pic>
              </a:graphicData>
            </a:graphic>
          </wp:inline>
        </w:drawing>
      </w:r>
    </w:p>
    <w:p>
      <w:pPr>
        <w:pStyle w:val="Caption"/>
        <w:jc w:val="center"/>
      </w:pPr>
      <w:r>
        <w:rPr>
          <w:i/>
        </w:rPr>
        <w:t>Figure 13. Repeat visitation and future intent indicators.</w:t>
      </w:r>
    </w:p>
    <w:p>
      <w:pPr>
        <w:jc w:val="center"/>
      </w:pPr>
      <w:r>
        <w:drawing>
          <wp:inline xmlns:a="http://schemas.openxmlformats.org/drawingml/2006/main" xmlns:pic="http://schemas.openxmlformats.org/drawingml/2006/picture">
            <wp:extent cx="5943600" cy="3747964"/>
            <wp:docPr id="14" name="Picture 14"/>
            <wp:cNvGraphicFramePr>
              <a:graphicFrameLocks noChangeAspect="1"/>
            </wp:cNvGraphicFramePr>
            <a:graphic>
              <a:graphicData uri="http://schemas.openxmlformats.org/drawingml/2006/picture">
                <pic:pic>
                  <pic:nvPicPr>
                    <pic:cNvPr id="0" name="fig13_digital_exposure.png"/>
                    <pic:cNvPicPr/>
                  </pic:nvPicPr>
                  <pic:blipFill>
                    <a:blip r:embed="rId24"/>
                    <a:stretch>
                      <a:fillRect/>
                    </a:stretch>
                  </pic:blipFill>
                  <pic:spPr>
                    <a:xfrm>
                      <a:off x="0" y="0"/>
                      <a:ext cx="5943600" cy="3747964"/>
                    </a:xfrm>
                    <a:prstGeom prst="rect"/>
                  </pic:spPr>
                </pic:pic>
              </a:graphicData>
            </a:graphic>
          </wp:inline>
        </w:drawing>
      </w:r>
    </w:p>
    <w:p>
      <w:pPr>
        <w:pStyle w:val="Caption"/>
        <w:jc w:val="center"/>
      </w:pPr>
      <w:r>
        <w:rPr>
          <w:i/>
        </w:rPr>
        <w:t>Figure 14. Okada Manila digital and media exposure sources.</w:t>
      </w:r>
    </w:p>
    <w:p>
      <w:pPr>
        <w:pStyle w:val="Heading1"/>
      </w:pPr>
      <w:r>
        <w:t>Objective-Level Analysis</w:t>
      </w:r>
    </w:p>
    <w:p>
      <w:pPr>
        <w:pStyle w:val="Heading2"/>
      </w:pPr>
      <w:r>
        <w:t>Objective 1: Increase Awareness by 30%</w:t>
      </w:r>
    </w:p>
    <w:p>
      <w:pPr/>
      <w:r>
        <w:t>The findings indicate that the awareness objective begins from a strong baseline. Okada Manila awareness reached 99.6%, and the Attention score reached 65.9. Because general awareness is already high, the campaign's 30% awareness-growth target should be interpreted as growth in family-friendly associations rather than simple name recognition. The most defensible strategic direction is to increase the visibility of non-gaming family experiences, including hotel staycations, pools, restaurants, seasonal events, family activities, and attractions.</w:t>
      </w:r>
    </w:p>
    <w:p>
      <w:pPr>
        <w:pStyle w:val="Heading2"/>
      </w:pPr>
      <w:r>
        <w:t>Objective 2: Maintain 95% Occupancy and Support ₱808.36 Million Annual Room Revenue</w:t>
      </w:r>
    </w:p>
    <w:p>
      <w:pPr/>
      <w:r>
        <w:t>The results suggest that family travelers can contribute to occupancy stabilization when packages are aligned with their spending expectations and preferred stay formats. The most common budget band was ₱10,000–₱14,999, and the leading room preference was Deluxe Room. These findings imply that the occupancy and room revenue target should be supported by short-stay family bundles that emphasize premium value, family inclusions, and seasonal urgency. The report does not independently validate the ₱808.36 million projection, but the survey results identify demand-side signals that may support the target.</w:t>
      </w:r>
    </w:p>
    <w:p>
      <w:pPr>
        <w:pStyle w:val="Heading2"/>
      </w:pPr>
      <w:r>
        <w:t>Objective 3: Increase Family Hotel Bookings by 20%</w:t>
      </w:r>
    </w:p>
    <w:p>
      <w:pPr/>
      <w:r>
        <w:t>The Desire score of 69.6 indicates that respondents are receptive to a family-friendly luxury proposition. The strongest package preference was Weekend family getaway, and the leading booking driver was Price/promos. Therefore, a 20% increase in family hotel bookings should be pursued through clearly differentiated packages rather than broad discounting alone. Weekend family getaways, dining-and-staycation bundles, holiday-themed packages, wellness packages, and kids' activity packages should be presented as bookable options with visible inclusions.</w:t>
      </w:r>
    </w:p>
    <w:p>
      <w:pPr>
        <w:pStyle w:val="Heading2"/>
      </w:pPr>
      <w:r>
        <w:t>Objective 4: Improve Repeat Visitation by 15%</w:t>
      </w:r>
    </w:p>
    <w:p>
      <w:pPr/>
      <w:r>
        <w:t>The repeat-visitation objective is supported by favorable attitudinal evidence. While 38.0% of respondents had already stayed at Okada Manila, 81.7% reported positive return intention for family occasions or celebrations. This gap suggests a conversion opportunity: post-stay communications, birthday and milestone offers, family privileges, and loyalty-linked event invitations can help convert favorable intent into repeat visitation.</w:t>
      </w:r>
    </w:p>
    <w:p>
      <w:pPr>
        <w:pStyle w:val="Heading2"/>
      </w:pPr>
      <w:r>
        <w:t>Objective 5: Increase Digital Campaign Engagement by 25%</w:t>
      </w:r>
    </w:p>
    <w:p>
      <w:pPr/>
      <w:r>
        <w:t>The digital campaign objective is supported by respondents' social media behavior and exposure pathways. Facebook was the most used social media platform, and Okada Manila was commonly encountered through social and digital channels. The campaign should use family-oriented storytelling, influencer collaborations, user-generated family content, short-form video, and package-led creative. Engagement metrics should prioritize clicks to family packages, saves, shares, comments, inquiries, and booking-path actions.</w:t>
      </w:r>
    </w:p>
    <w:p>
      <w:pPr>
        <w:pStyle w:val="Heading2"/>
      </w:pPr>
      <w:r>
        <w:t>Objective 6: Increase Preference by 15%</w:t>
      </w:r>
    </w:p>
    <w:p>
      <w:pPr/>
      <w:r>
        <w:t>Okada Manila already held a strong preference baseline, with 70.7% selecting it as the preferred integrated resort for a family staycation. The strongest perceived competitor was Solaire Resort (45.9%), while the strongest preference driver was Family-friendly atmosphere (68.6%). Preference growth should therefore focus on differentiation: Okada Manila should make its family-friendly atmosphere, amenities for children, safety and comfort, dining, room quality, entertainment, and premium family experiences more visible and easier to act upon.</w:t>
      </w:r>
    </w:p>
    <w:p>
      <w:r>
        <w:br w:type="page"/>
      </w:r>
    </w:p>
    <w:p>
      <w:pPr>
        <w:pStyle w:val="TableTitle"/>
      </w:pPr>
      <w:r>
        <w:rPr>
          <w:b/>
        </w:rPr>
        <w:t>Table 7. Objective-by-Objective Findings Matrix</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1700"/>
            <w:tcMar>
              <w:top w:w="80" w:type="dxa"/>
              <w:start w:w="120" w:type="dxa"/>
              <w:bottom w:w="80" w:type="dxa"/>
              <w:end w:w="120" w:type="dxa"/>
            </w:tcMar>
            <w:vAlign w:val="center"/>
            <w:shd w:fill="F2F4F7"/>
          </w:tcPr>
          <w:p>
            <w:pPr>
              <w:spacing w:after="0" w:line="252" w:lineRule="auto"/>
            </w:pPr>
            <w:r>
              <w:rPr>
                <w:rFonts w:ascii="Calibri" w:hAnsi="Calibri"/>
                <w:b/>
                <w:color w:val="17324D"/>
                <w:sz w:val="18"/>
              </w:rPr>
              <w:t>Objective Area</w:t>
            </w:r>
          </w:p>
        </w:tc>
        <w:tc>
          <w:tcPr>
            <w:tcW w:type="dxa" w:w="2300"/>
            <w:tcMar>
              <w:top w:w="80" w:type="dxa"/>
              <w:start w:w="120" w:type="dxa"/>
              <w:bottom w:w="80" w:type="dxa"/>
              <w:end w:w="120" w:type="dxa"/>
            </w:tcMar>
            <w:vAlign w:val="center"/>
            <w:shd w:fill="F2F4F7"/>
          </w:tcPr>
          <w:p>
            <w:pPr>
              <w:spacing w:after="0" w:line="252" w:lineRule="auto"/>
            </w:pPr>
            <w:r>
              <w:rPr>
                <w:rFonts w:ascii="Calibri" w:hAnsi="Calibri"/>
                <w:b/>
                <w:color w:val="17324D"/>
                <w:sz w:val="18"/>
              </w:rPr>
              <w:t>Campaign Target</w:t>
            </w:r>
          </w:p>
        </w:tc>
        <w:tc>
          <w:tcPr>
            <w:tcW w:type="dxa" w:w="2500"/>
            <w:tcMar>
              <w:top w:w="80" w:type="dxa"/>
              <w:start w:w="120" w:type="dxa"/>
              <w:bottom w:w="80" w:type="dxa"/>
              <w:end w:w="120" w:type="dxa"/>
            </w:tcMar>
            <w:vAlign w:val="center"/>
            <w:shd w:fill="F2F4F7"/>
          </w:tcPr>
          <w:p>
            <w:pPr>
              <w:spacing w:after="0" w:line="252" w:lineRule="auto"/>
            </w:pPr>
            <w:r>
              <w:rPr>
                <w:rFonts w:ascii="Calibri" w:hAnsi="Calibri"/>
                <w:b/>
                <w:color w:val="17324D"/>
                <w:sz w:val="18"/>
              </w:rPr>
              <w:t>Baseline Evidence</w:t>
            </w:r>
          </w:p>
        </w:tc>
        <w:tc>
          <w:tcPr>
            <w:tcW w:type="dxa" w:w="2860"/>
            <w:tcMar>
              <w:top w:w="80" w:type="dxa"/>
              <w:start w:w="120" w:type="dxa"/>
              <w:bottom w:w="80" w:type="dxa"/>
              <w:end w:w="120" w:type="dxa"/>
            </w:tcMar>
            <w:vAlign w:val="center"/>
            <w:shd w:fill="F2F4F7"/>
          </w:tcPr>
          <w:p>
            <w:pPr>
              <w:spacing w:after="0" w:line="252" w:lineRule="auto"/>
            </w:pPr>
            <w:r>
              <w:rPr>
                <w:rFonts w:ascii="Calibri" w:hAnsi="Calibri"/>
                <w:b/>
                <w:color w:val="17324D"/>
                <w:sz w:val="18"/>
              </w:rPr>
              <w:t>Strategic Implication</w:t>
            </w:r>
          </w:p>
        </w:tc>
      </w:tr>
      <w:tr>
        <w:tc>
          <w:tcPr>
            <w:tcW w:type="dxa" w:w="2340"/>
          </w:tcPr>
          <w:p>
            <w:pPr>
              <w:spacing w:after="0" w:line="252" w:lineRule="auto"/>
            </w:pPr>
            <w:r>
              <w:rPr>
                <w:rFonts w:ascii="Calibri" w:hAnsi="Calibri"/>
                <w:b w:val="0"/>
                <w:color w:val="000000"/>
                <w:sz w:val="17"/>
              </w:rPr>
              <w:t>Awareness</w:t>
            </w:r>
          </w:p>
        </w:tc>
        <w:tc>
          <w:tcPr>
            <w:tcW w:type="dxa" w:w="2340"/>
          </w:tcPr>
          <w:p>
            <w:pPr>
              <w:spacing w:after="0" w:line="252" w:lineRule="auto"/>
            </w:pPr>
            <w:r>
              <w:rPr>
                <w:rFonts w:ascii="Calibri" w:hAnsi="Calibri"/>
                <w:b w:val="0"/>
                <w:color w:val="000000"/>
                <w:sz w:val="17"/>
              </w:rPr>
              <w:t>30% awareness growth</w:t>
            </w:r>
          </w:p>
        </w:tc>
        <w:tc>
          <w:tcPr>
            <w:tcW w:type="dxa" w:w="2340"/>
          </w:tcPr>
          <w:p>
            <w:pPr>
              <w:spacing w:after="0" w:line="252" w:lineRule="auto"/>
            </w:pPr>
            <w:r>
              <w:rPr>
                <w:rFonts w:ascii="Calibri" w:hAnsi="Calibri"/>
                <w:b w:val="0"/>
                <w:color w:val="000000"/>
                <w:sz w:val="17"/>
              </w:rPr>
              <w:t>99.6% aware; Attention 65.9</w:t>
            </w:r>
          </w:p>
        </w:tc>
        <w:tc>
          <w:tcPr>
            <w:tcW w:type="dxa" w:w="2340"/>
          </w:tcPr>
          <w:p>
            <w:pPr>
              <w:spacing w:after="0" w:line="252" w:lineRule="auto"/>
            </w:pPr>
            <w:r>
              <w:rPr>
                <w:rFonts w:ascii="Calibri" w:hAnsi="Calibri"/>
                <w:b w:val="0"/>
                <w:color w:val="000000"/>
                <w:sz w:val="17"/>
              </w:rPr>
              <w:t>Build family-specific awareness associations.</w:t>
            </w:r>
          </w:p>
        </w:tc>
      </w:tr>
      <w:tr>
        <w:tc>
          <w:tcPr>
            <w:tcW w:type="dxa" w:w="2340"/>
          </w:tcPr>
          <w:p>
            <w:pPr>
              <w:spacing w:after="0" w:line="252" w:lineRule="auto"/>
            </w:pPr>
            <w:r>
              <w:rPr>
                <w:rFonts w:ascii="Calibri" w:hAnsi="Calibri"/>
                <w:b w:val="0"/>
                <w:color w:val="000000"/>
                <w:sz w:val="17"/>
              </w:rPr>
              <w:t>Occupancy / Revenue</w:t>
            </w:r>
          </w:p>
        </w:tc>
        <w:tc>
          <w:tcPr>
            <w:tcW w:type="dxa" w:w="2340"/>
          </w:tcPr>
          <w:p>
            <w:pPr>
              <w:spacing w:after="0" w:line="252" w:lineRule="auto"/>
            </w:pPr>
            <w:r>
              <w:rPr>
                <w:rFonts w:ascii="Calibri" w:hAnsi="Calibri"/>
                <w:b w:val="0"/>
                <w:color w:val="000000"/>
                <w:sz w:val="17"/>
              </w:rPr>
              <w:t>95% occupancy; ₱808.36M room revenue</w:t>
            </w:r>
          </w:p>
        </w:tc>
        <w:tc>
          <w:tcPr>
            <w:tcW w:type="dxa" w:w="2340"/>
          </w:tcPr>
          <w:p>
            <w:pPr>
              <w:spacing w:after="0" w:line="252" w:lineRule="auto"/>
            </w:pPr>
            <w:r>
              <w:rPr>
                <w:rFonts w:ascii="Calibri" w:hAnsi="Calibri"/>
                <w:b w:val="0"/>
                <w:color w:val="000000"/>
                <w:sz w:val="17"/>
              </w:rPr>
              <w:t>Top budget: ₱10,000–₱14,999</w:t>
            </w:r>
          </w:p>
        </w:tc>
        <w:tc>
          <w:tcPr>
            <w:tcW w:type="dxa" w:w="2340"/>
          </w:tcPr>
          <w:p>
            <w:pPr>
              <w:spacing w:after="0" w:line="252" w:lineRule="auto"/>
            </w:pPr>
            <w:r>
              <w:rPr>
                <w:rFonts w:ascii="Calibri" w:hAnsi="Calibri"/>
                <w:b w:val="0"/>
                <w:color w:val="000000"/>
                <w:sz w:val="17"/>
              </w:rPr>
              <w:t>Align packages with spending bands and short-stay demand.</w:t>
            </w:r>
          </w:p>
        </w:tc>
      </w:tr>
      <w:tr>
        <w:tc>
          <w:tcPr>
            <w:tcW w:type="dxa" w:w="2340"/>
          </w:tcPr>
          <w:p>
            <w:pPr>
              <w:spacing w:after="0" w:line="252" w:lineRule="auto"/>
            </w:pPr>
            <w:r>
              <w:rPr>
                <w:rFonts w:ascii="Calibri" w:hAnsi="Calibri"/>
                <w:b w:val="0"/>
                <w:color w:val="000000"/>
                <w:sz w:val="17"/>
              </w:rPr>
              <w:t>Family Bookings</w:t>
            </w:r>
          </w:p>
        </w:tc>
        <w:tc>
          <w:tcPr>
            <w:tcW w:type="dxa" w:w="2340"/>
          </w:tcPr>
          <w:p>
            <w:pPr>
              <w:spacing w:after="0" w:line="252" w:lineRule="auto"/>
            </w:pPr>
            <w:r>
              <w:rPr>
                <w:rFonts w:ascii="Calibri" w:hAnsi="Calibri"/>
                <w:b w:val="0"/>
                <w:color w:val="000000"/>
                <w:sz w:val="17"/>
              </w:rPr>
              <w:t>20% booking growth</w:t>
            </w:r>
          </w:p>
        </w:tc>
        <w:tc>
          <w:tcPr>
            <w:tcW w:type="dxa" w:w="2340"/>
          </w:tcPr>
          <w:p>
            <w:pPr>
              <w:spacing w:after="0" w:line="252" w:lineRule="auto"/>
            </w:pPr>
            <w:r>
              <w:rPr>
                <w:rFonts w:ascii="Calibri" w:hAnsi="Calibri"/>
                <w:b w:val="0"/>
                <w:color w:val="000000"/>
                <w:sz w:val="17"/>
              </w:rPr>
              <w:t>Desire 69.6; top package: Weekend family getaway</w:t>
            </w:r>
          </w:p>
        </w:tc>
        <w:tc>
          <w:tcPr>
            <w:tcW w:type="dxa" w:w="2340"/>
          </w:tcPr>
          <w:p>
            <w:pPr>
              <w:spacing w:after="0" w:line="252" w:lineRule="auto"/>
            </w:pPr>
            <w:r>
              <w:rPr>
                <w:rFonts w:ascii="Calibri" w:hAnsi="Calibri"/>
                <w:b w:val="0"/>
                <w:color w:val="000000"/>
                <w:sz w:val="17"/>
              </w:rPr>
              <w:t>Convert desire through themed, bookable family offers.</w:t>
            </w:r>
          </w:p>
        </w:tc>
      </w:tr>
      <w:tr>
        <w:tc>
          <w:tcPr>
            <w:tcW w:type="dxa" w:w="2340"/>
          </w:tcPr>
          <w:p>
            <w:pPr>
              <w:spacing w:after="0" w:line="252" w:lineRule="auto"/>
            </w:pPr>
            <w:r>
              <w:rPr>
                <w:rFonts w:ascii="Calibri" w:hAnsi="Calibri"/>
                <w:b w:val="0"/>
                <w:color w:val="000000"/>
                <w:sz w:val="17"/>
              </w:rPr>
              <w:t>Repeat Visitation</w:t>
            </w:r>
          </w:p>
        </w:tc>
        <w:tc>
          <w:tcPr>
            <w:tcW w:type="dxa" w:w="2340"/>
          </w:tcPr>
          <w:p>
            <w:pPr>
              <w:spacing w:after="0" w:line="252" w:lineRule="auto"/>
            </w:pPr>
            <w:r>
              <w:rPr>
                <w:rFonts w:ascii="Calibri" w:hAnsi="Calibri"/>
                <w:b w:val="0"/>
                <w:color w:val="000000"/>
                <w:sz w:val="17"/>
              </w:rPr>
              <w:t>15% repeat visitation growth</w:t>
            </w:r>
          </w:p>
        </w:tc>
        <w:tc>
          <w:tcPr>
            <w:tcW w:type="dxa" w:w="2340"/>
          </w:tcPr>
          <w:p>
            <w:pPr>
              <w:spacing w:after="0" w:line="252" w:lineRule="auto"/>
            </w:pPr>
            <w:r>
              <w:rPr>
                <w:rFonts w:ascii="Calibri" w:hAnsi="Calibri"/>
                <w:b w:val="0"/>
                <w:color w:val="000000"/>
                <w:sz w:val="17"/>
              </w:rPr>
              <w:t>81.7% positive return intention</w:t>
            </w:r>
          </w:p>
        </w:tc>
        <w:tc>
          <w:tcPr>
            <w:tcW w:type="dxa" w:w="2340"/>
          </w:tcPr>
          <w:p>
            <w:pPr>
              <w:spacing w:after="0" w:line="252" w:lineRule="auto"/>
            </w:pPr>
            <w:r>
              <w:rPr>
                <w:rFonts w:ascii="Calibri" w:hAnsi="Calibri"/>
                <w:b w:val="0"/>
                <w:color w:val="000000"/>
                <w:sz w:val="17"/>
              </w:rPr>
              <w:t>Use loyalty, milestone, and post-stay communications.</w:t>
            </w:r>
          </w:p>
        </w:tc>
      </w:tr>
      <w:tr>
        <w:tc>
          <w:tcPr>
            <w:tcW w:type="dxa" w:w="2340"/>
          </w:tcPr>
          <w:p>
            <w:pPr>
              <w:spacing w:after="0" w:line="252" w:lineRule="auto"/>
            </w:pPr>
            <w:r>
              <w:rPr>
                <w:rFonts w:ascii="Calibri" w:hAnsi="Calibri"/>
                <w:b w:val="0"/>
                <w:color w:val="000000"/>
                <w:sz w:val="17"/>
              </w:rPr>
              <w:t>Digital Engagement</w:t>
            </w:r>
          </w:p>
        </w:tc>
        <w:tc>
          <w:tcPr>
            <w:tcW w:type="dxa" w:w="2340"/>
          </w:tcPr>
          <w:p>
            <w:pPr>
              <w:spacing w:after="0" w:line="252" w:lineRule="auto"/>
            </w:pPr>
            <w:r>
              <w:rPr>
                <w:rFonts w:ascii="Calibri" w:hAnsi="Calibri"/>
                <w:b w:val="0"/>
                <w:color w:val="000000"/>
                <w:sz w:val="17"/>
              </w:rPr>
              <w:t>25% engagement growth</w:t>
            </w:r>
          </w:p>
        </w:tc>
        <w:tc>
          <w:tcPr>
            <w:tcW w:type="dxa" w:w="2340"/>
          </w:tcPr>
          <w:p>
            <w:pPr>
              <w:spacing w:after="0" w:line="252" w:lineRule="auto"/>
            </w:pPr>
            <w:r>
              <w:rPr>
                <w:rFonts w:ascii="Calibri" w:hAnsi="Calibri"/>
                <w:b w:val="0"/>
                <w:color w:val="000000"/>
                <w:sz w:val="17"/>
              </w:rPr>
              <w:t>Top platform: Facebook</w:t>
            </w:r>
          </w:p>
        </w:tc>
        <w:tc>
          <w:tcPr>
            <w:tcW w:type="dxa" w:w="2340"/>
          </w:tcPr>
          <w:p>
            <w:pPr>
              <w:spacing w:after="0" w:line="252" w:lineRule="auto"/>
            </w:pPr>
            <w:r>
              <w:rPr>
                <w:rFonts w:ascii="Calibri" w:hAnsi="Calibri"/>
                <w:b w:val="0"/>
                <w:color w:val="000000"/>
                <w:sz w:val="17"/>
              </w:rPr>
              <w:t>Prioritize social storytelling and influencer-led content.</w:t>
            </w:r>
          </w:p>
        </w:tc>
      </w:tr>
      <w:tr>
        <w:tc>
          <w:tcPr>
            <w:tcW w:type="dxa" w:w="2340"/>
          </w:tcPr>
          <w:p>
            <w:pPr>
              <w:spacing w:after="0" w:line="252" w:lineRule="auto"/>
            </w:pPr>
            <w:r>
              <w:rPr>
                <w:rFonts w:ascii="Calibri" w:hAnsi="Calibri"/>
                <w:b w:val="0"/>
                <w:color w:val="000000"/>
                <w:sz w:val="17"/>
              </w:rPr>
              <w:t>Preference</w:t>
            </w:r>
          </w:p>
        </w:tc>
        <w:tc>
          <w:tcPr>
            <w:tcW w:type="dxa" w:w="2340"/>
          </w:tcPr>
          <w:p>
            <w:pPr>
              <w:spacing w:after="0" w:line="252" w:lineRule="auto"/>
            </w:pPr>
            <w:r>
              <w:rPr>
                <w:rFonts w:ascii="Calibri" w:hAnsi="Calibri"/>
                <w:b w:val="0"/>
                <w:color w:val="000000"/>
                <w:sz w:val="17"/>
              </w:rPr>
              <w:t>15% preference growth</w:t>
            </w:r>
          </w:p>
        </w:tc>
        <w:tc>
          <w:tcPr>
            <w:tcW w:type="dxa" w:w="2340"/>
          </w:tcPr>
          <w:p>
            <w:pPr>
              <w:spacing w:after="0" w:line="252" w:lineRule="auto"/>
            </w:pPr>
            <w:r>
              <w:rPr>
                <w:rFonts w:ascii="Calibri" w:hAnsi="Calibri"/>
                <w:b w:val="0"/>
                <w:color w:val="000000"/>
                <w:sz w:val="17"/>
              </w:rPr>
              <w:t>70.7% prefer Okada Manila</w:t>
            </w:r>
          </w:p>
        </w:tc>
        <w:tc>
          <w:tcPr>
            <w:tcW w:type="dxa" w:w="2340"/>
          </w:tcPr>
          <w:p>
            <w:pPr>
              <w:spacing w:after="0" w:line="252" w:lineRule="auto"/>
            </w:pPr>
            <w:r>
              <w:rPr>
                <w:rFonts w:ascii="Calibri" w:hAnsi="Calibri"/>
                <w:b w:val="0"/>
                <w:color w:val="000000"/>
                <w:sz w:val="17"/>
              </w:rPr>
              <w:t>Differentiate through family amenities and non-gaming experiences.</w:t>
            </w:r>
          </w:p>
        </w:tc>
      </w:tr>
    </w:tbl>
    <w:p>
      <w:pPr>
        <w:pStyle w:val="TableNote"/>
      </w:pPr>
      <w:r>
        <w:t>Note. Each objective is paired with the strongest survey evidence and a strategic implication.</w:t>
      </w:r>
    </w:p>
    <w:p>
      <w:pPr>
        <w:pStyle w:val="Heading1"/>
      </w:pPr>
      <w:r>
        <w:t>Discussion</w:t>
      </w:r>
    </w:p>
    <w:p>
      <w:pPr/>
      <w:r>
        <w:t>The AIDA funnel suggests that Okada Manila has a favorable upper-funnel and mid-funnel position among qualified family respondents. Attention is supported by high awareness and familiarity, while Desire is supported by strong receptiveness to family-friendly luxury positioning and future experiential offerings. The principal strategic challenge lies in strengthening the transition from Desire to Action. In practical terms, this means that campaign investments should not only inform families about Okada Manila but also make family booking decisions easier, more emotionally compelling, and more immediately actionable.</w:t>
      </w:r>
    </w:p>
    <w:p>
      <w:pPr/>
      <w:r>
        <w:t>The results also indicate that family travelers evaluate integrated resorts through a mix of emotional, functional, and economic considerations. Family-friendly atmosphere, amenities for children, safety and comfort, room quality, dining, entertainment, and price or promotional value all matter. A successful marketing strategy should therefore avoid positioning family packages as simple room discounts. Instead, packages should be communicated as complete family experiences that combine convenience, bonding, premium leisure, and memorable activities.</w:t>
      </w:r>
    </w:p>
    <w:p>
      <w:pPr>
        <w:pStyle w:val="Heading1"/>
      </w:pPr>
      <w:r>
        <w:t>Conclusion and Recommendations</w:t>
      </w:r>
    </w:p>
    <w:p>
      <w:pPr/>
      <w:r>
        <w:t>The study concludes that Okada Manila is already strongly positioned in awareness and preference among surveyed family travelers, but additional growth depends on converting this favorable perception into repeatable family booking behavior. The evidence supports a marketing strategy centered on family-focused digital communication, experience-led staycation packages, seasonal events, loyalty privileges, and differentiated non-gaming attractions.</w:t>
      </w:r>
    </w:p>
    <w:p>
      <w:pPr>
        <w:pStyle w:val="ListNumber"/>
        <w:spacing w:after="80"/>
      </w:pPr>
      <w:r>
        <w:t>Strengthen family-specific brand associations by consistently showing non-gaming amenities, children's activities, family dining, seasonal events, and premium bonding experiences.</w:t>
      </w:r>
    </w:p>
    <w:p>
      <w:pPr>
        <w:pStyle w:val="ListNumber"/>
        <w:spacing w:after="80"/>
      </w:pPr>
      <w:r>
        <w:t>Use package architecture to convert desire into bookings, with clear inclusions for weekend getaways, dining bundles, holiday themes, wellness, and kids' activities.</w:t>
      </w:r>
    </w:p>
    <w:p>
      <w:pPr>
        <w:pStyle w:val="ListNumber"/>
        <w:spacing w:after="80"/>
      </w:pPr>
      <w:r>
        <w:t>Prioritize social and digital channels, especially Facebook and visually rich platforms, using influencer content and family-generated stories.</w:t>
      </w:r>
    </w:p>
    <w:p>
      <w:pPr>
        <w:pStyle w:val="ListNumber"/>
        <w:spacing w:after="80"/>
      </w:pPr>
      <w:r>
        <w:t>Develop repeat-visitation programs tied to birthdays, school breaks, holidays, and family milestones.</w:t>
      </w:r>
    </w:p>
    <w:p>
      <w:pPr>
        <w:pStyle w:val="ListNumber"/>
        <w:spacing w:after="80"/>
      </w:pPr>
      <w:r>
        <w:t>Track the AIDA stages over time so campaign performance can be evaluated against the 2027 objectives.</w:t>
      </w:r>
    </w:p>
    <w:p>
      <w:r>
        <w:br w:type="page"/>
      </w:r>
    </w:p>
    <w:p>
      <w:pPr>
        <w:pStyle w:val="Heading1"/>
      </w:pPr>
      <w:r>
        <w:t>Appendix A: AIDA Scoring Rubric</w:t>
      </w:r>
    </w:p>
    <w:p>
      <w:pPr>
        <w:pStyle w:val="TableTitle"/>
      </w:pPr>
      <w:r>
        <w:rPr>
          <w:b/>
        </w:rPr>
        <w:t>Table A1. AIDA Scoring Rubric</w:t>
      </w:r>
    </w:p>
    <w:tbl>
      <w:tblPr>
        <w:tblStyle w:val="TableGrid"/>
        <w:tblW w:type="dxa" w:w="9360"/>
        <w:jc w:val="center"/>
        <w:tblLayout w:type="fixed"/>
        <w:tblLook w:firstColumn="1" w:firstRow="1" w:lastColumn="0" w:lastRow="0" w:noHBand="0" w:noVBand="1" w:val="04A0"/>
      </w:tblPr>
      <w:tblGrid>
        <w:gridCol w:w="3120"/>
        <w:gridCol w:w="3120"/>
        <w:gridCol w:w="3120"/>
      </w:tblGrid>
      <w:tr>
        <w:tc>
          <w:tcPr>
            <w:tcW w:type="dxa" w:w="1800"/>
            <w:tcMar>
              <w:top w:w="80" w:type="dxa"/>
              <w:start w:w="120" w:type="dxa"/>
              <w:bottom w:w="80" w:type="dxa"/>
              <w:end w:w="120" w:type="dxa"/>
            </w:tcMar>
            <w:vAlign w:val="center"/>
            <w:shd w:fill="F2F4F7"/>
          </w:tcPr>
          <w:p>
            <w:pPr>
              <w:spacing w:after="0" w:line="252" w:lineRule="auto"/>
            </w:pPr>
            <w:r>
              <w:rPr>
                <w:rFonts w:ascii="Calibri" w:hAnsi="Calibri"/>
                <w:b/>
                <w:color w:val="17324D"/>
                <w:sz w:val="18"/>
              </w:rPr>
              <w:t>AIDA Stage</w:t>
            </w:r>
          </w:p>
        </w:tc>
        <w:tc>
          <w:tcPr>
            <w:tcW w:type="dxa" w:w="3300"/>
            <w:tcMar>
              <w:top w:w="80" w:type="dxa"/>
              <w:start w:w="120" w:type="dxa"/>
              <w:bottom w:w="80" w:type="dxa"/>
              <w:end w:w="120" w:type="dxa"/>
            </w:tcMar>
            <w:vAlign w:val="center"/>
            <w:shd w:fill="F2F4F7"/>
          </w:tcPr>
          <w:p>
            <w:pPr>
              <w:spacing w:after="0" w:line="252" w:lineRule="auto"/>
            </w:pPr>
            <w:r>
              <w:rPr>
                <w:rFonts w:ascii="Calibri" w:hAnsi="Calibri"/>
                <w:b/>
                <w:color w:val="17324D"/>
                <w:sz w:val="18"/>
              </w:rPr>
              <w:t>Survey Items</w:t>
            </w:r>
          </w:p>
        </w:tc>
        <w:tc>
          <w:tcPr>
            <w:tcW w:type="dxa" w:w="4260"/>
            <w:tcMar>
              <w:top w:w="80" w:type="dxa"/>
              <w:start w:w="120" w:type="dxa"/>
              <w:bottom w:w="80" w:type="dxa"/>
              <w:end w:w="120" w:type="dxa"/>
            </w:tcMar>
            <w:vAlign w:val="center"/>
            <w:shd w:fill="F2F4F7"/>
          </w:tcPr>
          <w:p>
            <w:pPr>
              <w:spacing w:after="0" w:line="252" w:lineRule="auto"/>
            </w:pPr>
            <w:r>
              <w:rPr>
                <w:rFonts w:ascii="Calibri" w:hAnsi="Calibri"/>
                <w:b/>
                <w:color w:val="17324D"/>
                <w:sz w:val="18"/>
              </w:rPr>
              <w:t>Construct Represented</w:t>
            </w:r>
          </w:p>
        </w:tc>
      </w:tr>
      <w:tr>
        <w:tc>
          <w:tcPr>
            <w:tcW w:type="dxa" w:w="3120"/>
          </w:tcPr>
          <w:p>
            <w:pPr>
              <w:spacing w:after="0" w:line="252" w:lineRule="auto"/>
            </w:pPr>
            <w:r>
              <w:rPr>
                <w:rFonts w:ascii="Calibri" w:hAnsi="Calibri"/>
                <w:b w:val="0"/>
                <w:color w:val="000000"/>
                <w:sz w:val="17"/>
              </w:rPr>
              <w:t>Attention</w:t>
            </w:r>
          </w:p>
        </w:tc>
        <w:tc>
          <w:tcPr>
            <w:tcW w:type="dxa" w:w="3120"/>
          </w:tcPr>
          <w:p>
            <w:pPr>
              <w:spacing w:after="0" w:line="252" w:lineRule="auto"/>
            </w:pPr>
            <w:r>
              <w:rPr>
                <w:rFonts w:ascii="Calibri" w:hAnsi="Calibri"/>
                <w:b w:val="0"/>
                <w:color w:val="000000"/>
                <w:sz w:val="17"/>
              </w:rPr>
              <w:t>Q23, Q26, Q27, Q29</w:t>
            </w:r>
          </w:p>
        </w:tc>
        <w:tc>
          <w:tcPr>
            <w:tcW w:type="dxa" w:w="3120"/>
          </w:tcPr>
          <w:p>
            <w:pPr>
              <w:spacing w:after="0" w:line="252" w:lineRule="auto"/>
            </w:pPr>
            <w:r>
              <w:rPr>
                <w:rFonts w:ascii="Calibri" w:hAnsi="Calibri"/>
                <w:b w:val="0"/>
                <w:color w:val="000000"/>
                <w:sz w:val="17"/>
              </w:rPr>
              <w:t>Awareness, familiarity, exposure breadth, offering recognition</w:t>
            </w:r>
          </w:p>
        </w:tc>
      </w:tr>
      <w:tr>
        <w:tc>
          <w:tcPr>
            <w:tcW w:type="dxa" w:w="3120"/>
          </w:tcPr>
          <w:p>
            <w:pPr>
              <w:spacing w:after="0" w:line="252" w:lineRule="auto"/>
            </w:pPr>
            <w:r>
              <w:rPr>
                <w:rFonts w:ascii="Calibri" w:hAnsi="Calibri"/>
                <w:b w:val="0"/>
                <w:color w:val="000000"/>
                <w:sz w:val="17"/>
              </w:rPr>
              <w:t>Interest</w:t>
            </w:r>
          </w:p>
        </w:tc>
        <w:tc>
          <w:tcPr>
            <w:tcW w:type="dxa" w:w="3120"/>
          </w:tcPr>
          <w:p>
            <w:pPr>
              <w:spacing w:after="0" w:line="252" w:lineRule="auto"/>
            </w:pPr>
            <w:r>
              <w:rPr>
                <w:rFonts w:ascii="Calibri" w:hAnsi="Calibri"/>
                <w:b w:val="0"/>
                <w:color w:val="000000"/>
                <w:sz w:val="17"/>
              </w:rPr>
              <w:t>Q8, Q14, Q18, Q20</w:t>
            </w:r>
          </w:p>
        </w:tc>
        <w:tc>
          <w:tcPr>
            <w:tcW w:type="dxa" w:w="3120"/>
          </w:tcPr>
          <w:p>
            <w:pPr>
              <w:spacing w:after="0" w:line="252" w:lineRule="auto"/>
            </w:pPr>
            <w:r>
              <w:rPr>
                <w:rFonts w:ascii="Calibri" w:hAnsi="Calibri"/>
                <w:b w:val="0"/>
                <w:color w:val="000000"/>
                <w:sz w:val="17"/>
              </w:rPr>
              <w:t>Consideration, importance of amenities, event participation, package interest</w:t>
            </w:r>
          </w:p>
        </w:tc>
      </w:tr>
      <w:tr>
        <w:tc>
          <w:tcPr>
            <w:tcW w:type="dxa" w:w="3120"/>
          </w:tcPr>
          <w:p>
            <w:pPr>
              <w:spacing w:after="0" w:line="252" w:lineRule="auto"/>
            </w:pPr>
            <w:r>
              <w:rPr>
                <w:rFonts w:ascii="Calibri" w:hAnsi="Calibri"/>
                <w:b w:val="0"/>
                <w:color w:val="000000"/>
                <w:sz w:val="17"/>
              </w:rPr>
              <w:t>Desire</w:t>
            </w:r>
          </w:p>
        </w:tc>
        <w:tc>
          <w:tcPr>
            <w:tcW w:type="dxa" w:w="3120"/>
          </w:tcPr>
          <w:p>
            <w:pPr>
              <w:spacing w:after="0" w:line="252" w:lineRule="auto"/>
            </w:pPr>
            <w:r>
              <w:rPr>
                <w:rFonts w:ascii="Calibri" w:hAnsi="Calibri"/>
                <w:b w:val="0"/>
                <w:color w:val="000000"/>
                <w:sz w:val="17"/>
              </w:rPr>
              <w:t>Q22, Q34, Q37 events, Q37 experiential</w:t>
            </w:r>
          </w:p>
        </w:tc>
        <w:tc>
          <w:tcPr>
            <w:tcW w:type="dxa" w:w="3120"/>
          </w:tcPr>
          <w:p>
            <w:pPr>
              <w:spacing w:after="0" w:line="252" w:lineRule="auto"/>
            </w:pPr>
            <w:r>
              <w:rPr>
                <w:rFonts w:ascii="Calibri" w:hAnsi="Calibri"/>
                <w:b w:val="0"/>
                <w:color w:val="000000"/>
                <w:sz w:val="17"/>
              </w:rPr>
              <w:t>Likelihood, budget, event interest, experiential package interest</w:t>
            </w:r>
          </w:p>
        </w:tc>
      </w:tr>
      <w:tr>
        <w:tc>
          <w:tcPr>
            <w:tcW w:type="dxa" w:w="3120"/>
          </w:tcPr>
          <w:p>
            <w:pPr>
              <w:spacing w:after="0" w:line="252" w:lineRule="auto"/>
            </w:pPr>
            <w:r>
              <w:rPr>
                <w:rFonts w:ascii="Calibri" w:hAnsi="Calibri"/>
                <w:b w:val="0"/>
                <w:color w:val="000000"/>
                <w:sz w:val="17"/>
              </w:rPr>
              <w:t>Action</w:t>
            </w:r>
          </w:p>
        </w:tc>
        <w:tc>
          <w:tcPr>
            <w:tcW w:type="dxa" w:w="3120"/>
          </w:tcPr>
          <w:p>
            <w:pPr>
              <w:spacing w:after="0" w:line="252" w:lineRule="auto"/>
            </w:pPr>
            <w:r>
              <w:rPr>
                <w:rFonts w:ascii="Calibri" w:hAnsi="Calibri"/>
                <w:b w:val="0"/>
                <w:color w:val="000000"/>
                <w:sz w:val="17"/>
              </w:rPr>
              <w:t>Q5, Q30, Q31c, Q31b, Q31e, Q37 return</w:t>
            </w:r>
          </w:p>
        </w:tc>
        <w:tc>
          <w:tcPr>
            <w:tcW w:type="dxa" w:w="3120"/>
          </w:tcPr>
          <w:p>
            <w:pPr>
              <w:spacing w:after="0" w:line="252" w:lineRule="auto"/>
            </w:pPr>
            <w:r>
              <w:rPr>
                <w:rFonts w:ascii="Calibri" w:hAnsi="Calibri"/>
                <w:b w:val="0"/>
                <w:color w:val="000000"/>
                <w:sz w:val="17"/>
              </w:rPr>
              <w:t>Readiness, prior stay, planned stay, visit frequency, return intention</w:t>
            </w:r>
          </w:p>
        </w:tc>
      </w:tr>
    </w:tbl>
    <w:p>
      <w:pPr>
        <w:pStyle w:val="TableNote"/>
      </w:pPr>
      <w:r>
        <w:t>Note. All AIDA values were normalized to a 0 to 100 scale.</w:t>
      </w:r>
    </w:p>
    <w:p>
      <w:pPr>
        <w:pStyle w:val="Heading1"/>
      </w:pPr>
      <w:r>
        <w:t>Appendix B: Selected Frequency Tables</w:t>
      </w:r>
    </w:p>
    <w:p>
      <w:pPr>
        <w:pStyle w:val="TableTitle"/>
      </w:pPr>
      <w:r>
        <w:rPr>
          <w:b/>
        </w:rPr>
        <w:t>Table B1. Selected Stay and Booking Frequency Results</w:t>
      </w:r>
    </w:p>
    <w:tbl>
      <w:tblPr>
        <w:tblStyle w:val="TableGrid"/>
        <w:tblW w:type="dxa" w:w="9360"/>
        <w:jc w:val="center"/>
        <w:tblLayout w:type="fixed"/>
        <w:tblLook w:firstColumn="1" w:firstRow="1" w:lastColumn="0" w:lastRow="0" w:noHBand="0" w:noVBand="1" w:val="04A0"/>
      </w:tblPr>
      <w:tblGrid>
        <w:gridCol w:w="2340"/>
        <w:gridCol w:w="2340"/>
        <w:gridCol w:w="2340"/>
        <w:gridCol w:w="2340"/>
      </w:tblGrid>
      <w:tr>
        <w:tc>
          <w:tcPr>
            <w:tcW w:type="dxa" w:w="2500"/>
            <w:tcMar>
              <w:top w:w="80" w:type="dxa"/>
              <w:start w:w="120" w:type="dxa"/>
              <w:bottom w:w="80" w:type="dxa"/>
              <w:end w:w="120" w:type="dxa"/>
            </w:tcMar>
            <w:vAlign w:val="center"/>
            <w:shd w:fill="F2F4F7"/>
          </w:tcPr>
          <w:p>
            <w:pPr>
              <w:spacing w:after="0" w:line="252" w:lineRule="auto"/>
            </w:pPr>
            <w:r>
              <w:rPr>
                <w:rFonts w:ascii="Calibri" w:hAnsi="Calibri"/>
                <w:b/>
                <w:color w:val="17324D"/>
                <w:sz w:val="18"/>
              </w:rPr>
              <w:t>Measure</w:t>
            </w:r>
          </w:p>
        </w:tc>
        <w:tc>
          <w:tcPr>
            <w:tcW w:type="dxa" w:w="3900"/>
            <w:tcMar>
              <w:top w:w="80" w:type="dxa"/>
              <w:start w:w="120" w:type="dxa"/>
              <w:bottom w:w="80" w:type="dxa"/>
              <w:end w:w="120" w:type="dxa"/>
            </w:tcMar>
            <w:vAlign w:val="center"/>
            <w:shd w:fill="F2F4F7"/>
          </w:tcPr>
          <w:p>
            <w:pPr>
              <w:spacing w:after="0" w:line="252" w:lineRule="auto"/>
            </w:pPr>
            <w:r>
              <w:rPr>
                <w:rFonts w:ascii="Calibri" w:hAnsi="Calibri"/>
                <w:b/>
                <w:color w:val="17324D"/>
                <w:sz w:val="18"/>
              </w:rPr>
              <w:t>Category</w:t>
            </w:r>
          </w:p>
        </w:tc>
        <w:tc>
          <w:tcPr>
            <w:tcW w:type="dxa" w:w="1300"/>
            <w:tcMar>
              <w:top w:w="80" w:type="dxa"/>
              <w:start w:w="120" w:type="dxa"/>
              <w:bottom w:w="80" w:type="dxa"/>
              <w:end w:w="120" w:type="dxa"/>
            </w:tcMar>
            <w:vAlign w:val="center"/>
            <w:shd w:fill="F2F4F7"/>
          </w:tcPr>
          <w:p>
            <w:pPr>
              <w:spacing w:after="0" w:line="252" w:lineRule="auto"/>
            </w:pPr>
            <w:r>
              <w:rPr>
                <w:rFonts w:ascii="Calibri" w:hAnsi="Calibri"/>
                <w:b/>
                <w:color w:val="17324D"/>
                <w:sz w:val="18"/>
              </w:rPr>
              <w:t>Frequency</w:t>
            </w:r>
          </w:p>
        </w:tc>
        <w:tc>
          <w:tcPr>
            <w:tcW w:type="dxa" w:w="1660"/>
            <w:tcMar>
              <w:top w:w="80" w:type="dxa"/>
              <w:start w:w="120" w:type="dxa"/>
              <w:bottom w:w="80" w:type="dxa"/>
              <w:end w:w="120" w:type="dxa"/>
            </w:tcMar>
            <w:vAlign w:val="center"/>
            <w:shd w:fill="F2F4F7"/>
          </w:tcPr>
          <w:p>
            <w:pPr>
              <w:spacing w:after="0" w:line="252" w:lineRule="auto"/>
            </w:pPr>
            <w:r>
              <w:rPr>
                <w:rFonts w:ascii="Calibri" w:hAnsi="Calibri"/>
                <w:b/>
                <w:color w:val="17324D"/>
                <w:sz w:val="18"/>
              </w:rPr>
              <w:t>Percent</w:t>
            </w:r>
          </w:p>
        </w:tc>
      </w:tr>
      <w:tr>
        <w:tc>
          <w:tcPr>
            <w:tcW w:type="dxa" w:w="2340"/>
          </w:tcPr>
          <w:p>
            <w:pPr>
              <w:spacing w:after="0" w:line="252" w:lineRule="auto"/>
            </w:pPr>
            <w:r>
              <w:rPr>
                <w:rFonts w:ascii="Calibri" w:hAnsi="Calibri"/>
                <w:b w:val="0"/>
                <w:color w:val="000000"/>
                <w:sz w:val="17"/>
              </w:rPr>
              <w:t>Stay Length</w:t>
            </w:r>
          </w:p>
        </w:tc>
        <w:tc>
          <w:tcPr>
            <w:tcW w:type="dxa" w:w="2340"/>
          </w:tcPr>
          <w:p>
            <w:pPr>
              <w:spacing w:after="0" w:line="252" w:lineRule="auto"/>
            </w:pPr>
            <w:r>
              <w:rPr>
                <w:rFonts w:ascii="Calibri" w:hAnsi="Calibri"/>
                <w:b w:val="0"/>
                <w:color w:val="000000"/>
                <w:sz w:val="17"/>
              </w:rPr>
              <w:t>1 night</w:t>
            </w:r>
          </w:p>
        </w:tc>
        <w:tc>
          <w:tcPr>
            <w:tcW w:type="dxa" w:w="2340"/>
          </w:tcPr>
          <w:p>
            <w:pPr>
              <w:spacing w:after="0" w:line="252" w:lineRule="auto"/>
            </w:pPr>
            <w:r>
              <w:rPr>
                <w:rFonts w:ascii="Calibri" w:hAnsi="Calibri"/>
                <w:b w:val="0"/>
                <w:color w:val="000000"/>
                <w:sz w:val="17"/>
              </w:rPr>
              <w:t>117</w:t>
            </w:r>
          </w:p>
        </w:tc>
        <w:tc>
          <w:tcPr>
            <w:tcW w:type="dxa" w:w="2340"/>
          </w:tcPr>
          <w:p>
            <w:pPr>
              <w:spacing w:after="0" w:line="252" w:lineRule="auto"/>
            </w:pPr>
            <w:r>
              <w:rPr>
                <w:rFonts w:ascii="Calibri" w:hAnsi="Calibri"/>
                <w:b w:val="0"/>
                <w:color w:val="000000"/>
                <w:sz w:val="17"/>
              </w:rPr>
              <w:t>51.1</w:t>
            </w:r>
          </w:p>
        </w:tc>
      </w:tr>
      <w:tr>
        <w:tc>
          <w:tcPr>
            <w:tcW w:type="dxa" w:w="2340"/>
          </w:tcPr>
          <w:p>
            <w:pPr>
              <w:spacing w:after="0" w:line="252" w:lineRule="auto"/>
            </w:pPr>
            <w:r>
              <w:rPr>
                <w:rFonts w:ascii="Calibri" w:hAnsi="Calibri"/>
                <w:b w:val="0"/>
                <w:color w:val="000000"/>
                <w:sz w:val="17"/>
              </w:rPr>
              <w:t>Stay Length</w:t>
            </w:r>
          </w:p>
        </w:tc>
        <w:tc>
          <w:tcPr>
            <w:tcW w:type="dxa" w:w="2340"/>
          </w:tcPr>
          <w:p>
            <w:pPr>
              <w:spacing w:after="0" w:line="252" w:lineRule="auto"/>
            </w:pPr>
            <w:r>
              <w:rPr>
                <w:rFonts w:ascii="Calibri" w:hAnsi="Calibri"/>
                <w:b w:val="0"/>
                <w:color w:val="000000"/>
                <w:sz w:val="17"/>
              </w:rPr>
              <w:t>2 nights</w:t>
            </w:r>
          </w:p>
        </w:tc>
        <w:tc>
          <w:tcPr>
            <w:tcW w:type="dxa" w:w="2340"/>
          </w:tcPr>
          <w:p>
            <w:pPr>
              <w:spacing w:after="0" w:line="252" w:lineRule="auto"/>
            </w:pPr>
            <w:r>
              <w:rPr>
                <w:rFonts w:ascii="Calibri" w:hAnsi="Calibri"/>
                <w:b w:val="0"/>
                <w:color w:val="000000"/>
                <w:sz w:val="17"/>
              </w:rPr>
              <w:t>83</w:t>
            </w:r>
          </w:p>
        </w:tc>
        <w:tc>
          <w:tcPr>
            <w:tcW w:type="dxa" w:w="2340"/>
          </w:tcPr>
          <w:p>
            <w:pPr>
              <w:spacing w:after="0" w:line="252" w:lineRule="auto"/>
            </w:pPr>
            <w:r>
              <w:rPr>
                <w:rFonts w:ascii="Calibri" w:hAnsi="Calibri"/>
                <w:b w:val="0"/>
                <w:color w:val="000000"/>
                <w:sz w:val="17"/>
              </w:rPr>
              <w:t>36.2</w:t>
            </w:r>
          </w:p>
        </w:tc>
      </w:tr>
      <w:tr>
        <w:tc>
          <w:tcPr>
            <w:tcW w:type="dxa" w:w="2340"/>
          </w:tcPr>
          <w:p>
            <w:pPr>
              <w:spacing w:after="0" w:line="252" w:lineRule="auto"/>
            </w:pPr>
            <w:r>
              <w:rPr>
                <w:rFonts w:ascii="Calibri" w:hAnsi="Calibri"/>
                <w:b w:val="0"/>
                <w:color w:val="000000"/>
                <w:sz w:val="17"/>
              </w:rPr>
              <w:t>Stay Length</w:t>
            </w:r>
          </w:p>
        </w:tc>
        <w:tc>
          <w:tcPr>
            <w:tcW w:type="dxa" w:w="2340"/>
          </w:tcPr>
          <w:p>
            <w:pPr>
              <w:spacing w:after="0" w:line="252" w:lineRule="auto"/>
            </w:pPr>
            <w:r>
              <w:rPr>
                <w:rFonts w:ascii="Calibri" w:hAnsi="Calibri"/>
                <w:b w:val="0"/>
                <w:color w:val="000000"/>
                <w:sz w:val="17"/>
              </w:rPr>
              <w:t>More than 2 nights</w:t>
            </w:r>
          </w:p>
        </w:tc>
        <w:tc>
          <w:tcPr>
            <w:tcW w:type="dxa" w:w="2340"/>
          </w:tcPr>
          <w:p>
            <w:pPr>
              <w:spacing w:after="0" w:line="252" w:lineRule="auto"/>
            </w:pPr>
            <w:r>
              <w:rPr>
                <w:rFonts w:ascii="Calibri" w:hAnsi="Calibri"/>
                <w:b w:val="0"/>
                <w:color w:val="000000"/>
                <w:sz w:val="17"/>
              </w:rPr>
              <w:t>27</w:t>
            </w:r>
          </w:p>
        </w:tc>
        <w:tc>
          <w:tcPr>
            <w:tcW w:type="dxa" w:w="2340"/>
          </w:tcPr>
          <w:p>
            <w:pPr>
              <w:spacing w:after="0" w:line="252" w:lineRule="auto"/>
            </w:pPr>
            <w:r>
              <w:rPr>
                <w:rFonts w:ascii="Calibri" w:hAnsi="Calibri"/>
                <w:b w:val="0"/>
                <w:color w:val="000000"/>
                <w:sz w:val="17"/>
              </w:rPr>
              <w:t>11.8</w:t>
            </w:r>
          </w:p>
        </w:tc>
      </w:tr>
      <w:tr>
        <w:tc>
          <w:tcPr>
            <w:tcW w:type="dxa" w:w="2340"/>
          </w:tcPr>
          <w:p>
            <w:pPr>
              <w:spacing w:after="0" w:line="252" w:lineRule="auto"/>
            </w:pPr>
            <w:r>
              <w:rPr>
                <w:rFonts w:ascii="Calibri" w:hAnsi="Calibri"/>
                <w:b w:val="0"/>
                <w:color w:val="000000"/>
                <w:sz w:val="17"/>
              </w:rPr>
              <w:t>Stay Length</w:t>
            </w:r>
          </w:p>
        </w:tc>
        <w:tc>
          <w:tcPr>
            <w:tcW w:type="dxa" w:w="2340"/>
          </w:tcPr>
          <w:p>
            <w:pPr>
              <w:spacing w:after="0" w:line="252" w:lineRule="auto"/>
            </w:pPr>
            <w:r>
              <w:rPr>
                <w:rFonts w:ascii="Calibri" w:hAnsi="Calibri"/>
                <w:b w:val="0"/>
                <w:color w:val="000000"/>
                <w:sz w:val="17"/>
              </w:rPr>
              <w:t>Missing / Not applicable</w:t>
            </w:r>
          </w:p>
        </w:tc>
        <w:tc>
          <w:tcPr>
            <w:tcW w:type="dxa" w:w="2340"/>
          </w:tcPr>
          <w:p>
            <w:pPr>
              <w:spacing w:after="0" w:line="252" w:lineRule="auto"/>
            </w:pPr>
            <w:r>
              <w:rPr>
                <w:rFonts w:ascii="Calibri" w:hAnsi="Calibri"/>
                <w:b w:val="0"/>
                <w:color w:val="000000"/>
                <w:sz w:val="17"/>
              </w:rPr>
              <w:t>2</w:t>
            </w:r>
          </w:p>
        </w:tc>
        <w:tc>
          <w:tcPr>
            <w:tcW w:type="dxa" w:w="2340"/>
          </w:tcPr>
          <w:p>
            <w:pPr>
              <w:spacing w:after="0" w:line="252" w:lineRule="auto"/>
            </w:pPr>
            <w:r>
              <w:rPr>
                <w:rFonts w:ascii="Calibri" w:hAnsi="Calibri"/>
                <w:b w:val="0"/>
                <w:color w:val="000000"/>
                <w:sz w:val="17"/>
              </w:rPr>
              <w:t>0.9</w:t>
            </w:r>
          </w:p>
        </w:tc>
      </w:tr>
      <w:tr>
        <w:tc>
          <w:tcPr>
            <w:tcW w:type="dxa" w:w="2340"/>
          </w:tcPr>
          <w:p>
            <w:pPr>
              <w:spacing w:after="0" w:line="252" w:lineRule="auto"/>
            </w:pPr>
            <w:r>
              <w:rPr>
                <w:rFonts w:ascii="Calibri" w:hAnsi="Calibri"/>
                <w:b w:val="0"/>
                <w:color w:val="000000"/>
                <w:sz w:val="17"/>
              </w:rPr>
              <w:t>Okada Budget</w:t>
            </w:r>
          </w:p>
        </w:tc>
        <w:tc>
          <w:tcPr>
            <w:tcW w:type="dxa" w:w="2340"/>
          </w:tcPr>
          <w:p>
            <w:pPr>
              <w:spacing w:after="0" w:line="252" w:lineRule="auto"/>
            </w:pPr>
            <w:r>
              <w:rPr>
                <w:rFonts w:ascii="Calibri" w:hAnsi="Calibri"/>
                <w:b w:val="0"/>
                <w:color w:val="000000"/>
                <w:sz w:val="17"/>
              </w:rPr>
              <w:t>₱10,000–₱14,999</w:t>
            </w:r>
          </w:p>
        </w:tc>
        <w:tc>
          <w:tcPr>
            <w:tcW w:type="dxa" w:w="2340"/>
          </w:tcPr>
          <w:p>
            <w:pPr>
              <w:spacing w:after="0" w:line="252" w:lineRule="auto"/>
            </w:pPr>
            <w:r>
              <w:rPr>
                <w:rFonts w:ascii="Calibri" w:hAnsi="Calibri"/>
                <w:b w:val="0"/>
                <w:color w:val="000000"/>
                <w:sz w:val="17"/>
              </w:rPr>
              <w:t>78</w:t>
            </w:r>
          </w:p>
        </w:tc>
        <w:tc>
          <w:tcPr>
            <w:tcW w:type="dxa" w:w="2340"/>
          </w:tcPr>
          <w:p>
            <w:pPr>
              <w:spacing w:after="0" w:line="252" w:lineRule="auto"/>
            </w:pPr>
            <w:r>
              <w:rPr>
                <w:rFonts w:ascii="Calibri" w:hAnsi="Calibri"/>
                <w:b w:val="0"/>
                <w:color w:val="000000"/>
                <w:sz w:val="17"/>
              </w:rPr>
              <w:t>34.1</w:t>
            </w:r>
          </w:p>
        </w:tc>
      </w:tr>
      <w:tr>
        <w:tc>
          <w:tcPr>
            <w:tcW w:type="dxa" w:w="2340"/>
          </w:tcPr>
          <w:p>
            <w:pPr>
              <w:spacing w:after="0" w:line="252" w:lineRule="auto"/>
            </w:pPr>
            <w:r>
              <w:rPr>
                <w:rFonts w:ascii="Calibri" w:hAnsi="Calibri"/>
                <w:b w:val="0"/>
                <w:color w:val="000000"/>
                <w:sz w:val="17"/>
              </w:rPr>
              <w:t>Okada Budget</w:t>
            </w:r>
          </w:p>
        </w:tc>
        <w:tc>
          <w:tcPr>
            <w:tcW w:type="dxa" w:w="2340"/>
          </w:tcPr>
          <w:p>
            <w:pPr>
              <w:spacing w:after="0" w:line="252" w:lineRule="auto"/>
            </w:pPr>
            <w:r>
              <w:rPr>
                <w:rFonts w:ascii="Calibri" w:hAnsi="Calibri"/>
                <w:b w:val="0"/>
                <w:color w:val="000000"/>
                <w:sz w:val="17"/>
              </w:rPr>
              <w:t>₱15,000–₱19,999</w:t>
            </w:r>
          </w:p>
        </w:tc>
        <w:tc>
          <w:tcPr>
            <w:tcW w:type="dxa" w:w="2340"/>
          </w:tcPr>
          <w:p>
            <w:pPr>
              <w:spacing w:after="0" w:line="252" w:lineRule="auto"/>
            </w:pPr>
            <w:r>
              <w:rPr>
                <w:rFonts w:ascii="Calibri" w:hAnsi="Calibri"/>
                <w:b w:val="0"/>
                <w:color w:val="000000"/>
                <w:sz w:val="17"/>
              </w:rPr>
              <w:t>77</w:t>
            </w:r>
          </w:p>
        </w:tc>
        <w:tc>
          <w:tcPr>
            <w:tcW w:type="dxa" w:w="2340"/>
          </w:tcPr>
          <w:p>
            <w:pPr>
              <w:spacing w:after="0" w:line="252" w:lineRule="auto"/>
            </w:pPr>
            <w:r>
              <w:rPr>
                <w:rFonts w:ascii="Calibri" w:hAnsi="Calibri"/>
                <w:b w:val="0"/>
                <w:color w:val="000000"/>
                <w:sz w:val="17"/>
              </w:rPr>
              <w:t>33.6</w:t>
            </w:r>
          </w:p>
        </w:tc>
      </w:tr>
      <w:tr>
        <w:tc>
          <w:tcPr>
            <w:tcW w:type="dxa" w:w="2340"/>
          </w:tcPr>
          <w:p>
            <w:pPr>
              <w:spacing w:after="0" w:line="252" w:lineRule="auto"/>
            </w:pPr>
            <w:r>
              <w:rPr>
                <w:rFonts w:ascii="Calibri" w:hAnsi="Calibri"/>
                <w:b w:val="0"/>
                <w:color w:val="000000"/>
                <w:sz w:val="17"/>
              </w:rPr>
              <w:t>Okada Budget</w:t>
            </w:r>
          </w:p>
        </w:tc>
        <w:tc>
          <w:tcPr>
            <w:tcW w:type="dxa" w:w="2340"/>
          </w:tcPr>
          <w:p>
            <w:pPr>
              <w:spacing w:after="0" w:line="252" w:lineRule="auto"/>
            </w:pPr>
            <w:r>
              <w:rPr>
                <w:rFonts w:ascii="Calibri" w:hAnsi="Calibri"/>
                <w:b w:val="0"/>
                <w:color w:val="000000"/>
                <w:sz w:val="17"/>
              </w:rPr>
              <w:t>₱20,000–₱29,999</w:t>
            </w:r>
          </w:p>
        </w:tc>
        <w:tc>
          <w:tcPr>
            <w:tcW w:type="dxa" w:w="2340"/>
          </w:tcPr>
          <w:p>
            <w:pPr>
              <w:spacing w:after="0" w:line="252" w:lineRule="auto"/>
            </w:pPr>
            <w:r>
              <w:rPr>
                <w:rFonts w:ascii="Calibri" w:hAnsi="Calibri"/>
                <w:b w:val="0"/>
                <w:color w:val="000000"/>
                <w:sz w:val="17"/>
              </w:rPr>
              <w:t>50</w:t>
            </w:r>
          </w:p>
        </w:tc>
        <w:tc>
          <w:tcPr>
            <w:tcW w:type="dxa" w:w="2340"/>
          </w:tcPr>
          <w:p>
            <w:pPr>
              <w:spacing w:after="0" w:line="252" w:lineRule="auto"/>
            </w:pPr>
            <w:r>
              <w:rPr>
                <w:rFonts w:ascii="Calibri" w:hAnsi="Calibri"/>
                <w:b w:val="0"/>
                <w:color w:val="000000"/>
                <w:sz w:val="17"/>
              </w:rPr>
              <w:t>21.8</w:t>
            </w:r>
          </w:p>
        </w:tc>
      </w:tr>
      <w:tr>
        <w:tc>
          <w:tcPr>
            <w:tcW w:type="dxa" w:w="2340"/>
          </w:tcPr>
          <w:p>
            <w:pPr>
              <w:spacing w:after="0" w:line="252" w:lineRule="auto"/>
            </w:pPr>
            <w:r>
              <w:rPr>
                <w:rFonts w:ascii="Calibri" w:hAnsi="Calibri"/>
                <w:b w:val="0"/>
                <w:color w:val="000000"/>
                <w:sz w:val="17"/>
              </w:rPr>
              <w:t>Okada Budget</w:t>
            </w:r>
          </w:p>
        </w:tc>
        <w:tc>
          <w:tcPr>
            <w:tcW w:type="dxa" w:w="2340"/>
          </w:tcPr>
          <w:p>
            <w:pPr>
              <w:spacing w:after="0" w:line="252" w:lineRule="auto"/>
            </w:pPr>
            <w:r>
              <w:rPr>
                <w:rFonts w:ascii="Calibri" w:hAnsi="Calibri"/>
                <w:b w:val="0"/>
                <w:color w:val="000000"/>
                <w:sz w:val="17"/>
              </w:rPr>
              <w:t>₱30,000 and above</w:t>
            </w:r>
          </w:p>
        </w:tc>
        <w:tc>
          <w:tcPr>
            <w:tcW w:type="dxa" w:w="2340"/>
          </w:tcPr>
          <w:p>
            <w:pPr>
              <w:spacing w:after="0" w:line="252" w:lineRule="auto"/>
            </w:pPr>
            <w:r>
              <w:rPr>
                <w:rFonts w:ascii="Calibri" w:hAnsi="Calibri"/>
                <w:b w:val="0"/>
                <w:color w:val="000000"/>
                <w:sz w:val="17"/>
              </w:rPr>
              <w:t>22</w:t>
            </w:r>
          </w:p>
        </w:tc>
        <w:tc>
          <w:tcPr>
            <w:tcW w:type="dxa" w:w="2340"/>
          </w:tcPr>
          <w:p>
            <w:pPr>
              <w:spacing w:after="0" w:line="252" w:lineRule="auto"/>
            </w:pPr>
            <w:r>
              <w:rPr>
                <w:rFonts w:ascii="Calibri" w:hAnsi="Calibri"/>
                <w:b w:val="0"/>
                <w:color w:val="000000"/>
                <w:sz w:val="17"/>
              </w:rPr>
              <w:t>9.6</w:t>
            </w:r>
          </w:p>
        </w:tc>
      </w:tr>
      <w:tr>
        <w:tc>
          <w:tcPr>
            <w:tcW w:type="dxa" w:w="2340"/>
          </w:tcPr>
          <w:p>
            <w:pPr>
              <w:spacing w:after="0" w:line="252" w:lineRule="auto"/>
            </w:pPr>
            <w:r>
              <w:rPr>
                <w:rFonts w:ascii="Calibri" w:hAnsi="Calibri"/>
                <w:b w:val="0"/>
                <w:color w:val="000000"/>
                <w:sz w:val="17"/>
              </w:rPr>
              <w:t>Okada Budget</w:t>
            </w:r>
          </w:p>
        </w:tc>
        <w:tc>
          <w:tcPr>
            <w:tcW w:type="dxa" w:w="2340"/>
          </w:tcPr>
          <w:p>
            <w:pPr>
              <w:spacing w:after="0" w:line="252" w:lineRule="auto"/>
            </w:pPr>
            <w:r>
              <w:rPr>
                <w:rFonts w:ascii="Calibri" w:hAnsi="Calibri"/>
                <w:b w:val="0"/>
                <w:color w:val="000000"/>
                <w:sz w:val="17"/>
              </w:rPr>
              <w:t>Missing / Not applicable</w:t>
            </w:r>
          </w:p>
        </w:tc>
        <w:tc>
          <w:tcPr>
            <w:tcW w:type="dxa" w:w="2340"/>
          </w:tcPr>
          <w:p>
            <w:pPr>
              <w:spacing w:after="0" w:line="252" w:lineRule="auto"/>
            </w:pPr>
            <w:r>
              <w:rPr>
                <w:rFonts w:ascii="Calibri" w:hAnsi="Calibri"/>
                <w:b w:val="0"/>
                <w:color w:val="000000"/>
                <w:sz w:val="17"/>
              </w:rPr>
              <w:t>2</w:t>
            </w:r>
          </w:p>
        </w:tc>
        <w:tc>
          <w:tcPr>
            <w:tcW w:type="dxa" w:w="2340"/>
          </w:tcPr>
          <w:p>
            <w:pPr>
              <w:spacing w:after="0" w:line="252" w:lineRule="auto"/>
            </w:pPr>
            <w:r>
              <w:rPr>
                <w:rFonts w:ascii="Calibri" w:hAnsi="Calibri"/>
                <w:b w:val="0"/>
                <w:color w:val="000000"/>
                <w:sz w:val="17"/>
              </w:rPr>
              <w:t>0.9</w:t>
            </w:r>
          </w:p>
        </w:tc>
      </w:tr>
      <w:tr>
        <w:tc>
          <w:tcPr>
            <w:tcW w:type="dxa" w:w="2340"/>
          </w:tcPr>
          <w:p>
            <w:pPr>
              <w:spacing w:after="0" w:line="252" w:lineRule="auto"/>
            </w:pPr>
            <w:r>
              <w:rPr>
                <w:rFonts w:ascii="Calibri" w:hAnsi="Calibri"/>
                <w:b w:val="0"/>
                <w:color w:val="000000"/>
                <w:sz w:val="17"/>
              </w:rPr>
              <w:t>Planning Okada Staycation</w:t>
            </w:r>
          </w:p>
        </w:tc>
        <w:tc>
          <w:tcPr>
            <w:tcW w:type="dxa" w:w="2340"/>
          </w:tcPr>
          <w:p>
            <w:pPr>
              <w:spacing w:after="0" w:line="252" w:lineRule="auto"/>
            </w:pPr>
            <w:r>
              <w:rPr>
                <w:rFonts w:ascii="Calibri" w:hAnsi="Calibri"/>
                <w:b w:val="0"/>
                <w:color w:val="000000"/>
                <w:sz w:val="17"/>
              </w:rPr>
              <w:t>Yes</w:t>
            </w:r>
          </w:p>
        </w:tc>
        <w:tc>
          <w:tcPr>
            <w:tcW w:type="dxa" w:w="2340"/>
          </w:tcPr>
          <w:p>
            <w:pPr>
              <w:spacing w:after="0" w:line="252" w:lineRule="auto"/>
            </w:pPr>
            <w:r>
              <w:rPr>
                <w:rFonts w:ascii="Calibri" w:hAnsi="Calibri"/>
                <w:b w:val="0"/>
                <w:color w:val="000000"/>
                <w:sz w:val="17"/>
              </w:rPr>
              <w:t>119</w:t>
            </w:r>
          </w:p>
        </w:tc>
        <w:tc>
          <w:tcPr>
            <w:tcW w:type="dxa" w:w="2340"/>
          </w:tcPr>
          <w:p>
            <w:pPr>
              <w:spacing w:after="0" w:line="252" w:lineRule="auto"/>
            </w:pPr>
            <w:r>
              <w:rPr>
                <w:rFonts w:ascii="Calibri" w:hAnsi="Calibri"/>
                <w:b w:val="0"/>
                <w:color w:val="000000"/>
                <w:sz w:val="17"/>
              </w:rPr>
              <w:t>52</w:t>
            </w:r>
          </w:p>
        </w:tc>
      </w:tr>
      <w:tr>
        <w:tc>
          <w:tcPr>
            <w:tcW w:type="dxa" w:w="2340"/>
          </w:tcPr>
          <w:p>
            <w:pPr>
              <w:spacing w:after="0" w:line="252" w:lineRule="auto"/>
            </w:pPr>
            <w:r>
              <w:rPr>
                <w:rFonts w:ascii="Calibri" w:hAnsi="Calibri"/>
                <w:b w:val="0"/>
                <w:color w:val="000000"/>
                <w:sz w:val="17"/>
              </w:rPr>
              <w:t>Planning Okada Staycation</w:t>
            </w:r>
          </w:p>
        </w:tc>
        <w:tc>
          <w:tcPr>
            <w:tcW w:type="dxa" w:w="2340"/>
          </w:tcPr>
          <w:p>
            <w:pPr>
              <w:spacing w:after="0" w:line="252" w:lineRule="auto"/>
            </w:pPr>
            <w:r>
              <w:rPr>
                <w:rFonts w:ascii="Calibri" w:hAnsi="Calibri"/>
                <w:b w:val="0"/>
                <w:color w:val="000000"/>
                <w:sz w:val="17"/>
              </w:rPr>
              <w:t>No</w:t>
            </w:r>
          </w:p>
        </w:tc>
        <w:tc>
          <w:tcPr>
            <w:tcW w:type="dxa" w:w="2340"/>
          </w:tcPr>
          <w:p>
            <w:pPr>
              <w:spacing w:after="0" w:line="252" w:lineRule="auto"/>
            </w:pPr>
            <w:r>
              <w:rPr>
                <w:rFonts w:ascii="Calibri" w:hAnsi="Calibri"/>
                <w:b w:val="0"/>
                <w:color w:val="000000"/>
                <w:sz w:val="17"/>
              </w:rPr>
              <w:t>70</w:t>
            </w:r>
          </w:p>
        </w:tc>
        <w:tc>
          <w:tcPr>
            <w:tcW w:type="dxa" w:w="2340"/>
          </w:tcPr>
          <w:p>
            <w:pPr>
              <w:spacing w:after="0" w:line="252" w:lineRule="auto"/>
            </w:pPr>
            <w:r>
              <w:rPr>
                <w:rFonts w:ascii="Calibri" w:hAnsi="Calibri"/>
                <w:b w:val="0"/>
                <w:color w:val="000000"/>
                <w:sz w:val="17"/>
              </w:rPr>
              <w:t>30.6</w:t>
            </w:r>
          </w:p>
        </w:tc>
      </w:tr>
      <w:tr>
        <w:tc>
          <w:tcPr>
            <w:tcW w:type="dxa" w:w="2340"/>
          </w:tcPr>
          <w:p>
            <w:pPr>
              <w:spacing w:after="0" w:line="252" w:lineRule="auto"/>
            </w:pPr>
            <w:r>
              <w:rPr>
                <w:rFonts w:ascii="Calibri" w:hAnsi="Calibri"/>
                <w:b w:val="0"/>
                <w:color w:val="000000"/>
                <w:sz w:val="17"/>
              </w:rPr>
              <w:t>Planning Okada Staycation</w:t>
            </w:r>
          </w:p>
        </w:tc>
        <w:tc>
          <w:tcPr>
            <w:tcW w:type="dxa" w:w="2340"/>
          </w:tcPr>
          <w:p>
            <w:pPr>
              <w:spacing w:after="0" w:line="252" w:lineRule="auto"/>
            </w:pPr>
            <w:r>
              <w:rPr>
                <w:rFonts w:ascii="Calibri" w:hAnsi="Calibri"/>
                <w:b w:val="0"/>
                <w:color w:val="000000"/>
                <w:sz w:val="17"/>
              </w:rPr>
              <w:t>Missing / Not applicable</w:t>
            </w:r>
          </w:p>
        </w:tc>
        <w:tc>
          <w:tcPr>
            <w:tcW w:type="dxa" w:w="2340"/>
          </w:tcPr>
          <w:p>
            <w:pPr>
              <w:spacing w:after="0" w:line="252" w:lineRule="auto"/>
            </w:pPr>
            <w:r>
              <w:rPr>
                <w:rFonts w:ascii="Calibri" w:hAnsi="Calibri"/>
                <w:b w:val="0"/>
                <w:color w:val="000000"/>
                <w:sz w:val="17"/>
              </w:rPr>
              <w:t>40</w:t>
            </w:r>
          </w:p>
        </w:tc>
        <w:tc>
          <w:tcPr>
            <w:tcW w:type="dxa" w:w="2340"/>
          </w:tcPr>
          <w:p>
            <w:pPr>
              <w:spacing w:after="0" w:line="252" w:lineRule="auto"/>
            </w:pPr>
            <w:r>
              <w:rPr>
                <w:rFonts w:ascii="Calibri" w:hAnsi="Calibri"/>
                <w:b w:val="0"/>
                <w:color w:val="000000"/>
                <w:sz w:val="17"/>
              </w:rPr>
              <w:t>17.5</w:t>
            </w:r>
          </w:p>
        </w:tc>
      </w:tr>
    </w:tbl>
    <w:p>
      <w:pPr>
        <w:pStyle w:val="TableNote"/>
      </w:pPr>
      <w:r>
        <w:t>Note. Missing or branch-skipped values are retained where applicable.</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Prepared by Engr. Jamie Eduardo Rosal, MSCpE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Okada Manila AIDA Survey Results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jc w:val="center"/>
    </w:pPr>
    <w:rPr>
      <w:rFonts w:asciiTheme="majorHAnsi" w:eastAsiaTheme="majorEastAsia" w:hAnsiTheme="majorHAnsi" w:cstheme="majorBidi" w:ascii="Calibri" w:hAnsi="Calibri"/>
      <w:color w:val="17324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itle">
    <w:name w:val="Table Title"/>
    <w:pPr>
      <w:keepNext/>
      <w:spacing w:before="160" w:after="60"/>
    </w:pPr>
    <w:rPr>
      <w:rFonts w:ascii="Calibri" w:hAnsi="Calibri"/>
      <w:b/>
      <w:color w:val="17324D"/>
      <w:sz w:val="20"/>
    </w:rPr>
  </w:style>
  <w:style w:type="paragraph" w:customStyle="1" w:styleId="TableNote">
    <w:name w:val="Table Note"/>
    <w:pPr>
      <w:spacing w:after="160"/>
    </w:pPr>
    <w:rPr>
      <w:rFonts w:ascii="Calibri" w:hAnsi="Calibri"/>
      <w:i/>
      <w:color w:val="55555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