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2E74B5"/>
          <w:sz w:val="36"/>
        </w:rPr>
        <w:t>FULL ANALYSIS REPORT</w:t>
      </w:r>
    </w:p>
    <w:p>
      <w:pPr>
        <w:jc w:val="center"/>
      </w:pPr>
      <w:r>
        <w:rPr>
          <w:b/>
          <w:i w:val="0"/>
          <w:color w:val="0B2545"/>
          <w:sz w:val="32"/>
        </w:rPr>
        <w:t>Antimicrobial Potential of Ilocos White Garlic (Allium sativum L.) Peel Powder Processed Under Varying Drying Time and Temperature Conditions</w:t>
      </w:r>
    </w:p>
    <w:p/>
    <w:p>
      <w:pPr>
        <w:jc w:val="center"/>
      </w:pPr>
      <w:r>
        <w:rPr>
          <w:b w:val="0"/>
          <w:i/>
          <w:color w:val="5A626E"/>
          <w:sz w:val="22"/>
        </w:rPr>
        <w:t>Aligned with Research Objectives, Methodology, Statistical Analysis, and RSM Optimization</w:t>
      </w:r>
    </w:p>
    <w:p/>
    <w:p/>
    <w:p>
      <w:pPr>
        <w:jc w:val="center"/>
      </w:pPr>
      <w:r>
        <w:rPr>
          <w:b w:val="0"/>
          <w:i w:val="0"/>
          <w:color w:val="5A626E"/>
          <w:sz w:val="22"/>
        </w:rPr>
        <w:t>Reported by</w:t>
      </w:r>
    </w:p>
    <w:p>
      <w:pPr>
        <w:jc w:val="center"/>
      </w:pPr>
      <w:r>
        <w:rPr>
          <w:b/>
          <w:i w:val="0"/>
          <w:color w:val="0B2545"/>
          <w:sz w:val="28"/>
        </w:rPr>
        <w:t>Engr. Jamie Eduardo Rosal, MSCpE</w:t>
      </w:r>
    </w:p>
    <w:p/>
    <w:p>
      <w:pPr>
        <w:jc w:val="center"/>
      </w:pPr>
      <w:r>
        <w:rPr>
          <w:b w:val="0"/>
          <w:i w:val="0"/>
          <w:color w:val="5A626E"/>
          <w:sz w:val="18"/>
        </w:rPr>
        <w:t>Source files: reference.docx and Book-of-Analysis-2026-rhodea.xlsx</w:t>
      </w:r>
    </w:p>
    <w:p>
      <w:r>
        <w:br w:type="page"/>
      </w:r>
    </w:p>
    <w:p>
      <w:pPr>
        <w:pStyle w:val="Heading1"/>
      </w:pPr>
      <w:r>
        <w:t>Executive Summary</w:t>
      </w:r>
    </w:p>
    <w:p>
      <w:r>
        <w:t>This report presents the Python-based statistical analysis and visualization of Ilocos white garlic peel powder processed under varying oven-drying temperatures and times. The analysis was designed to directly address the study objectives: develop and compare treatment conditions, determine physicochemical characteristics, evaluate antimicrobial activity, and identify optimized processing conditions through Response Surface Methodology.</w:t>
      </w:r>
    </w:p>
    <w:p>
      <w:pPr>
        <w:pStyle w:val="ListBullet"/>
        <w:spacing w:after="80"/>
      </w:pPr>
      <w:r>
        <w:t>The objectives were computationally achieved using the available workbook data.</w:t>
      </w:r>
    </w:p>
    <w:p>
      <w:pPr>
        <w:pStyle w:val="ListBullet"/>
        <w:spacing w:after="80"/>
      </w:pPr>
      <w:r>
        <w:t>Treatment 5, corresponding to 60°C for 6 hours, was the best observed condition by composite desirability.</w:t>
      </w:r>
    </w:p>
    <w:p>
      <w:pPr>
        <w:pStyle w:val="ListBullet"/>
        <w:spacing w:after="80"/>
      </w:pPr>
      <w:r>
        <w:t>The RSM screening suggested an optimized processing region near 57.33°C and 5.87 hours.</w:t>
      </w:r>
    </w:p>
    <w:p>
      <w:pPr>
        <w:pStyle w:val="ListBullet"/>
        <w:spacing w:after="80"/>
      </w:pPr>
      <w:r>
        <w:t>Temperature, time, and their interaction significantly affected several physicochemical responses.</w:t>
      </w:r>
    </w:p>
    <w:p>
      <w:pPr>
        <w:pStyle w:val="ListBullet"/>
        <w:spacing w:after="80"/>
      </w:pPr>
      <w:r>
        <w:t>For antimicrobial activity, treatment differences were significant for Staphylococcus aureus; Escherichia coli was not significant, while Salmonella spp. values were constant and therefore not suitable for meaningful ANOVA interpretation.</w:t>
      </w:r>
    </w:p>
    <w:p>
      <w:pPr>
        <w:pStyle w:val="Heading1"/>
      </w:pPr>
      <w:r>
        <w:t>Objective Alignment</w:t>
      </w:r>
    </w:p>
    <w:p>
      <w:pPr>
        <w:spacing w:before="120" w:after="80"/>
      </w:pPr>
      <w:r>
        <w:rPr>
          <w:b/>
          <w:i w:val="0"/>
          <w:color w:val="0B2545"/>
        </w:rPr>
        <w:t>Table 1. Alignment of Computations with Study Objectives</w:t>
      </w:r>
    </w:p>
    <w:tbl>
      <w:tblPr>
        <w:tblW w:type="dxa" w:w="9360"/>
        <w:jc w:val="center"/>
        <w:tblLayout w:type="fixed"/>
        <w:tblLook w:firstColumn="1" w:firstRow="1" w:lastColumn="0" w:lastRow="0" w:noHBand="0" w:noVBand="1" w:val="04A0"/>
        <w:tblInd w:w="120" w:type="dxa"/>
        <w:tblBorders>
          <w:top w:val="single" w:sz="4" w:space="0" w:color="D6DAE1"/>
          <w:left w:val="single" w:sz="4" w:space="0" w:color="D6DAE1"/>
          <w:bottom w:val="single" w:sz="4" w:space="0" w:color="D6DAE1"/>
          <w:right w:val="single" w:sz="4" w:space="0" w:color="D6DAE1"/>
          <w:insideH w:val="single" w:sz="4" w:space="0" w:color="D6DAE1"/>
          <w:insideV w:val="single" w:sz="4" w:space="0" w:color="D6DAE1"/>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6"/>
              </w:rPr>
              <w:t>Research Objective</w:t>
            </w:r>
          </w:p>
        </w:tc>
        <w:tc>
          <w:tcPr>
            <w:tcW w:type="dxa" w:w="312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6"/>
              </w:rPr>
              <w:t>Status</w:t>
            </w:r>
          </w:p>
        </w:tc>
        <w:tc>
          <w:tcPr>
            <w:tcW w:type="dxa" w:w="312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6"/>
              </w:rPr>
              <w:t>Evidence in Report</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6"/>
              </w:rPr>
              <w:t>Develop garlic peel powder using oven-drying at varying time and temperature conditions.</w:t>
            </w:r>
          </w:p>
        </w:tc>
        <w:tc>
          <w:tcPr>
            <w:tcW w:type="dxa" w:w="3120"/>
            <w:vAlign w:val="center"/>
            <w:tcMar>
              <w:top w:w="80" w:type="dxa"/>
              <w:start w:w="120" w:type="dxa"/>
              <w:bottom w:w="80" w:type="dxa"/>
              <w:end w:w="120" w:type="dxa"/>
            </w:tcMar>
          </w:tcPr>
          <w:p>
            <w:pPr>
              <w:spacing w:after="0" w:line="252" w:lineRule="auto"/>
            </w:pPr>
            <w:r>
              <w:rPr>
                <w:rFonts w:ascii="Calibri" w:hAnsi="Calibri"/>
                <w:sz w:val="16"/>
              </w:rPr>
              <w:t>Achieved computationally</w:t>
            </w:r>
          </w:p>
        </w:tc>
        <w:tc>
          <w:tcPr>
            <w:tcW w:type="dxa" w:w="3120"/>
            <w:vAlign w:val="center"/>
            <w:tcMar>
              <w:top w:w="80" w:type="dxa"/>
              <w:start w:w="120" w:type="dxa"/>
              <w:bottom w:w="80" w:type="dxa"/>
              <w:end w:w="120" w:type="dxa"/>
            </w:tcMar>
          </w:tcPr>
          <w:p>
            <w:pPr>
              <w:spacing w:after="0" w:line="252" w:lineRule="auto"/>
            </w:pPr>
            <w:r>
              <w:rPr>
                <w:rFonts w:ascii="Calibri" w:hAnsi="Calibri"/>
                <w:sz w:val="16"/>
              </w:rPr>
              <w:t>Treatments were mapped into a 3x3 factorial design using temperature and time.</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6"/>
              </w:rPr>
              <w:t>Determine physicochemical characteristics: Aw, moisture content, color, WAC, and WSI.</w:t>
            </w:r>
          </w:p>
        </w:tc>
        <w:tc>
          <w:tcPr>
            <w:tcW w:type="dxa" w:w="3120"/>
            <w:vAlign w:val="center"/>
            <w:tcMar>
              <w:top w:w="80" w:type="dxa"/>
              <w:start w:w="120" w:type="dxa"/>
              <w:bottom w:w="80" w:type="dxa"/>
              <w:end w:w="120" w:type="dxa"/>
            </w:tcMar>
          </w:tcPr>
          <w:p>
            <w:pPr>
              <w:spacing w:after="0" w:line="252" w:lineRule="auto"/>
            </w:pPr>
            <w:r>
              <w:rPr>
                <w:rFonts w:ascii="Calibri" w:hAnsi="Calibri"/>
                <w:sz w:val="16"/>
              </w:rPr>
              <w:t>Achieved</w:t>
            </w:r>
          </w:p>
        </w:tc>
        <w:tc>
          <w:tcPr>
            <w:tcW w:type="dxa" w:w="3120"/>
            <w:vAlign w:val="center"/>
            <w:tcMar>
              <w:top w:w="80" w:type="dxa"/>
              <w:start w:w="120" w:type="dxa"/>
              <w:bottom w:w="80" w:type="dxa"/>
              <w:end w:w="120" w:type="dxa"/>
            </w:tcMar>
          </w:tcPr>
          <w:p>
            <w:pPr>
              <w:spacing w:after="0" w:line="252" w:lineRule="auto"/>
            </w:pPr>
            <w:r>
              <w:rPr>
                <w:rFonts w:ascii="Calibri" w:hAnsi="Calibri"/>
                <w:sz w:val="16"/>
              </w:rPr>
              <w:t>Cleaned data were summarized by treatment and analyzed using two-way ANOVA.</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6"/>
              </w:rPr>
              <w:t>Evaluate antimicrobial capacity against Staphylococcus aureus, Escherichia coli, and Salmonella spp.</w:t>
            </w:r>
          </w:p>
        </w:tc>
        <w:tc>
          <w:tcPr>
            <w:tcW w:type="dxa" w:w="3120"/>
            <w:vAlign w:val="center"/>
            <w:tcMar>
              <w:top w:w="80" w:type="dxa"/>
              <w:start w:w="120" w:type="dxa"/>
              <w:bottom w:w="80" w:type="dxa"/>
              <w:end w:w="120" w:type="dxa"/>
            </w:tcMar>
          </w:tcPr>
          <w:p>
            <w:pPr>
              <w:spacing w:after="0" w:line="252" w:lineRule="auto"/>
            </w:pPr>
            <w:r>
              <w:rPr>
                <w:rFonts w:ascii="Calibri" w:hAnsi="Calibri"/>
                <w:sz w:val="16"/>
              </w:rPr>
              <w:t>Achieved with data limitations</w:t>
            </w:r>
          </w:p>
        </w:tc>
        <w:tc>
          <w:tcPr>
            <w:tcW w:type="dxa" w:w="3120"/>
            <w:vAlign w:val="center"/>
            <w:tcMar>
              <w:top w:w="80" w:type="dxa"/>
              <w:start w:w="120" w:type="dxa"/>
              <w:bottom w:w="80" w:type="dxa"/>
              <w:end w:w="120" w:type="dxa"/>
            </w:tcMar>
          </w:tcPr>
          <w:p>
            <w:pPr>
              <w:spacing w:after="0" w:line="252" w:lineRule="auto"/>
            </w:pPr>
            <w:r>
              <w:rPr>
                <w:rFonts w:ascii="Calibri" w:hAnsi="Calibri"/>
                <w:sz w:val="16"/>
              </w:rPr>
              <w:t>Zone of inhibition data were summarized and analyzed using one-way ANOVA by organism.</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6"/>
              </w:rPr>
              <w:t>Use RSM to generate response surfaces and identify optimized garlic peel powder conditions.</w:t>
            </w:r>
          </w:p>
        </w:tc>
        <w:tc>
          <w:tcPr>
            <w:tcW w:type="dxa" w:w="3120"/>
            <w:vAlign w:val="center"/>
            <w:tcMar>
              <w:top w:w="80" w:type="dxa"/>
              <w:start w:w="120" w:type="dxa"/>
              <w:bottom w:w="80" w:type="dxa"/>
              <w:end w:w="120" w:type="dxa"/>
            </w:tcMar>
          </w:tcPr>
          <w:p>
            <w:pPr>
              <w:spacing w:after="0" w:line="252" w:lineRule="auto"/>
            </w:pPr>
            <w:r>
              <w:rPr>
                <w:rFonts w:ascii="Calibri" w:hAnsi="Calibri"/>
                <w:sz w:val="16"/>
              </w:rPr>
              <w:t>Achieved</w:t>
            </w:r>
          </w:p>
        </w:tc>
        <w:tc>
          <w:tcPr>
            <w:tcW w:type="dxa" w:w="3120"/>
            <w:vAlign w:val="center"/>
            <w:tcMar>
              <w:top w:w="80" w:type="dxa"/>
              <w:start w:w="120" w:type="dxa"/>
              <w:bottom w:w="80" w:type="dxa"/>
              <w:end w:w="120" w:type="dxa"/>
            </w:tcMar>
          </w:tcPr>
          <w:p>
            <w:pPr>
              <w:spacing w:after="0" w:line="252" w:lineRule="auto"/>
            </w:pPr>
            <w:r>
              <w:rPr>
                <w:rFonts w:ascii="Calibri" w:hAnsi="Calibri"/>
                <w:sz w:val="16"/>
              </w:rPr>
              <w:t>Second-order response surface models and composite desirability screening were computed.</w:t>
            </w:r>
          </w:p>
        </w:tc>
      </w:tr>
    </w:tbl>
    <w:p>
      <w:pPr>
        <w:pStyle w:val="Heading1"/>
      </w:pPr>
      <w:r>
        <w:t>Methodology and Data Preparation</w:t>
      </w:r>
    </w:p>
    <w:p>
      <w:r>
        <w:t>The study used a quantitative experimental design. The independent variables were oven-drying temperature and time; the dependent variables were physicochemical properties and antimicrobial zone of inhibition. The workbook was cleaned into analysis-ready datasets before performing descriptive statistics, ANOVA, and RSM.</w:t>
      </w:r>
    </w:p>
    <w:p>
      <w:r>
        <w:t>Note: the methodology text states drying times of 4, 6, and 8 hours, but the treatment matrix lists Treatment 9 as 70°C and 7 hours. For the statistical analysis, Treatment 9 was treated as 70°C and 8 hours to complete the stated 3x3 full factorial design. This should be corrected or clarified in the manuscript.</w:t>
      </w:r>
    </w:p>
    <w:p>
      <w:pPr>
        <w:spacing w:before="120" w:after="80"/>
      </w:pPr>
      <w:r>
        <w:rPr>
          <w:b/>
          <w:i w:val="0"/>
          <w:color w:val="0B2545"/>
        </w:rPr>
        <w:t>Table 2. Experimental Treatment Matrix Used for Analysis</w:t>
      </w:r>
    </w:p>
    <w:tbl>
      <w:tblPr>
        <w:tblW w:type="dxa" w:w="9360"/>
        <w:jc w:val="center"/>
        <w:tblLayout w:type="fixed"/>
        <w:tblLook w:firstColumn="1" w:firstRow="1" w:lastColumn="0" w:lastRow="0" w:noHBand="0" w:noVBand="1" w:val="04A0"/>
        <w:tblInd w:w="120" w:type="dxa"/>
        <w:tblBorders>
          <w:top w:val="single" w:sz="4" w:space="0" w:color="D6DAE1"/>
          <w:left w:val="single" w:sz="4" w:space="0" w:color="D6DAE1"/>
          <w:bottom w:val="single" w:sz="4" w:space="0" w:color="D6DAE1"/>
          <w:right w:val="single" w:sz="4" w:space="0" w:color="D6DAE1"/>
          <w:insideH w:val="single" w:sz="4" w:space="0" w:color="D6DAE1"/>
          <w:insideV w:val="single" w:sz="4" w:space="0" w:color="D6DAE1"/>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Treatment</w:t>
            </w:r>
          </w:p>
        </w:tc>
        <w:tc>
          <w:tcPr>
            <w:tcW w:type="dxa" w:w="312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Temperature (°C)</w:t>
            </w:r>
          </w:p>
        </w:tc>
        <w:tc>
          <w:tcPr>
            <w:tcW w:type="dxa" w:w="312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Time (h)</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7"/>
              </w:rPr>
              <w:t>1</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50</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4</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7"/>
              </w:rPr>
              <w:t>2</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50</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6</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7"/>
              </w:rPr>
              <w:t>3</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50</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8</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7"/>
              </w:rPr>
              <w:t>4</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60</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4</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7"/>
              </w:rPr>
              <w:t>5</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60</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6</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7"/>
              </w:rPr>
              <w:t>6</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60</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8</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7"/>
              </w:rPr>
              <w:t>7</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70</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4</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7"/>
              </w:rPr>
              <w:t>8</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70</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6</w:t>
            </w:r>
          </w:p>
        </w:tc>
      </w:tr>
      <w:tr>
        <w:tc>
          <w:tcPr>
            <w:tcW w:type="dxa" w:w="3120"/>
            <w:vAlign w:val="center"/>
            <w:tcMar>
              <w:top w:w="80" w:type="dxa"/>
              <w:start w:w="120" w:type="dxa"/>
              <w:bottom w:w="80" w:type="dxa"/>
              <w:end w:w="120" w:type="dxa"/>
            </w:tcMar>
          </w:tcPr>
          <w:p>
            <w:pPr>
              <w:spacing w:after="0" w:line="252" w:lineRule="auto"/>
            </w:pPr>
            <w:r>
              <w:rPr>
                <w:rFonts w:ascii="Calibri" w:hAnsi="Calibri"/>
                <w:sz w:val="17"/>
              </w:rPr>
              <w:t>9</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70</w:t>
            </w:r>
          </w:p>
        </w:tc>
        <w:tc>
          <w:tcPr>
            <w:tcW w:type="dxa" w:w="3120"/>
            <w:vAlign w:val="center"/>
            <w:tcMar>
              <w:top w:w="80" w:type="dxa"/>
              <w:start w:w="120" w:type="dxa"/>
              <w:bottom w:w="80" w:type="dxa"/>
              <w:end w:w="120" w:type="dxa"/>
            </w:tcMar>
          </w:tcPr>
          <w:p>
            <w:pPr>
              <w:spacing w:after="0" w:line="252" w:lineRule="auto"/>
            </w:pPr>
            <w:r>
              <w:rPr>
                <w:rFonts w:ascii="Calibri" w:hAnsi="Calibri"/>
                <w:sz w:val="17"/>
              </w:rPr>
              <w:t>8</w:t>
            </w:r>
          </w:p>
        </w:tc>
      </w:tr>
    </w:tbl>
    <w:p>
      <w:pPr>
        <w:pStyle w:val="Heading1"/>
      </w:pPr>
      <w:r>
        <w:t>Physicochemical Results</w:t>
      </w:r>
    </w:p>
    <w:p>
      <w:pPr>
        <w:spacing w:before="120" w:after="80"/>
      </w:pPr>
      <w:r>
        <w:rPr>
          <w:b/>
          <w:i w:val="0"/>
          <w:color w:val="0B2545"/>
        </w:rPr>
        <w:t>Table 3. Treatment Mean Physicochemical Characteristics</w:t>
      </w:r>
    </w:p>
    <w:p>
      <w:pPr>
        <w:spacing w:after="80"/>
      </w:pPr>
      <w:r>
        <w:rPr>
          <w:b w:val="0"/>
          <w:i/>
          <w:color w:val="5A626E"/>
          <w:sz w:val="18"/>
        </w:rPr>
        <w:t>Values are means of triplicate measurements after workbook cleaning. Color C* and Delta E were recomputed because the workbook's derived color columns were zero-filled.</w:t>
      </w:r>
    </w:p>
    <w:tbl>
      <w:tblPr>
        <w:tblW w:type="dxa" w:w="9360"/>
        <w:jc w:val="center"/>
        <w:tblLayout w:type="fixed"/>
        <w:tblLook w:firstColumn="1" w:firstRow="1" w:lastColumn="0" w:lastRow="0" w:noHBand="0" w:noVBand="1" w:val="04A0"/>
        <w:tblInd w:w="120" w:type="dxa"/>
        <w:tblBorders>
          <w:top w:val="single" w:sz="4" w:space="0" w:color="D6DAE1"/>
          <w:left w:val="single" w:sz="4" w:space="0" w:color="D6DAE1"/>
          <w:bottom w:val="single" w:sz="4" w:space="0" w:color="D6DAE1"/>
          <w:right w:val="single" w:sz="4" w:space="0" w:color="D6DAE1"/>
          <w:insideH w:val="single" w:sz="4" w:space="0" w:color="D6DAE1"/>
          <w:insideV w:val="single" w:sz="4" w:space="0" w:color="D6DAE1"/>
        </w:tblBorders>
      </w:tblPr>
      <w:tblGrid>
        <w:gridCol w:w="780"/>
        <w:gridCol w:w="780"/>
        <w:gridCol w:w="780"/>
        <w:gridCol w:w="780"/>
        <w:gridCol w:w="780"/>
        <w:gridCol w:w="780"/>
        <w:gridCol w:w="780"/>
        <w:gridCol w:w="780"/>
        <w:gridCol w:w="780"/>
        <w:gridCol w:w="780"/>
        <w:gridCol w:w="780"/>
        <w:gridCol w:w="780"/>
      </w:tblGrid>
      <w:tr>
        <w:tc>
          <w:tcPr>
            <w:tcW w:type="dxa" w:w="7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4"/>
              </w:rPr>
              <w:t>Treatment</w:t>
            </w:r>
          </w:p>
        </w:tc>
        <w:tc>
          <w:tcPr>
            <w:tcW w:type="dxa" w:w="7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4"/>
              </w:rPr>
              <w:t>Temp (°C)</w:t>
            </w:r>
          </w:p>
        </w:tc>
        <w:tc>
          <w:tcPr>
            <w:tcW w:type="dxa" w:w="7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4"/>
              </w:rPr>
              <w:t>Time (h)</w:t>
            </w:r>
          </w:p>
        </w:tc>
        <w:tc>
          <w:tcPr>
            <w:tcW w:type="dxa" w:w="7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4"/>
              </w:rPr>
              <w:t>WAC</w:t>
            </w:r>
          </w:p>
        </w:tc>
        <w:tc>
          <w:tcPr>
            <w:tcW w:type="dxa" w:w="7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4"/>
              </w:rPr>
              <w:t>Aw</w:t>
            </w:r>
          </w:p>
        </w:tc>
        <w:tc>
          <w:tcPr>
            <w:tcW w:type="dxa" w:w="7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4"/>
              </w:rPr>
              <w:t>MC (%)</w:t>
            </w:r>
          </w:p>
        </w:tc>
        <w:tc>
          <w:tcPr>
            <w:tcW w:type="dxa" w:w="7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4"/>
              </w:rPr>
              <w:t>WSI</w:t>
            </w:r>
          </w:p>
        </w:tc>
        <w:tc>
          <w:tcPr>
            <w:tcW w:type="dxa" w:w="7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4"/>
              </w:rPr>
              <w:t>L*</w:t>
            </w:r>
          </w:p>
        </w:tc>
        <w:tc>
          <w:tcPr>
            <w:tcW w:type="dxa" w:w="7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4"/>
              </w:rPr>
              <w:t>a*</w:t>
            </w:r>
          </w:p>
        </w:tc>
        <w:tc>
          <w:tcPr>
            <w:tcW w:type="dxa" w:w="7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4"/>
              </w:rPr>
              <w:t>b*</w:t>
            </w:r>
          </w:p>
        </w:tc>
        <w:tc>
          <w:tcPr>
            <w:tcW w:type="dxa" w:w="7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4"/>
              </w:rPr>
              <w:t>C*</w:t>
            </w:r>
          </w:p>
        </w:tc>
        <w:tc>
          <w:tcPr>
            <w:tcW w:type="dxa" w:w="7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4"/>
              </w:rPr>
              <w:t>Delta E vs T1</w:t>
            </w:r>
          </w:p>
        </w:tc>
      </w:tr>
      <w:tr>
        <w:tc>
          <w:tcPr>
            <w:tcW w:type="dxa" w:w="780"/>
            <w:vAlign w:val="center"/>
            <w:tcMar>
              <w:top w:w="80" w:type="dxa"/>
              <w:start w:w="120" w:type="dxa"/>
              <w:bottom w:w="80" w:type="dxa"/>
              <w:end w:w="120" w:type="dxa"/>
            </w:tcMar>
          </w:tcPr>
          <w:p>
            <w:pPr>
              <w:spacing w:after="0" w:line="252" w:lineRule="auto"/>
            </w:pPr>
            <w:r>
              <w:rPr>
                <w:rFonts w:ascii="Calibri" w:hAnsi="Calibri"/>
                <w:sz w:val="14"/>
              </w:rPr>
              <w:t>1</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50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4</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296.393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0.632</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10.403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17.874</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62.083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3.783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17.327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17.735</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0.341</w:t>
            </w:r>
          </w:p>
        </w:tc>
      </w:tr>
      <w:tr>
        <w:tc>
          <w:tcPr>
            <w:tcW w:type="dxa" w:w="780"/>
            <w:vAlign w:val="center"/>
            <w:tcMar>
              <w:top w:w="80" w:type="dxa"/>
              <w:start w:w="120" w:type="dxa"/>
              <w:bottom w:w="80" w:type="dxa"/>
              <w:end w:w="120" w:type="dxa"/>
            </w:tcMar>
          </w:tcPr>
          <w:p>
            <w:pPr>
              <w:spacing w:after="0" w:line="252" w:lineRule="auto"/>
            </w:pPr>
            <w:r>
              <w:rPr>
                <w:rFonts w:ascii="Calibri" w:hAnsi="Calibri"/>
                <w:sz w:val="14"/>
              </w:rPr>
              <w:t>2</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50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301.903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0.629</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9.900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10.524</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61.873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4.060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17.637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18.098</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0.480</w:t>
            </w:r>
          </w:p>
        </w:tc>
      </w:tr>
      <w:tr>
        <w:tc>
          <w:tcPr>
            <w:tcW w:type="dxa" w:w="780"/>
            <w:vAlign w:val="center"/>
            <w:tcMar>
              <w:top w:w="80" w:type="dxa"/>
              <w:start w:w="120" w:type="dxa"/>
              <w:bottom w:w="80" w:type="dxa"/>
              <w:end w:w="120" w:type="dxa"/>
            </w:tcMar>
          </w:tcPr>
          <w:p>
            <w:pPr>
              <w:spacing w:after="0" w:line="252" w:lineRule="auto"/>
            </w:pPr>
            <w:r>
              <w:rPr>
                <w:rFonts w:ascii="Calibri" w:hAnsi="Calibri"/>
                <w:sz w:val="14"/>
              </w:rPr>
              <w:t>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50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8</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333.223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0.607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9.757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10.633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61.620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3.863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17.230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17.658</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0.480</w:t>
            </w:r>
          </w:p>
        </w:tc>
      </w:tr>
      <w:tr>
        <w:tc>
          <w:tcPr>
            <w:tcW w:type="dxa" w:w="780"/>
            <w:vAlign w:val="center"/>
            <w:tcMar>
              <w:top w:w="80" w:type="dxa"/>
              <w:start w:w="120" w:type="dxa"/>
              <w:bottom w:w="80" w:type="dxa"/>
              <w:end w:w="120" w:type="dxa"/>
            </w:tcMar>
          </w:tcPr>
          <w:p>
            <w:pPr>
              <w:spacing w:after="0" w:line="252" w:lineRule="auto"/>
            </w:pPr>
            <w:r>
              <w:rPr>
                <w:rFonts w:ascii="Calibri" w:hAnsi="Calibri"/>
                <w:sz w:val="14"/>
              </w:rPr>
              <w:t>4</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4</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341.207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0.620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10.133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9.515</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61.290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3.683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18.567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18.929</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1.509</w:t>
            </w:r>
          </w:p>
        </w:tc>
      </w:tr>
      <w:tr>
        <w:tc>
          <w:tcPr>
            <w:tcW w:type="dxa" w:w="780"/>
            <w:vAlign w:val="center"/>
            <w:tcMar>
              <w:top w:w="80" w:type="dxa"/>
              <w:start w:w="120" w:type="dxa"/>
              <w:bottom w:w="80" w:type="dxa"/>
              <w:end w:w="120" w:type="dxa"/>
            </w:tcMar>
          </w:tcPr>
          <w:p>
            <w:pPr>
              <w:spacing w:after="0" w:line="252" w:lineRule="auto"/>
            </w:pPr>
            <w:r>
              <w:rPr>
                <w:rFonts w:ascii="Calibri" w:hAnsi="Calibri"/>
                <w:sz w:val="14"/>
              </w:rPr>
              <w:t>5</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364.270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0.579</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8.930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9.250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60.503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3.760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18.177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18.562</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1.797</w:t>
            </w:r>
          </w:p>
        </w:tc>
      </w:tr>
      <w:tr>
        <w:tc>
          <w:tcPr>
            <w:tcW w:type="dxa" w:w="780"/>
            <w:vAlign w:val="center"/>
            <w:tcMar>
              <w:top w:w="80" w:type="dxa"/>
              <w:start w:w="120" w:type="dxa"/>
              <w:bottom w:w="80" w:type="dxa"/>
              <w:end w:w="120" w:type="dxa"/>
            </w:tcMar>
          </w:tcPr>
          <w:p>
            <w:pPr>
              <w:spacing w:after="0" w:line="252" w:lineRule="auto"/>
            </w:pPr>
            <w:r>
              <w:rPr>
                <w:rFonts w:ascii="Calibri" w:hAnsi="Calibri"/>
                <w:sz w:val="14"/>
              </w:rPr>
              <w:t>6</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8</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304.827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0.569</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8.290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8.552</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60.463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3.877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18.520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18.921</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2.017</w:t>
            </w:r>
          </w:p>
        </w:tc>
      </w:tr>
      <w:tr>
        <w:tc>
          <w:tcPr>
            <w:tcW w:type="dxa" w:w="780"/>
            <w:vAlign w:val="center"/>
            <w:tcMar>
              <w:top w:w="80" w:type="dxa"/>
              <w:start w:w="120" w:type="dxa"/>
              <w:bottom w:w="80" w:type="dxa"/>
              <w:end w:w="120" w:type="dxa"/>
            </w:tcMar>
          </w:tcPr>
          <w:p>
            <w:pPr>
              <w:spacing w:after="0" w:line="252" w:lineRule="auto"/>
            </w:pPr>
            <w:r>
              <w:rPr>
                <w:rFonts w:ascii="Calibri" w:hAnsi="Calibri"/>
                <w:sz w:val="14"/>
              </w:rPr>
              <w:t>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70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4</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301.203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0.626</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8.787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9.885</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60.030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4.950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16.237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16.975</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2.611</w:t>
            </w:r>
          </w:p>
        </w:tc>
      </w:tr>
      <w:tr>
        <w:tc>
          <w:tcPr>
            <w:tcW w:type="dxa" w:w="780"/>
            <w:vAlign w:val="center"/>
            <w:tcMar>
              <w:top w:w="80" w:type="dxa"/>
              <w:start w:w="120" w:type="dxa"/>
              <w:bottom w:w="80" w:type="dxa"/>
              <w:end w:w="120" w:type="dxa"/>
            </w:tcMar>
          </w:tcPr>
          <w:p>
            <w:pPr>
              <w:spacing w:after="0" w:line="252" w:lineRule="auto"/>
            </w:pPr>
            <w:r>
              <w:rPr>
                <w:rFonts w:ascii="Calibri" w:hAnsi="Calibri"/>
                <w:sz w:val="14"/>
              </w:rPr>
              <w:t>8</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70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291.793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0.619</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8.507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11.568</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58.290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5.840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16.413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17.422</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4.421</w:t>
            </w:r>
          </w:p>
        </w:tc>
      </w:tr>
      <w:tr>
        <w:tc>
          <w:tcPr>
            <w:tcW w:type="dxa" w:w="780"/>
            <w:vAlign w:val="center"/>
            <w:tcMar>
              <w:top w:w="80" w:type="dxa"/>
              <w:start w:w="120" w:type="dxa"/>
              <w:bottom w:w="80" w:type="dxa"/>
              <w:end w:w="120" w:type="dxa"/>
            </w:tcMar>
          </w:tcPr>
          <w:p>
            <w:pPr>
              <w:spacing w:after="0" w:line="252" w:lineRule="auto"/>
            </w:pPr>
            <w:r>
              <w:rPr>
                <w:rFonts w:ascii="Calibri" w:hAnsi="Calibri"/>
                <w:sz w:val="14"/>
              </w:rPr>
              <w:t>9</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70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8</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281.963</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0.607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8.030</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8.674</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58.147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6.337</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16.325</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17.544</w:t>
            </w:r>
          </w:p>
        </w:tc>
        <w:tc>
          <w:tcPr>
            <w:tcW w:type="dxa" w:w="780"/>
            <w:vAlign w:val="center"/>
            <w:tcMar>
              <w:top w:w="80" w:type="dxa"/>
              <w:start w:w="120" w:type="dxa"/>
              <w:bottom w:w="80" w:type="dxa"/>
              <w:end w:w="120" w:type="dxa"/>
            </w:tcMar>
          </w:tcPr>
          <w:p>
            <w:pPr>
              <w:spacing w:after="0" w:line="252" w:lineRule="auto"/>
            </w:pPr>
            <w:r>
              <w:rPr>
                <w:rFonts w:ascii="Calibri" w:hAnsi="Calibri"/>
                <w:sz w:val="14"/>
              </w:rPr>
              <w:t>5.057</w:t>
            </w:r>
          </w:p>
        </w:tc>
      </w:tr>
    </w:tbl>
    <w:p>
      <w:r>
        <w:drawing>
          <wp:inline xmlns:a="http://schemas.openxmlformats.org/drawingml/2006/main" xmlns:pic="http://schemas.openxmlformats.org/drawingml/2006/picture">
            <wp:extent cx="5715000" cy="2784716"/>
            <wp:docPr id="1" name="Picture 1"/>
            <wp:cNvGraphicFramePr>
              <a:graphicFrameLocks noChangeAspect="1"/>
            </wp:cNvGraphicFramePr>
            <a:graphic>
              <a:graphicData uri="http://schemas.openxmlformats.org/drawingml/2006/picture">
                <pic:pic>
                  <pic:nvPicPr>
                    <pic:cNvPr id="0" name="physicochemical_heatmaps.png"/>
                    <pic:cNvPicPr/>
                  </pic:nvPicPr>
                  <pic:blipFill>
                    <a:blip r:embed="rId10"/>
                    <a:stretch>
                      <a:fillRect/>
                    </a:stretch>
                  </pic:blipFill>
                  <pic:spPr>
                    <a:xfrm>
                      <a:off x="0" y="0"/>
                      <a:ext cx="5715000" cy="2784716"/>
                    </a:xfrm>
                    <a:prstGeom prst="rect"/>
                  </pic:spPr>
                </pic:pic>
              </a:graphicData>
            </a:graphic>
          </wp:inline>
        </w:drawing>
      </w:r>
    </w:p>
    <w:p>
      <w:pPr>
        <w:spacing w:before="40" w:after="160"/>
        <w:jc w:val="center"/>
      </w:pPr>
      <w:r>
        <w:rPr>
          <w:b w:val="0"/>
          <w:i/>
          <w:color w:val="5A626E"/>
          <w:sz w:val="18"/>
        </w:rPr>
        <w:t>Figure 1. Heatmaps of physicochemical treatment means across drying temperature and time.</w:t>
      </w:r>
    </w:p>
    <w:p>
      <w:r>
        <w:drawing>
          <wp:inline xmlns:a="http://schemas.openxmlformats.org/drawingml/2006/main" xmlns:pic="http://schemas.openxmlformats.org/drawingml/2006/picture">
            <wp:extent cx="5715000" cy="4172490"/>
            <wp:docPr id="2" name="Picture 2"/>
            <wp:cNvGraphicFramePr>
              <a:graphicFrameLocks noChangeAspect="1"/>
            </wp:cNvGraphicFramePr>
            <a:graphic>
              <a:graphicData uri="http://schemas.openxmlformats.org/drawingml/2006/picture">
                <pic:pic>
                  <pic:nvPicPr>
                    <pic:cNvPr id="0" name="physicochemical_interaction_plots.png"/>
                    <pic:cNvPicPr/>
                  </pic:nvPicPr>
                  <pic:blipFill>
                    <a:blip r:embed="rId11"/>
                    <a:stretch>
                      <a:fillRect/>
                    </a:stretch>
                  </pic:blipFill>
                  <pic:spPr>
                    <a:xfrm>
                      <a:off x="0" y="0"/>
                      <a:ext cx="5715000" cy="4172490"/>
                    </a:xfrm>
                    <a:prstGeom prst="rect"/>
                  </pic:spPr>
                </pic:pic>
              </a:graphicData>
            </a:graphic>
          </wp:inline>
        </w:drawing>
      </w:r>
    </w:p>
    <w:p>
      <w:pPr>
        <w:spacing w:before="40" w:after="160"/>
        <w:jc w:val="center"/>
      </w:pPr>
      <w:r>
        <w:rPr>
          <w:b w:val="0"/>
          <w:i/>
          <w:color w:val="5A626E"/>
          <w:sz w:val="18"/>
        </w:rPr>
        <w:t>Figure 2. Interaction plots for selected physicochemical responses.</w:t>
      </w:r>
    </w:p>
    <w:p>
      <w:pPr>
        <w:pStyle w:val="Heading2"/>
      </w:pPr>
      <w:r>
        <w:t>Two-Way ANOVA Results</w:t>
      </w:r>
    </w:p>
    <w:p>
      <w:pPr>
        <w:spacing w:before="120" w:after="80"/>
      </w:pPr>
      <w:r>
        <w:rPr>
          <w:b/>
          <w:i w:val="0"/>
          <w:color w:val="0B2545"/>
        </w:rPr>
        <w:t>Table 4. Two-Way ANOVA p-Values for Physicochemical Responses</w:t>
      </w:r>
    </w:p>
    <w:p>
      <w:pPr>
        <w:spacing w:after="80"/>
      </w:pPr>
      <w:r>
        <w:rPr>
          <w:b w:val="0"/>
          <w:i/>
          <w:color w:val="5A626E"/>
          <w:sz w:val="18"/>
        </w:rPr>
        <w:t>p &lt; 0.05 indicates a statistically significant effect.</w:t>
      </w:r>
    </w:p>
    <w:tbl>
      <w:tblPr>
        <w:tblW w:type="dxa" w:w="9360"/>
        <w:jc w:val="center"/>
        <w:tblLayout w:type="fixed"/>
        <w:tblLook w:firstColumn="1" w:firstRow="1" w:lastColumn="0" w:lastRow="0" w:noHBand="0" w:noVBand="1" w:val="04A0"/>
        <w:tblInd w:w="120" w:type="dxa"/>
        <w:tblBorders>
          <w:top w:val="single" w:sz="4" w:space="0" w:color="D6DAE1"/>
          <w:left w:val="single" w:sz="4" w:space="0" w:color="D6DAE1"/>
          <w:bottom w:val="single" w:sz="4" w:space="0" w:color="D6DAE1"/>
          <w:right w:val="single" w:sz="4" w:space="0" w:color="D6DAE1"/>
          <w:insideH w:val="single" w:sz="4" w:space="0" w:color="D6DAE1"/>
          <w:insideV w:val="single" w:sz="4" w:space="0" w:color="D6DAE1"/>
        </w:tblBorders>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6"/>
              </w:rPr>
              <w:t>Response</w:t>
            </w:r>
          </w:p>
        </w:tc>
        <w:tc>
          <w:tcPr>
            <w:tcW w:type="dxa" w:w="234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6"/>
              </w:rPr>
              <w:t>p Temperature</w:t>
            </w:r>
          </w:p>
        </w:tc>
        <w:tc>
          <w:tcPr>
            <w:tcW w:type="dxa" w:w="234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6"/>
              </w:rPr>
              <w:t>p Time</w:t>
            </w:r>
          </w:p>
        </w:tc>
        <w:tc>
          <w:tcPr>
            <w:tcW w:type="dxa" w:w="234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6"/>
              </w:rPr>
              <w:t>p Interaction</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6"/>
              </w:rPr>
              <w:t>Aw</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0.003</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6"/>
              </w:rPr>
              <w:t>Chroma_C</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0.126</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6"/>
              </w:rPr>
              <w:t>Delta_E_vs_T1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6"/>
              </w:rPr>
              <w:t>Hue_deg</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6"/>
              </w:rPr>
              <w:t>L_star</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0.019</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6"/>
              </w:rPr>
              <w:t>MC_percent</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6"/>
              </w:rPr>
              <w:t>WAC</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0.257</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6"/>
              </w:rPr>
              <w:t>WSI</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6"/>
              </w:rPr>
              <w:t>a_star</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6"/>
              </w:rPr>
              <w:t>b_star</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0.806</w:t>
            </w:r>
          </w:p>
        </w:tc>
        <w:tc>
          <w:tcPr>
            <w:tcW w:type="dxa" w:w="2340"/>
            <w:vAlign w:val="center"/>
            <w:tcMar>
              <w:top w:w="80" w:type="dxa"/>
              <w:start w:w="120" w:type="dxa"/>
              <w:bottom w:w="80" w:type="dxa"/>
              <w:end w:w="120" w:type="dxa"/>
            </w:tcMar>
          </w:tcPr>
          <w:p>
            <w:pPr>
              <w:spacing w:after="0" w:line="252" w:lineRule="auto"/>
            </w:pPr>
            <w:r>
              <w:rPr>
                <w:rFonts w:ascii="Calibri" w:hAnsi="Calibri"/>
                <w:sz w:val="16"/>
              </w:rPr>
              <w:t>0.007</w:t>
            </w:r>
          </w:p>
        </w:tc>
      </w:tr>
    </w:tbl>
    <w:p>
      <w:pPr>
        <w:pStyle w:val="Heading1"/>
      </w:pPr>
      <w:r>
        <w:t>Antimicrobial Results</w:t>
      </w:r>
    </w:p>
    <w:p>
      <w:pPr>
        <w:spacing w:before="120" w:after="80"/>
      </w:pPr>
      <w:r>
        <w:rPr>
          <w:b/>
          <w:i w:val="0"/>
          <w:color w:val="0B2545"/>
        </w:rPr>
        <w:t>Table 5. Mean Zone of Inhibition by Treatment and Organism</w:t>
      </w:r>
    </w:p>
    <w:p>
      <w:pPr>
        <w:spacing w:after="80"/>
      </w:pPr>
      <w:r>
        <w:rPr>
          <w:b w:val="0"/>
          <w:i/>
          <w:color w:val="5A626E"/>
          <w:sz w:val="18"/>
        </w:rPr>
        <w:t>Zone of inhibition values are reported in millimeters. The E. coli workbook contained one blank replicate that was retained as zero to match workbook formulas.</w:t>
      </w:r>
    </w:p>
    <w:tbl>
      <w:tblPr>
        <w:tblW w:type="dxa" w:w="9360"/>
        <w:jc w:val="center"/>
        <w:tblLayout w:type="fixed"/>
        <w:tblLook w:firstColumn="1" w:firstRow="1" w:lastColumn="0" w:lastRow="0" w:noHBand="0" w:noVBand="1" w:val="04A0"/>
        <w:tblInd w:w="120" w:type="dxa"/>
        <w:tblBorders>
          <w:top w:val="single" w:sz="4" w:space="0" w:color="D6DAE1"/>
          <w:left w:val="single" w:sz="4" w:space="0" w:color="D6DAE1"/>
          <w:bottom w:val="single" w:sz="4" w:space="0" w:color="D6DAE1"/>
          <w:right w:val="single" w:sz="4" w:space="0" w:color="D6DAE1"/>
          <w:insideH w:val="single" w:sz="4" w:space="0" w:color="D6DAE1"/>
          <w:insideV w:val="single" w:sz="4" w:space="0" w:color="D6DAE1"/>
        </w:tblBorders>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5"/>
              </w:rPr>
              <w:t>Organism</w:t>
            </w:r>
          </w:p>
        </w:tc>
        <w:tc>
          <w:tcPr>
            <w:tcW w:type="dxa" w:w="1872"/>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5"/>
              </w:rPr>
              <w:t>Treatment</w:t>
            </w:r>
          </w:p>
        </w:tc>
        <w:tc>
          <w:tcPr>
            <w:tcW w:type="dxa" w:w="1872"/>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5"/>
              </w:rPr>
              <w:t>Temp (°C)</w:t>
            </w:r>
          </w:p>
        </w:tc>
        <w:tc>
          <w:tcPr>
            <w:tcW w:type="dxa" w:w="1872"/>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5"/>
              </w:rPr>
              <w:t>Time (h)</w:t>
            </w:r>
          </w:p>
        </w:tc>
        <w:tc>
          <w:tcPr>
            <w:tcW w:type="dxa" w:w="1872"/>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5"/>
              </w:rPr>
              <w:t>Mean Zone (mm)</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Escherichia coli</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1</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50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4.167</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Escherichia coli</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2</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50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6.333</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Escherichia coli</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3</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50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8</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6.167</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Escherichia coli</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6.333</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Escherichia coli</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5</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6.333</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Escherichia coli</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8</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6.500</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Escherichia coli</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7</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70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Escherichia coli</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8</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70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Escherichia coli</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9</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70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8</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Salmonella spp.</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1</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50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Salmonella spp.</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2</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50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Salmonella spp.</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3</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50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8</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Salmonella spp.</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Salmonella spp.</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5</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Salmonella spp.</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8</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Salmonella spp.</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7</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70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Salmonella spp.</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8</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70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Salmonella spp.</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9</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70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8</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Staphylococcus aureus</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1</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50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6.333</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Staphylococcus aureus</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2</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50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6.167</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Staphylococcus aureus</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3</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50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8</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6.500</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Staphylococcus aureus</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6.333</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Staphylococcus aureus</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5</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6.833</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Staphylococcus aureus</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8</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6.833</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Staphylococcus aureus</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7</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70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4</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6.250</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Staphylococcus aureus</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8</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70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r>
        <w:tc>
          <w:tcPr>
            <w:tcW w:type="dxa" w:w="1872"/>
            <w:vAlign w:val="center"/>
            <w:tcMar>
              <w:top w:w="80" w:type="dxa"/>
              <w:start w:w="120" w:type="dxa"/>
              <w:bottom w:w="80" w:type="dxa"/>
              <w:end w:w="120" w:type="dxa"/>
            </w:tcMar>
          </w:tcPr>
          <w:p>
            <w:pPr>
              <w:spacing w:after="0" w:line="252" w:lineRule="auto"/>
            </w:pPr>
            <w:r>
              <w:rPr>
                <w:rFonts w:ascii="Calibri" w:hAnsi="Calibri"/>
                <w:sz w:val="15"/>
              </w:rPr>
              <w:t>Staphylococcus aureus</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9</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70</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8</w:t>
            </w:r>
          </w:p>
        </w:tc>
        <w:tc>
          <w:tcPr>
            <w:tcW w:type="dxa" w:w="1872"/>
            <w:vAlign w:val="center"/>
            <w:tcMar>
              <w:top w:w="80" w:type="dxa"/>
              <w:start w:w="120" w:type="dxa"/>
              <w:bottom w:w="80" w:type="dxa"/>
              <w:end w:w="120" w:type="dxa"/>
            </w:tcMar>
          </w:tcPr>
          <w:p>
            <w:pPr>
              <w:spacing w:after="0" w:line="252" w:lineRule="auto"/>
            </w:pPr>
            <w:r>
              <w:rPr>
                <w:rFonts w:ascii="Calibri" w:hAnsi="Calibri"/>
                <w:sz w:val="15"/>
              </w:rPr>
              <w:t>6</w:t>
            </w:r>
          </w:p>
        </w:tc>
      </w:tr>
    </w:tbl>
    <w:p>
      <w:r>
        <w:drawing>
          <wp:inline xmlns:a="http://schemas.openxmlformats.org/drawingml/2006/main" xmlns:pic="http://schemas.openxmlformats.org/drawingml/2006/picture">
            <wp:extent cx="5715000" cy="2889988"/>
            <wp:docPr id="3" name="Picture 3"/>
            <wp:cNvGraphicFramePr>
              <a:graphicFrameLocks noChangeAspect="1"/>
            </wp:cNvGraphicFramePr>
            <a:graphic>
              <a:graphicData uri="http://schemas.openxmlformats.org/drawingml/2006/picture">
                <pic:pic>
                  <pic:nvPicPr>
                    <pic:cNvPr id="0" name="antimicrobial_zone_by_treatment.png"/>
                    <pic:cNvPicPr/>
                  </pic:nvPicPr>
                  <pic:blipFill>
                    <a:blip r:embed="rId12"/>
                    <a:stretch>
                      <a:fillRect/>
                    </a:stretch>
                  </pic:blipFill>
                  <pic:spPr>
                    <a:xfrm>
                      <a:off x="0" y="0"/>
                      <a:ext cx="5715000" cy="2889988"/>
                    </a:xfrm>
                    <a:prstGeom prst="rect"/>
                  </pic:spPr>
                </pic:pic>
              </a:graphicData>
            </a:graphic>
          </wp:inline>
        </w:drawing>
      </w:r>
    </w:p>
    <w:p>
      <w:pPr>
        <w:spacing w:before="40" w:after="160"/>
        <w:jc w:val="center"/>
      </w:pPr>
      <w:r>
        <w:rPr>
          <w:b w:val="0"/>
          <w:i/>
          <w:color w:val="5A626E"/>
          <w:sz w:val="18"/>
        </w:rPr>
        <w:t>Figure 3. Zone of inhibition by treatment and test organism.</w:t>
      </w:r>
    </w:p>
    <w:p>
      <w:pPr>
        <w:spacing w:before="120" w:after="80"/>
      </w:pPr>
      <w:r>
        <w:rPr>
          <w:b/>
          <w:i w:val="0"/>
          <w:color w:val="0B2545"/>
        </w:rPr>
        <w:t>Table 6. One-Way ANOVA for Antimicrobial Activity</w:t>
      </w:r>
    </w:p>
    <w:tbl>
      <w:tblPr>
        <w:tblW w:type="dxa" w:w="9360"/>
        <w:jc w:val="center"/>
        <w:tblLayout w:type="fixed"/>
        <w:tblLook w:firstColumn="1" w:firstRow="1" w:lastColumn="0" w:lastRow="0" w:noHBand="0" w:noVBand="1" w:val="04A0"/>
        <w:tblInd w:w="120" w:type="dxa"/>
        <w:tblBorders>
          <w:top w:val="single" w:sz="4" w:space="0" w:color="D6DAE1"/>
          <w:left w:val="single" w:sz="4" w:space="0" w:color="D6DAE1"/>
          <w:bottom w:val="single" w:sz="4" w:space="0" w:color="D6DAE1"/>
          <w:right w:val="single" w:sz="4" w:space="0" w:color="D6DAE1"/>
          <w:insideH w:val="single" w:sz="4" w:space="0" w:color="D6DAE1"/>
          <w:insideV w:val="single" w:sz="4" w:space="0" w:color="D6DAE1"/>
        </w:tblBorders>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Organism</w:t>
            </w:r>
          </w:p>
        </w:tc>
        <w:tc>
          <w:tcPr>
            <w:tcW w:type="dxa" w:w="234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F</w:t>
            </w:r>
          </w:p>
        </w:tc>
        <w:tc>
          <w:tcPr>
            <w:tcW w:type="dxa" w:w="234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p-value</w:t>
            </w:r>
          </w:p>
        </w:tc>
        <w:tc>
          <w:tcPr>
            <w:tcW w:type="dxa" w:w="234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Significant at 0.05</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7"/>
              </w:rPr>
              <w:t>Escherichia coli</w:t>
            </w:r>
          </w:p>
        </w:tc>
        <w:tc>
          <w:tcPr>
            <w:tcW w:type="dxa" w:w="2340"/>
            <w:vAlign w:val="center"/>
            <w:tcMar>
              <w:top w:w="80" w:type="dxa"/>
              <w:start w:w="120" w:type="dxa"/>
              <w:bottom w:w="80" w:type="dxa"/>
              <w:end w:w="120" w:type="dxa"/>
            </w:tcMar>
          </w:tcPr>
          <w:p>
            <w:pPr>
              <w:spacing w:after="0" w:line="252" w:lineRule="auto"/>
            </w:pPr>
            <w:r>
              <w:rPr>
                <w:rFonts w:ascii="Calibri" w:hAnsi="Calibri"/>
                <w:sz w:val="17"/>
              </w:rPr>
              <w:t>0.998</w:t>
            </w:r>
          </w:p>
        </w:tc>
        <w:tc>
          <w:tcPr>
            <w:tcW w:type="dxa" w:w="2340"/>
            <w:vAlign w:val="center"/>
            <w:tcMar>
              <w:top w:w="80" w:type="dxa"/>
              <w:start w:w="120" w:type="dxa"/>
              <w:bottom w:w="80" w:type="dxa"/>
              <w:end w:w="120" w:type="dxa"/>
            </w:tcMar>
          </w:tcPr>
          <w:p>
            <w:pPr>
              <w:spacing w:after="0" w:line="252" w:lineRule="auto"/>
            </w:pPr>
            <w:r>
              <w:rPr>
                <w:rFonts w:ascii="Calibri" w:hAnsi="Calibri"/>
                <w:sz w:val="17"/>
              </w:rPr>
              <w:t>0.470</w:t>
            </w:r>
          </w:p>
        </w:tc>
        <w:tc>
          <w:tcPr>
            <w:tcW w:type="dxa" w:w="2340"/>
            <w:vAlign w:val="center"/>
            <w:tcMar>
              <w:top w:w="80" w:type="dxa"/>
              <w:start w:w="120" w:type="dxa"/>
              <w:bottom w:w="80" w:type="dxa"/>
              <w:end w:w="120" w:type="dxa"/>
            </w:tcMar>
          </w:tcPr>
          <w:p>
            <w:pPr>
              <w:spacing w:after="0" w:line="252" w:lineRule="auto"/>
            </w:pPr>
            <w:r>
              <w:rPr>
                <w:rFonts w:ascii="Calibri" w:hAnsi="Calibri"/>
                <w:sz w:val="17"/>
              </w:rPr>
              <w:t>0</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7"/>
              </w:rPr>
              <w:t>Salmonella spp.</w:t>
            </w:r>
          </w:p>
        </w:tc>
        <w:tc>
          <w:tcPr>
            <w:tcW w:type="dxa" w:w="2340"/>
            <w:vAlign w:val="center"/>
            <w:tcMar>
              <w:top w:w="80" w:type="dxa"/>
              <w:start w:w="120" w:type="dxa"/>
              <w:bottom w:w="80" w:type="dxa"/>
              <w:end w:w="120" w:type="dxa"/>
            </w:tcMar>
          </w:tcPr>
          <w:p>
            <w:pPr>
              <w:spacing w:after="0" w:line="252" w:lineRule="auto"/>
            </w:pPr>
            <w:r>
              <w:rPr>
                <w:rFonts w:ascii="Calibri" w:hAnsi="Calibri"/>
                <w:sz w:val="17"/>
              </w:rPr>
              <w:t>N/A</w:t>
            </w:r>
          </w:p>
        </w:tc>
        <w:tc>
          <w:tcPr>
            <w:tcW w:type="dxa" w:w="2340"/>
            <w:vAlign w:val="center"/>
            <w:tcMar>
              <w:top w:w="80" w:type="dxa"/>
              <w:start w:w="120" w:type="dxa"/>
              <w:bottom w:w="80" w:type="dxa"/>
              <w:end w:w="120" w:type="dxa"/>
            </w:tcMar>
          </w:tcPr>
          <w:p>
            <w:pPr>
              <w:spacing w:after="0" w:line="252" w:lineRule="auto"/>
            </w:pPr>
            <w:r>
              <w:rPr>
                <w:rFonts w:ascii="Calibri" w:hAnsi="Calibri"/>
                <w:sz w:val="17"/>
              </w:rPr>
              <w:t>N/A</w:t>
            </w:r>
          </w:p>
        </w:tc>
        <w:tc>
          <w:tcPr>
            <w:tcW w:type="dxa" w:w="2340"/>
            <w:vAlign w:val="center"/>
            <w:tcMar>
              <w:top w:w="80" w:type="dxa"/>
              <w:start w:w="120" w:type="dxa"/>
              <w:bottom w:w="80" w:type="dxa"/>
              <w:end w:w="120" w:type="dxa"/>
            </w:tcMar>
          </w:tcPr>
          <w:p>
            <w:pPr>
              <w:spacing w:after="0" w:line="252" w:lineRule="auto"/>
            </w:pPr>
            <w:r>
              <w:rPr>
                <w:rFonts w:ascii="Calibri" w:hAnsi="Calibri"/>
                <w:sz w:val="17"/>
              </w:rPr>
              <w:t>0</w:t>
            </w:r>
          </w:p>
        </w:tc>
      </w:tr>
      <w:tr>
        <w:tc>
          <w:tcPr>
            <w:tcW w:type="dxa" w:w="2340"/>
            <w:vAlign w:val="center"/>
            <w:tcMar>
              <w:top w:w="80" w:type="dxa"/>
              <w:start w:w="120" w:type="dxa"/>
              <w:bottom w:w="80" w:type="dxa"/>
              <w:end w:w="120" w:type="dxa"/>
            </w:tcMar>
          </w:tcPr>
          <w:p>
            <w:pPr>
              <w:spacing w:after="0" w:line="252" w:lineRule="auto"/>
            </w:pPr>
            <w:r>
              <w:rPr>
                <w:rFonts w:ascii="Calibri" w:hAnsi="Calibri"/>
                <w:sz w:val="17"/>
              </w:rPr>
              <w:t>Staphylococcus aureus</w:t>
            </w:r>
          </w:p>
        </w:tc>
        <w:tc>
          <w:tcPr>
            <w:tcW w:type="dxa" w:w="2340"/>
            <w:vAlign w:val="center"/>
            <w:tcMar>
              <w:top w:w="80" w:type="dxa"/>
              <w:start w:w="120" w:type="dxa"/>
              <w:bottom w:w="80" w:type="dxa"/>
              <w:end w:w="120" w:type="dxa"/>
            </w:tcMar>
          </w:tcPr>
          <w:p>
            <w:pPr>
              <w:spacing w:after="0" w:line="252" w:lineRule="auto"/>
            </w:pPr>
            <w:r>
              <w:rPr>
                <w:rFonts w:ascii="Calibri" w:hAnsi="Calibri"/>
                <w:sz w:val="17"/>
              </w:rPr>
              <w:t>6.300</w:t>
            </w:r>
          </w:p>
        </w:tc>
        <w:tc>
          <w:tcPr>
            <w:tcW w:type="dxa" w:w="2340"/>
            <w:vAlign w:val="center"/>
            <w:tcMar>
              <w:top w:w="80" w:type="dxa"/>
              <w:start w:w="120" w:type="dxa"/>
              <w:bottom w:w="80" w:type="dxa"/>
              <w:end w:w="120" w:type="dxa"/>
            </w:tcMar>
          </w:tcPr>
          <w:p>
            <w:pPr>
              <w:spacing w:after="0" w:line="252" w:lineRule="auto"/>
            </w:pPr>
            <w:r>
              <w:rPr>
                <w:rFonts w:ascii="Calibri" w:hAnsi="Calibri"/>
                <w:sz w:val="17"/>
              </w:rPr>
              <w:t>&lt;0.001</w:t>
            </w:r>
          </w:p>
        </w:tc>
        <w:tc>
          <w:tcPr>
            <w:tcW w:type="dxa" w:w="2340"/>
            <w:vAlign w:val="center"/>
            <w:tcMar>
              <w:top w:w="80" w:type="dxa"/>
              <w:start w:w="120" w:type="dxa"/>
              <w:bottom w:w="80" w:type="dxa"/>
              <w:end w:w="120" w:type="dxa"/>
            </w:tcMar>
          </w:tcPr>
          <w:p>
            <w:pPr>
              <w:spacing w:after="0" w:line="252" w:lineRule="auto"/>
            </w:pPr>
            <w:r>
              <w:rPr>
                <w:rFonts w:ascii="Calibri" w:hAnsi="Calibri"/>
                <w:sz w:val="17"/>
              </w:rPr>
              <w:t>1</w:t>
            </w:r>
          </w:p>
        </w:tc>
      </w:tr>
    </w:tbl>
    <w:p>
      <w:pPr>
        <w:pStyle w:val="Heading1"/>
      </w:pPr>
      <w:r>
        <w:t>Response Surface Methodology and Optimization</w:t>
      </w:r>
    </w:p>
    <w:p>
      <w:r>
        <w:t>Second-order response surface models were fitted to treatment means to estimate response trends across the experimental region. The composite desirability approach favored higher WAC, WSI, and antimicrobial zone values, while favoring lower water activity and moisture content for product stability.</w:t>
      </w:r>
    </w:p>
    <w:p>
      <w:r>
        <w:drawing>
          <wp:inline xmlns:a="http://schemas.openxmlformats.org/drawingml/2006/main" xmlns:pic="http://schemas.openxmlformats.org/drawingml/2006/picture">
            <wp:extent cx="5715000" cy="1235462"/>
            <wp:docPr id="4" name="Picture 4"/>
            <wp:cNvGraphicFramePr>
              <a:graphicFrameLocks noChangeAspect="1"/>
            </wp:cNvGraphicFramePr>
            <a:graphic>
              <a:graphicData uri="http://schemas.openxmlformats.org/drawingml/2006/picture">
                <pic:pic>
                  <pic:nvPicPr>
                    <pic:cNvPr id="0" name="rsm_contour_surfaces.png"/>
                    <pic:cNvPicPr/>
                  </pic:nvPicPr>
                  <pic:blipFill>
                    <a:blip r:embed="rId13"/>
                    <a:stretch>
                      <a:fillRect/>
                    </a:stretch>
                  </pic:blipFill>
                  <pic:spPr>
                    <a:xfrm>
                      <a:off x="0" y="0"/>
                      <a:ext cx="5715000" cy="1235462"/>
                    </a:xfrm>
                    <a:prstGeom prst="rect"/>
                  </pic:spPr>
                </pic:pic>
              </a:graphicData>
            </a:graphic>
          </wp:inline>
        </w:drawing>
      </w:r>
    </w:p>
    <w:p>
      <w:pPr>
        <w:spacing w:before="40" w:after="160"/>
        <w:jc w:val="center"/>
      </w:pPr>
      <w:r>
        <w:rPr>
          <w:b w:val="0"/>
          <w:i/>
          <w:color w:val="5A626E"/>
          <w:sz w:val="18"/>
        </w:rPr>
        <w:t>Figure 4. Response surface contour plots for selected physicochemical and antimicrobial responses.</w:t>
      </w:r>
    </w:p>
    <w:p>
      <w:r>
        <w:drawing>
          <wp:inline xmlns:a="http://schemas.openxmlformats.org/drawingml/2006/main" xmlns:pic="http://schemas.openxmlformats.org/drawingml/2006/picture">
            <wp:extent cx="5212080" cy="4039362"/>
            <wp:docPr id="5" name="Picture 5"/>
            <wp:cNvGraphicFramePr>
              <a:graphicFrameLocks noChangeAspect="1"/>
            </wp:cNvGraphicFramePr>
            <a:graphic>
              <a:graphicData uri="http://schemas.openxmlformats.org/drawingml/2006/picture">
                <pic:pic>
                  <pic:nvPicPr>
                    <pic:cNvPr id="0" name="rsm_composite_desirability.png"/>
                    <pic:cNvPicPr/>
                  </pic:nvPicPr>
                  <pic:blipFill>
                    <a:blip r:embed="rId14"/>
                    <a:stretch>
                      <a:fillRect/>
                    </a:stretch>
                  </pic:blipFill>
                  <pic:spPr>
                    <a:xfrm>
                      <a:off x="0" y="0"/>
                      <a:ext cx="5212080" cy="4039362"/>
                    </a:xfrm>
                    <a:prstGeom prst="rect"/>
                  </pic:spPr>
                </pic:pic>
              </a:graphicData>
            </a:graphic>
          </wp:inline>
        </w:drawing>
      </w:r>
    </w:p>
    <w:p>
      <w:pPr>
        <w:spacing w:before="40" w:after="160"/>
        <w:jc w:val="center"/>
      </w:pPr>
      <w:r>
        <w:rPr>
          <w:b w:val="0"/>
          <w:i/>
          <w:color w:val="5A626E"/>
          <w:sz w:val="18"/>
        </w:rPr>
        <w:t>Figure 5. Composite desirability surface showing the best screened processing region.</w:t>
      </w:r>
    </w:p>
    <w:p>
      <w:pPr>
        <w:spacing w:before="120" w:after="80"/>
      </w:pPr>
      <w:r>
        <w:rPr>
          <w:b/>
          <w:i w:val="0"/>
          <w:color w:val="0B2545"/>
        </w:rPr>
        <w:t>Table 7. Top RSM Composite Desirability Candidates</w:t>
      </w:r>
    </w:p>
    <w:tbl>
      <w:tblPr>
        <w:tblW w:type="dxa" w:w="9360"/>
        <w:jc w:val="center"/>
        <w:tblLayout w:type="fixed"/>
        <w:tblLook w:firstColumn="1" w:firstRow="1" w:lastColumn="0" w:lastRow="0" w:noHBand="0" w:noVBand="1" w:val="04A0"/>
        <w:tblInd w:w="120" w:type="dxa"/>
        <w:tblBorders>
          <w:top w:val="single" w:sz="4" w:space="0" w:color="D6DAE1"/>
          <w:left w:val="single" w:sz="4" w:space="0" w:color="D6DAE1"/>
          <w:bottom w:val="single" w:sz="4" w:space="0" w:color="D6DAE1"/>
          <w:right w:val="single" w:sz="4" w:space="0" w:color="D6DAE1"/>
          <w:insideH w:val="single" w:sz="4" w:space="0" w:color="D6DAE1"/>
          <w:insideV w:val="single" w:sz="4" w:space="0" w:color="D6DAE1"/>
        </w:tblBorders>
      </w:tblPr>
      <w:tblGrid>
        <w:gridCol w:w="1170"/>
        <w:gridCol w:w="1170"/>
        <w:gridCol w:w="1170"/>
        <w:gridCol w:w="1170"/>
        <w:gridCol w:w="1170"/>
        <w:gridCol w:w="1170"/>
        <w:gridCol w:w="1170"/>
        <w:gridCol w:w="1170"/>
      </w:tblGrid>
      <w:tr>
        <w:tc>
          <w:tcPr>
            <w:tcW w:type="dxa" w:w="117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Temp (°C)</w:t>
            </w:r>
          </w:p>
        </w:tc>
        <w:tc>
          <w:tcPr>
            <w:tcW w:type="dxa" w:w="117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Time (h)</w:t>
            </w:r>
          </w:p>
        </w:tc>
        <w:tc>
          <w:tcPr>
            <w:tcW w:type="dxa" w:w="117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WAC</w:t>
            </w:r>
          </w:p>
        </w:tc>
        <w:tc>
          <w:tcPr>
            <w:tcW w:type="dxa" w:w="117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Aw</w:t>
            </w:r>
          </w:p>
        </w:tc>
        <w:tc>
          <w:tcPr>
            <w:tcW w:type="dxa" w:w="117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MC (%)</w:t>
            </w:r>
          </w:p>
        </w:tc>
        <w:tc>
          <w:tcPr>
            <w:tcW w:type="dxa" w:w="117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WSI</w:t>
            </w:r>
          </w:p>
        </w:tc>
        <w:tc>
          <w:tcPr>
            <w:tcW w:type="dxa" w:w="117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Mean Zone</w:t>
            </w:r>
          </w:p>
        </w:tc>
        <w:tc>
          <w:tcPr>
            <w:tcW w:type="dxa" w:w="117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7"/>
              </w:rPr>
              <w:t>Composite D</w:t>
            </w:r>
          </w:p>
        </w:tc>
      </w:tr>
      <w:tr>
        <w:tc>
          <w:tcPr>
            <w:tcW w:type="dxa" w:w="1170"/>
            <w:vAlign w:val="center"/>
            <w:tcMar>
              <w:top w:w="80" w:type="dxa"/>
              <w:start w:w="120" w:type="dxa"/>
              <w:bottom w:w="80" w:type="dxa"/>
              <w:end w:w="120" w:type="dxa"/>
            </w:tcMar>
          </w:tcPr>
          <w:p>
            <w:pPr>
              <w:spacing w:after="0" w:line="252" w:lineRule="auto"/>
            </w:pPr>
            <w:r>
              <w:rPr>
                <w:rFonts w:ascii="Calibri" w:hAnsi="Calibri"/>
                <w:sz w:val="17"/>
              </w:rPr>
              <w:t>57.333</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5.867</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343.007</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0.592</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9.292</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9.535</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6.375</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0.581</w:t>
            </w:r>
          </w:p>
        </w:tc>
      </w:tr>
      <w:tr>
        <w:tc>
          <w:tcPr>
            <w:tcW w:type="dxa" w:w="1170"/>
            <w:vAlign w:val="center"/>
            <w:tcMar>
              <w:top w:w="80" w:type="dxa"/>
              <w:start w:w="120" w:type="dxa"/>
              <w:bottom w:w="80" w:type="dxa"/>
              <w:end w:w="120" w:type="dxa"/>
            </w:tcMar>
          </w:tcPr>
          <w:p>
            <w:pPr>
              <w:spacing w:after="0" w:line="252" w:lineRule="auto"/>
            </w:pPr>
            <w:r>
              <w:rPr>
                <w:rFonts w:ascii="Calibri" w:hAnsi="Calibri"/>
                <w:sz w:val="17"/>
              </w:rPr>
              <w:t>57.333</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5.800</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342.934</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0.593</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9.310</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9.603</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6.368</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0.581</w:t>
            </w:r>
          </w:p>
        </w:tc>
      </w:tr>
      <w:tr>
        <w:tc>
          <w:tcPr>
            <w:tcW w:type="dxa" w:w="1170"/>
            <w:vAlign w:val="center"/>
            <w:tcMar>
              <w:top w:w="80" w:type="dxa"/>
              <w:start w:w="120" w:type="dxa"/>
              <w:bottom w:w="80" w:type="dxa"/>
              <w:end w:w="120" w:type="dxa"/>
            </w:tcMar>
          </w:tcPr>
          <w:p>
            <w:pPr>
              <w:spacing w:after="0" w:line="252" w:lineRule="auto"/>
            </w:pPr>
            <w:r>
              <w:rPr>
                <w:rFonts w:ascii="Calibri" w:hAnsi="Calibri"/>
                <w:sz w:val="17"/>
              </w:rPr>
              <w:t>57</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5.933</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342.684</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0.592</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9.302</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9.564</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6.374</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0.581</w:t>
            </w:r>
          </w:p>
        </w:tc>
      </w:tr>
      <w:tr>
        <w:tc>
          <w:tcPr>
            <w:tcW w:type="dxa" w:w="1170"/>
            <w:vAlign w:val="center"/>
            <w:tcMar>
              <w:top w:w="80" w:type="dxa"/>
              <w:start w:w="120" w:type="dxa"/>
              <w:bottom w:w="80" w:type="dxa"/>
              <w:end w:w="120" w:type="dxa"/>
            </w:tcMar>
          </w:tcPr>
          <w:p>
            <w:pPr>
              <w:spacing w:after="0" w:line="252" w:lineRule="auto"/>
            </w:pPr>
            <w:r>
              <w:rPr>
                <w:rFonts w:ascii="Calibri" w:hAnsi="Calibri"/>
                <w:sz w:val="17"/>
              </w:rPr>
              <w:t>57</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5.867</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342.616</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0.593</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9.320</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9.633</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6.367</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0.581</w:t>
            </w:r>
          </w:p>
        </w:tc>
      </w:tr>
      <w:tr>
        <w:tc>
          <w:tcPr>
            <w:tcW w:type="dxa" w:w="1170"/>
            <w:vAlign w:val="center"/>
            <w:tcMar>
              <w:top w:w="80" w:type="dxa"/>
              <w:start w:w="120" w:type="dxa"/>
              <w:bottom w:w="80" w:type="dxa"/>
              <w:end w:w="120" w:type="dxa"/>
            </w:tcMar>
          </w:tcPr>
          <w:p>
            <w:pPr>
              <w:spacing w:after="0" w:line="252" w:lineRule="auto"/>
            </w:pPr>
            <w:r>
              <w:rPr>
                <w:rFonts w:ascii="Calibri" w:hAnsi="Calibri"/>
                <w:sz w:val="17"/>
              </w:rPr>
              <w:t>57.667</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5.800</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343.262</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0.592</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9.282</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9.508</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6.376</w:t>
            </w:r>
          </w:p>
        </w:tc>
        <w:tc>
          <w:tcPr>
            <w:tcW w:type="dxa" w:w="1170"/>
            <w:vAlign w:val="center"/>
            <w:tcMar>
              <w:top w:w="80" w:type="dxa"/>
              <w:start w:w="120" w:type="dxa"/>
              <w:bottom w:w="80" w:type="dxa"/>
              <w:end w:w="120" w:type="dxa"/>
            </w:tcMar>
          </w:tcPr>
          <w:p>
            <w:pPr>
              <w:spacing w:after="0" w:line="252" w:lineRule="auto"/>
            </w:pPr>
            <w:r>
              <w:rPr>
                <w:rFonts w:ascii="Calibri" w:hAnsi="Calibri"/>
                <w:sz w:val="17"/>
              </w:rPr>
              <w:t>0.581</w:t>
            </w:r>
          </w:p>
        </w:tc>
      </w:tr>
    </w:tbl>
    <w:p>
      <w:pPr>
        <w:pStyle w:val="Heading1"/>
      </w:pPr>
      <w:r>
        <w:t>Interpretation by Objective</w:t>
      </w:r>
    </w:p>
    <w:p>
      <w:pPr>
        <w:pStyle w:val="Heading2"/>
      </w:pPr>
      <w:r>
        <w:t>Objective 1: Develop Garlic Peel Powder Treatments</w:t>
      </w:r>
    </w:p>
    <w:p>
      <w:r>
        <w:t>The treatment matrix was successfully structured according to drying temperature and drying time. This enabled direct comparison of nine drying conditions and supported the factorial analysis required by the method.</w:t>
      </w:r>
    </w:p>
    <w:p>
      <w:pPr>
        <w:pStyle w:val="Heading2"/>
      </w:pPr>
      <w:r>
        <w:t>Objective 2: Determine Physicochemical Characteristics</w:t>
      </w:r>
    </w:p>
    <w:p>
      <w:r>
        <w:t>The physicochemical objective was achieved. Temperature, time, and their interaction showed statistically significant effects for many responses, particularly color values, moisture content, water activity, and WSI. These results indicate that drying conditions materially influenced powder quality and stability-related properties.</w:t>
      </w:r>
    </w:p>
    <w:p>
      <w:pPr>
        <w:pStyle w:val="Heading2"/>
      </w:pPr>
      <w:r>
        <w:t>Objective 3: Evaluate Antimicrobial Capacity</w:t>
      </w:r>
    </w:p>
    <w:p>
      <w:r>
        <w:t>The antimicrobial objective was achieved within the limitations of the recorded data. Staphylococcus aureus showed significant differences among treatments, Escherichia coli did not show significant differences, and Salmonella spp. values were constant at 6 mm, preventing meaningful treatment discrimination.</w:t>
      </w:r>
    </w:p>
    <w:p>
      <w:pPr>
        <w:pStyle w:val="Heading2"/>
      </w:pPr>
      <w:r>
        <w:t>Objective 4: Identify Optimized Conditions through RSM</w:t>
      </w:r>
    </w:p>
    <w:p>
      <w:r>
        <w:t>The RSM objective was achieved. The best observed condition was Treatment 5 at 60°C for 6 hours. The model-based desirability screen suggested an optimized region near 57.33°C and 5.87 hours, which is close to the observed Treatment 5 condition.</w:t>
      </w:r>
    </w:p>
    <w:p>
      <w:pPr>
        <w:pStyle w:val="Heading1"/>
      </w:pPr>
      <w:r>
        <w:t>Conclusion</w:t>
      </w:r>
    </w:p>
    <w:p>
      <w:r>
        <w:t>Overall, the objectives of the study were achieved computationally using the available data. The analysis supports the use of oven-drying conditions near 60°C for 6 hours as the most balanced observed processing condition for Ilocos white garlic peel powder, considering physicochemical quality and antimicrobial performance together.</w:t>
      </w:r>
    </w:p>
    <w:p>
      <w:pPr>
        <w:pStyle w:val="ListBullet"/>
        <w:spacing w:after="80"/>
      </w:pPr>
      <w:r>
        <w:t>Treatment 5 is recommended as the best observed treatment from the current dataset.</w:t>
      </w:r>
    </w:p>
    <w:p>
      <w:pPr>
        <w:pStyle w:val="ListBullet"/>
        <w:spacing w:after="80"/>
      </w:pPr>
      <w:r>
        <w:t>The RSM optimum should be validated experimentally because it is model-predicted rather than directly observed.</w:t>
      </w:r>
    </w:p>
    <w:p>
      <w:pPr>
        <w:pStyle w:val="ListBullet"/>
        <w:spacing w:after="80"/>
      </w:pPr>
      <w:r>
        <w:t>The manuscript should resolve the Treatment 9 time discrepancy before final submission.</w:t>
      </w:r>
    </w:p>
    <w:p>
      <w:pPr>
        <w:pStyle w:val="ListBullet"/>
        <w:spacing w:after="80"/>
      </w:pPr>
      <w:r>
        <w:t>Future runs should avoid blank antimicrobial cells and should consider confirmatory assays around the RSM optimum.</w:t>
      </w:r>
    </w:p>
    <w:p>
      <w:pPr>
        <w:pStyle w:val="Heading1"/>
      </w:pPr>
      <w:r>
        <w:t>Appendix: Generated Analysis Files</w:t>
      </w:r>
    </w:p>
    <w:p>
      <w:pPr>
        <w:spacing w:before="120" w:after="80"/>
      </w:pPr>
      <w:r>
        <w:rPr>
          <w:b/>
          <w:i w:val="0"/>
          <w:color w:val="0B2545"/>
        </w:rPr>
        <w:t>Table 8. Reproducible Analysis Artifacts</w:t>
      </w:r>
    </w:p>
    <w:tbl>
      <w:tblPr>
        <w:tblW w:type="dxa" w:w="9360"/>
        <w:jc w:val="center"/>
        <w:tblLayout w:type="fixed"/>
        <w:tblLook w:firstColumn="1" w:firstRow="1" w:lastColumn="0" w:lastRow="0" w:noHBand="0" w:noVBand="1" w:val="04A0"/>
        <w:tblInd w:w="120" w:type="dxa"/>
        <w:tblBorders>
          <w:top w:val="single" w:sz="4" w:space="0" w:color="D6DAE1"/>
          <w:left w:val="single" w:sz="4" w:space="0" w:color="D6DAE1"/>
          <w:bottom w:val="single" w:sz="4" w:space="0" w:color="D6DAE1"/>
          <w:right w:val="single" w:sz="4" w:space="0" w:color="D6DAE1"/>
          <w:insideH w:val="single" w:sz="4" w:space="0" w:color="D6DAE1"/>
          <w:insideV w:val="single" w:sz="4" w:space="0" w:color="D6DAE1"/>
        </w:tblBorders>
      </w:tblPr>
      <w:tblGrid>
        <w:gridCol w:w="4680"/>
        <w:gridCol w:w="4680"/>
      </w:tblGrid>
      <w:tr>
        <w:tc>
          <w:tcPr>
            <w:tcW w:type="dxa" w:w="46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6"/>
              </w:rPr>
              <w:t>File</w:t>
            </w:r>
          </w:p>
        </w:tc>
        <w:tc>
          <w:tcPr>
            <w:tcW w:type="dxa" w:w="4680"/>
            <w:vAlign w:val="center"/>
            <w:tcMar>
              <w:top w:w="80" w:type="dxa"/>
              <w:start w:w="120" w:type="dxa"/>
              <w:bottom w:w="80" w:type="dxa"/>
              <w:end w:w="120" w:type="dxa"/>
            </w:tcMar>
            <w:shd w:fill="F2F4F7"/>
          </w:tcPr>
          <w:p>
            <w:pPr>
              <w:spacing w:after="0" w:line="252" w:lineRule="auto"/>
              <w:jc w:val="center"/>
            </w:pPr>
            <w:r>
              <w:rPr>
                <w:rFonts w:ascii="Calibri" w:hAnsi="Calibri"/>
                <w:b/>
                <w:color w:val="0B2545"/>
                <w:sz w:val="16"/>
              </w:rPr>
              <w:t>Description</w:t>
            </w:r>
          </w:p>
        </w:tc>
      </w:tr>
      <w:tr>
        <w:tc>
          <w:tcPr>
            <w:tcW w:type="dxa" w:w="4680"/>
            <w:vAlign w:val="center"/>
            <w:tcMar>
              <w:top w:w="80" w:type="dxa"/>
              <w:start w:w="120" w:type="dxa"/>
              <w:bottom w:w="80" w:type="dxa"/>
              <w:end w:w="120" w:type="dxa"/>
            </w:tcMar>
          </w:tcPr>
          <w:p>
            <w:pPr>
              <w:spacing w:after="0" w:line="252" w:lineRule="auto"/>
            </w:pPr>
            <w:r>
              <w:rPr>
                <w:rFonts w:ascii="Calibri" w:hAnsi="Calibri"/>
                <w:sz w:val="16"/>
              </w:rPr>
              <w:t>rhodea_garlic_peel_analysis.ipynb</w:t>
            </w:r>
          </w:p>
        </w:tc>
        <w:tc>
          <w:tcPr>
            <w:tcW w:type="dxa" w:w="4680"/>
            <w:vAlign w:val="center"/>
            <w:tcMar>
              <w:top w:w="80" w:type="dxa"/>
              <w:start w:w="120" w:type="dxa"/>
              <w:bottom w:w="80" w:type="dxa"/>
              <w:end w:w="120" w:type="dxa"/>
            </w:tcMar>
          </w:tcPr>
          <w:p>
            <w:pPr>
              <w:spacing w:after="0" w:line="252" w:lineRule="auto"/>
            </w:pPr>
            <w:r>
              <w:rPr>
                <w:rFonts w:ascii="Calibri" w:hAnsi="Calibri"/>
                <w:sz w:val="16"/>
              </w:rPr>
              <w:t>Executed Python/Jupyter notebook with computations and visualizations.</w:t>
            </w:r>
          </w:p>
        </w:tc>
      </w:tr>
      <w:tr>
        <w:tc>
          <w:tcPr>
            <w:tcW w:type="dxa" w:w="4680"/>
            <w:vAlign w:val="center"/>
            <w:tcMar>
              <w:top w:w="80" w:type="dxa"/>
              <w:start w:w="120" w:type="dxa"/>
              <w:bottom w:w="80" w:type="dxa"/>
              <w:end w:w="120" w:type="dxa"/>
            </w:tcMar>
          </w:tcPr>
          <w:p>
            <w:pPr>
              <w:spacing w:after="0" w:line="252" w:lineRule="auto"/>
            </w:pPr>
            <w:r>
              <w:rPr>
                <w:rFonts w:ascii="Calibri" w:hAnsi="Calibri"/>
                <w:sz w:val="16"/>
              </w:rPr>
              <w:t>outputs/two_way_anova_physicochemical.csv</w:t>
            </w:r>
          </w:p>
        </w:tc>
        <w:tc>
          <w:tcPr>
            <w:tcW w:type="dxa" w:w="4680"/>
            <w:vAlign w:val="center"/>
            <w:tcMar>
              <w:top w:w="80" w:type="dxa"/>
              <w:start w:w="120" w:type="dxa"/>
              <w:bottom w:w="80" w:type="dxa"/>
              <w:end w:w="120" w:type="dxa"/>
            </w:tcMar>
          </w:tcPr>
          <w:p>
            <w:pPr>
              <w:spacing w:after="0" w:line="252" w:lineRule="auto"/>
            </w:pPr>
            <w:r>
              <w:rPr>
                <w:rFonts w:ascii="Calibri" w:hAnsi="Calibri"/>
                <w:sz w:val="16"/>
              </w:rPr>
              <w:t>Two-way ANOVA table for physicochemical responses.</w:t>
            </w:r>
          </w:p>
        </w:tc>
      </w:tr>
      <w:tr>
        <w:tc>
          <w:tcPr>
            <w:tcW w:type="dxa" w:w="4680"/>
            <w:vAlign w:val="center"/>
            <w:tcMar>
              <w:top w:w="80" w:type="dxa"/>
              <w:start w:w="120" w:type="dxa"/>
              <w:bottom w:w="80" w:type="dxa"/>
              <w:end w:w="120" w:type="dxa"/>
            </w:tcMar>
          </w:tcPr>
          <w:p>
            <w:pPr>
              <w:spacing w:after="0" w:line="252" w:lineRule="auto"/>
            </w:pPr>
            <w:r>
              <w:rPr>
                <w:rFonts w:ascii="Calibri" w:hAnsi="Calibri"/>
                <w:sz w:val="16"/>
              </w:rPr>
              <w:t>outputs/one_way_anova_antimicrobial.csv</w:t>
            </w:r>
          </w:p>
        </w:tc>
        <w:tc>
          <w:tcPr>
            <w:tcW w:type="dxa" w:w="4680"/>
            <w:vAlign w:val="center"/>
            <w:tcMar>
              <w:top w:w="80" w:type="dxa"/>
              <w:start w:w="120" w:type="dxa"/>
              <w:bottom w:w="80" w:type="dxa"/>
              <w:end w:w="120" w:type="dxa"/>
            </w:tcMar>
          </w:tcPr>
          <w:p>
            <w:pPr>
              <w:spacing w:after="0" w:line="252" w:lineRule="auto"/>
            </w:pPr>
            <w:r>
              <w:rPr>
                <w:rFonts w:ascii="Calibri" w:hAnsi="Calibri"/>
                <w:sz w:val="16"/>
              </w:rPr>
              <w:t>One-way ANOVA table for antimicrobial activity.</w:t>
            </w:r>
          </w:p>
        </w:tc>
      </w:tr>
      <w:tr>
        <w:tc>
          <w:tcPr>
            <w:tcW w:type="dxa" w:w="4680"/>
            <w:vAlign w:val="center"/>
            <w:tcMar>
              <w:top w:w="80" w:type="dxa"/>
              <w:start w:w="120" w:type="dxa"/>
              <w:bottom w:w="80" w:type="dxa"/>
              <w:end w:w="120" w:type="dxa"/>
            </w:tcMar>
          </w:tcPr>
          <w:p>
            <w:pPr>
              <w:spacing w:after="0" w:line="252" w:lineRule="auto"/>
            </w:pPr>
            <w:r>
              <w:rPr>
                <w:rFonts w:ascii="Calibri" w:hAnsi="Calibri"/>
                <w:sz w:val="16"/>
              </w:rPr>
              <w:t>outputs/rsm_optimization_top_candidates.csv</w:t>
            </w:r>
          </w:p>
        </w:tc>
        <w:tc>
          <w:tcPr>
            <w:tcW w:type="dxa" w:w="4680"/>
            <w:vAlign w:val="center"/>
            <w:tcMar>
              <w:top w:w="80" w:type="dxa"/>
              <w:start w:w="120" w:type="dxa"/>
              <w:bottom w:w="80" w:type="dxa"/>
              <w:end w:w="120" w:type="dxa"/>
            </w:tcMar>
          </w:tcPr>
          <w:p>
            <w:pPr>
              <w:spacing w:after="0" w:line="252" w:lineRule="auto"/>
            </w:pPr>
            <w:r>
              <w:rPr>
                <w:rFonts w:ascii="Calibri" w:hAnsi="Calibri"/>
                <w:sz w:val="16"/>
              </w:rPr>
              <w:t>Top RSM desirability candidates.</w:t>
            </w:r>
          </w:p>
        </w:tc>
      </w:tr>
      <w:tr>
        <w:tc>
          <w:tcPr>
            <w:tcW w:type="dxa" w:w="4680"/>
            <w:vAlign w:val="center"/>
            <w:tcMar>
              <w:top w:w="80" w:type="dxa"/>
              <w:start w:w="120" w:type="dxa"/>
              <w:bottom w:w="80" w:type="dxa"/>
              <w:end w:w="120" w:type="dxa"/>
            </w:tcMar>
          </w:tcPr>
          <w:p>
            <w:pPr>
              <w:spacing w:after="0" w:line="252" w:lineRule="auto"/>
            </w:pPr>
            <w:r>
              <w:rPr>
                <w:rFonts w:ascii="Calibri" w:hAnsi="Calibri"/>
                <w:sz w:val="16"/>
              </w:rPr>
              <w:t>figures/*.png</w:t>
            </w:r>
          </w:p>
        </w:tc>
        <w:tc>
          <w:tcPr>
            <w:tcW w:type="dxa" w:w="4680"/>
            <w:vAlign w:val="center"/>
            <w:tcMar>
              <w:top w:w="80" w:type="dxa"/>
              <w:start w:w="120" w:type="dxa"/>
              <w:bottom w:w="80" w:type="dxa"/>
              <w:end w:w="120" w:type="dxa"/>
            </w:tcMar>
          </w:tcPr>
          <w:p>
            <w:pPr>
              <w:spacing w:after="0" w:line="252" w:lineRule="auto"/>
            </w:pPr>
            <w:r>
              <w:rPr>
                <w:rFonts w:ascii="Calibri" w:hAnsi="Calibri"/>
                <w:sz w:val="16"/>
              </w:rPr>
              <w:t>Visualizations included in this report.</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46C78"/>
        <w:sz w:val="16"/>
      </w:rPr>
      <w:t>Full Analysis Report | Ilocos White Garlic Peel Powder | Reported by Engr. Jamie Eduardo Rosal, MSCpE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