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36829" w14:textId="24408D28" w:rsidR="003E784A" w:rsidRPr="004C1FB2" w:rsidRDefault="004C1FB2" w:rsidP="004C1FB2">
      <w:pPr>
        <w:rPr>
          <w:sz w:val="96"/>
          <w:szCs w:val="96"/>
        </w:rPr>
      </w:pPr>
      <w:r w:rsidRPr="004C1FB2">
        <w:rPr>
          <w:sz w:val="96"/>
          <w:szCs w:val="96"/>
        </w:rPr>
        <w:t>TAMAL ROUTH</w:t>
      </w:r>
    </w:p>
    <w:p w14:paraId="444CB48E" w14:textId="329C5950" w:rsidR="004C1FB2" w:rsidRDefault="004C1FB2" w:rsidP="004C1FB2">
      <w:pPr>
        <w:rPr>
          <w:sz w:val="40"/>
          <w:szCs w:val="40"/>
        </w:rPr>
      </w:pPr>
      <w:r w:rsidRPr="004C1FB2">
        <w:rPr>
          <w:sz w:val="40"/>
          <w:szCs w:val="40"/>
        </w:rPr>
        <w:t>Domain – Travel and Tourism</w:t>
      </w:r>
    </w:p>
    <w:p w14:paraId="025AB8FC" w14:textId="77777777" w:rsidR="004C1FB2" w:rsidRDefault="004C1FB2" w:rsidP="004C1FB2">
      <w:pPr>
        <w:rPr>
          <w:sz w:val="40"/>
          <w:szCs w:val="40"/>
        </w:rPr>
      </w:pPr>
    </w:p>
    <w:p w14:paraId="1489F195" w14:textId="4A2156E3" w:rsidR="004C1FB2" w:rsidRPr="004C1FB2" w:rsidRDefault="004C1FB2" w:rsidP="004C1FB2">
      <w:pPr>
        <w:rPr>
          <w:sz w:val="96"/>
          <w:szCs w:val="96"/>
        </w:rPr>
      </w:pPr>
      <w:proofErr w:type="spellStart"/>
      <w:r w:rsidRPr="004C1FB2">
        <w:rPr>
          <w:sz w:val="96"/>
          <w:szCs w:val="96"/>
        </w:rPr>
        <w:t>Atliq</w:t>
      </w:r>
      <w:proofErr w:type="spellEnd"/>
    </w:p>
    <w:p w14:paraId="6A8FB013" w14:textId="0264F302" w:rsidR="004C1FB2" w:rsidRPr="004C1FB2" w:rsidRDefault="004C1FB2" w:rsidP="004C1FB2">
      <w:pPr>
        <w:rPr>
          <w:sz w:val="96"/>
          <w:szCs w:val="96"/>
        </w:rPr>
      </w:pPr>
      <w:r w:rsidRPr="004C1FB2">
        <w:rPr>
          <w:sz w:val="96"/>
          <w:szCs w:val="96"/>
        </w:rPr>
        <w:t>Hospitality</w:t>
      </w:r>
    </w:p>
    <w:p w14:paraId="0F556BA6" w14:textId="02FC30B5" w:rsidR="004C1FB2" w:rsidRDefault="004C1FB2" w:rsidP="004C1FB2">
      <w:pPr>
        <w:rPr>
          <w:sz w:val="96"/>
          <w:szCs w:val="96"/>
        </w:rPr>
      </w:pPr>
      <w:r w:rsidRPr="004C1FB2">
        <w:rPr>
          <w:sz w:val="96"/>
          <w:szCs w:val="96"/>
        </w:rPr>
        <w:t>Analysis</w:t>
      </w:r>
    </w:p>
    <w:p w14:paraId="1FE54089" w14:textId="0FB8217F" w:rsidR="004C1FB2" w:rsidRDefault="004C1FB2">
      <w:pPr>
        <w:rPr>
          <w:sz w:val="96"/>
          <w:szCs w:val="96"/>
        </w:rPr>
      </w:pPr>
      <w:r>
        <w:rPr>
          <w:sz w:val="96"/>
          <w:szCs w:val="96"/>
        </w:rPr>
        <w:t>Report</w:t>
      </w:r>
    </w:p>
    <w:p w14:paraId="150E11AC" w14:textId="77777777" w:rsidR="004C1FB2" w:rsidRDefault="004C1FB2">
      <w:pPr>
        <w:rPr>
          <w:sz w:val="96"/>
          <w:szCs w:val="96"/>
        </w:rPr>
      </w:pPr>
    </w:p>
    <w:p w14:paraId="48EAAF55" w14:textId="77777777" w:rsidR="004C1FB2" w:rsidRDefault="004C1FB2">
      <w:pPr>
        <w:rPr>
          <w:sz w:val="96"/>
          <w:szCs w:val="96"/>
        </w:rPr>
      </w:pPr>
    </w:p>
    <w:p w14:paraId="51E3E3E6" w14:textId="77777777" w:rsidR="004C1FB2" w:rsidRDefault="004C1FB2">
      <w:pPr>
        <w:rPr>
          <w:sz w:val="96"/>
          <w:szCs w:val="96"/>
        </w:rPr>
      </w:pPr>
    </w:p>
    <w:p w14:paraId="684CA292" w14:textId="77777777" w:rsidR="004C1FB2" w:rsidRPr="004C1FB2" w:rsidRDefault="004C1FB2">
      <w:pPr>
        <w:rPr>
          <w:sz w:val="28"/>
          <w:szCs w:val="28"/>
        </w:rPr>
      </w:pPr>
    </w:p>
    <w:p w14:paraId="7913ADB7" w14:textId="39ADDDC3" w:rsidR="004C1FB2" w:rsidRPr="004C1FB2" w:rsidRDefault="004C1FB2" w:rsidP="004C1FB2">
      <w:pPr>
        <w:rPr>
          <w:b/>
          <w:bCs/>
          <w:sz w:val="52"/>
          <w:szCs w:val="52"/>
        </w:rPr>
      </w:pPr>
      <w:r w:rsidRPr="004C1FB2">
        <w:rPr>
          <w:b/>
          <w:bCs/>
          <w:sz w:val="52"/>
          <w:szCs w:val="52"/>
        </w:rPr>
        <w:lastRenderedPageBreak/>
        <w:t>Introduction</w:t>
      </w:r>
    </w:p>
    <w:p w14:paraId="530A77F1" w14:textId="6BFA0E05" w:rsidR="004C1FB2" w:rsidRPr="004C1FB2" w:rsidRDefault="004C1FB2" w:rsidP="004C1FB2">
      <w:pPr>
        <w:rPr>
          <w:b/>
          <w:bCs/>
        </w:rPr>
      </w:pPr>
      <w:r w:rsidRPr="004C1FB2">
        <w:rPr>
          <w:b/>
          <w:bCs/>
        </w:rPr>
        <w:t>1</w:t>
      </w:r>
      <w:r w:rsidR="00796A46">
        <w:rPr>
          <w:b/>
          <w:bCs/>
        </w:rPr>
        <w:t>.</w:t>
      </w:r>
      <w:r w:rsidRPr="004C1FB2">
        <w:rPr>
          <w:b/>
          <w:bCs/>
        </w:rPr>
        <w:t xml:space="preserve"> Business Context</w:t>
      </w:r>
    </w:p>
    <w:p w14:paraId="53A84D4A" w14:textId="77777777" w:rsidR="004C1FB2" w:rsidRPr="004C1FB2" w:rsidRDefault="004C1FB2" w:rsidP="004C1FB2">
      <w:proofErr w:type="spellStart"/>
      <w:r w:rsidRPr="004C1FB2">
        <w:t>AtliQ</w:t>
      </w:r>
      <w:proofErr w:type="spellEnd"/>
      <w:r w:rsidRPr="004C1FB2">
        <w:t xml:space="preserve"> Grands is a chain of five-star luxury hotels operating across India. Despite having a strong market presence for over two decades, the company has been losing market share and revenue in the luxury/business hotel category. The rise of competitors, coupled with ineffective management decisions, has contributed to this decline. To regain its position, </w:t>
      </w:r>
      <w:proofErr w:type="spellStart"/>
      <w:r w:rsidRPr="004C1FB2">
        <w:t>AtliQ</w:t>
      </w:r>
      <w:proofErr w:type="spellEnd"/>
      <w:r w:rsidRPr="004C1FB2">
        <w:t xml:space="preserve"> Grands aims to integrate Business and Data Intelligence into its decision-making process.</w:t>
      </w:r>
    </w:p>
    <w:p w14:paraId="7AA9E992" w14:textId="4F973C2E" w:rsidR="004C1FB2" w:rsidRPr="004C1FB2" w:rsidRDefault="004C1FB2" w:rsidP="004C1FB2">
      <w:pPr>
        <w:rPr>
          <w:b/>
          <w:bCs/>
        </w:rPr>
      </w:pPr>
      <w:r w:rsidRPr="004C1FB2">
        <w:rPr>
          <w:b/>
          <w:bCs/>
        </w:rPr>
        <w:t>2</w:t>
      </w:r>
      <w:r w:rsidR="00796A46">
        <w:rPr>
          <w:b/>
          <w:bCs/>
        </w:rPr>
        <w:t>.</w:t>
      </w:r>
      <w:r w:rsidRPr="004C1FB2">
        <w:rPr>
          <w:b/>
          <w:bCs/>
        </w:rPr>
        <w:t xml:space="preserve"> Objective</w:t>
      </w:r>
    </w:p>
    <w:p w14:paraId="63727023" w14:textId="77777777" w:rsidR="004C1FB2" w:rsidRPr="004C1FB2" w:rsidRDefault="004C1FB2" w:rsidP="004C1FB2">
      <w:r w:rsidRPr="004C1FB2">
        <w:t xml:space="preserve">The primary objective of this analysis is to provide actionable insights from historical booking data to help </w:t>
      </w:r>
      <w:proofErr w:type="spellStart"/>
      <w:r w:rsidRPr="004C1FB2">
        <w:t>AtliQ</w:t>
      </w:r>
      <w:proofErr w:type="spellEnd"/>
      <w:r w:rsidRPr="004C1FB2">
        <w:t xml:space="preserve"> Grands improve its revenue management, optimize occupancy rates, and enhance overall customer satisfaction.</w:t>
      </w:r>
    </w:p>
    <w:p w14:paraId="3E710EC8" w14:textId="2B55E512" w:rsidR="004C1FB2" w:rsidRDefault="004C1FB2" w:rsidP="004C1FB2">
      <w:pPr>
        <w:rPr>
          <w:b/>
          <w:bCs/>
          <w:sz w:val="52"/>
          <w:szCs w:val="52"/>
        </w:rPr>
      </w:pPr>
      <w:r w:rsidRPr="004C1FB2">
        <w:rPr>
          <w:b/>
          <w:bCs/>
          <w:sz w:val="52"/>
          <w:szCs w:val="52"/>
        </w:rPr>
        <w:t>Data Understanding and Preparation</w:t>
      </w:r>
    </w:p>
    <w:p w14:paraId="22A72B3B" w14:textId="065483D9" w:rsidR="00796A46" w:rsidRPr="00796A46" w:rsidRDefault="00796A46" w:rsidP="00796A46">
      <w:pPr>
        <w:rPr>
          <w:b/>
          <w:bCs/>
        </w:rPr>
      </w:pPr>
      <w:r w:rsidRPr="00796A46">
        <w:rPr>
          <w:b/>
          <w:bCs/>
        </w:rPr>
        <w:t>1</w:t>
      </w:r>
      <w:r>
        <w:rPr>
          <w:b/>
          <w:bCs/>
        </w:rPr>
        <w:t>.</w:t>
      </w:r>
      <w:r w:rsidRPr="00796A46">
        <w:rPr>
          <w:b/>
          <w:bCs/>
        </w:rPr>
        <w:t xml:space="preserve"> Dataset Overview</w:t>
      </w:r>
    </w:p>
    <w:p w14:paraId="02323C7F" w14:textId="77777777" w:rsidR="00796A46" w:rsidRPr="00796A46" w:rsidRDefault="00796A46" w:rsidP="00796A46">
      <w:r w:rsidRPr="00796A46">
        <w:t>The dataset comprises historical booking data, including the following key attributes:</w:t>
      </w:r>
    </w:p>
    <w:p w14:paraId="5C47813E" w14:textId="77777777" w:rsidR="00796A46" w:rsidRPr="00796A46" w:rsidRDefault="00796A46" w:rsidP="00796A46">
      <w:pPr>
        <w:numPr>
          <w:ilvl w:val="0"/>
          <w:numId w:val="2"/>
        </w:numPr>
      </w:pPr>
      <w:proofErr w:type="spellStart"/>
      <w:r w:rsidRPr="00796A46">
        <w:t>property_id</w:t>
      </w:r>
      <w:proofErr w:type="spellEnd"/>
      <w:r w:rsidRPr="00796A46">
        <w:t>: Unique identifier for each property.</w:t>
      </w:r>
    </w:p>
    <w:p w14:paraId="3E360EB4" w14:textId="77777777" w:rsidR="00796A46" w:rsidRPr="00796A46" w:rsidRDefault="00796A46" w:rsidP="00796A46">
      <w:pPr>
        <w:numPr>
          <w:ilvl w:val="0"/>
          <w:numId w:val="2"/>
        </w:numPr>
      </w:pPr>
      <w:proofErr w:type="spellStart"/>
      <w:r w:rsidRPr="00796A46">
        <w:t>check_in_date</w:t>
      </w:r>
      <w:proofErr w:type="spellEnd"/>
      <w:r w:rsidRPr="00796A46">
        <w:t>: The date of check-in.</w:t>
      </w:r>
    </w:p>
    <w:p w14:paraId="3ADEDE71" w14:textId="77777777" w:rsidR="00796A46" w:rsidRPr="00796A46" w:rsidRDefault="00796A46" w:rsidP="00796A46">
      <w:pPr>
        <w:numPr>
          <w:ilvl w:val="0"/>
          <w:numId w:val="2"/>
        </w:numPr>
      </w:pPr>
      <w:proofErr w:type="spellStart"/>
      <w:r w:rsidRPr="00796A46">
        <w:t>room_category</w:t>
      </w:r>
      <w:proofErr w:type="spellEnd"/>
      <w:r w:rsidRPr="00796A46">
        <w:t>: Category of the room (e.g., Standard, Deluxe).</w:t>
      </w:r>
    </w:p>
    <w:p w14:paraId="130860BB" w14:textId="77777777" w:rsidR="00796A46" w:rsidRPr="00796A46" w:rsidRDefault="00796A46" w:rsidP="00796A46">
      <w:pPr>
        <w:numPr>
          <w:ilvl w:val="0"/>
          <w:numId w:val="2"/>
        </w:numPr>
      </w:pPr>
      <w:proofErr w:type="spellStart"/>
      <w:r w:rsidRPr="00796A46">
        <w:t>successful_bookings</w:t>
      </w:r>
      <w:proofErr w:type="spellEnd"/>
      <w:r w:rsidRPr="00796A46">
        <w:t>: Number of successful bookings.</w:t>
      </w:r>
    </w:p>
    <w:p w14:paraId="4373AAF1" w14:textId="77777777" w:rsidR="00796A46" w:rsidRPr="00796A46" w:rsidRDefault="00796A46" w:rsidP="00796A46">
      <w:pPr>
        <w:numPr>
          <w:ilvl w:val="0"/>
          <w:numId w:val="2"/>
        </w:numPr>
      </w:pPr>
      <w:r w:rsidRPr="00796A46">
        <w:t>capacity: Maximum capacity of the room.</w:t>
      </w:r>
    </w:p>
    <w:p w14:paraId="70FF3F0D" w14:textId="77777777" w:rsidR="00796A46" w:rsidRPr="00796A46" w:rsidRDefault="00796A46" w:rsidP="004C1FB2">
      <w:pPr>
        <w:rPr>
          <w:b/>
          <w:bCs/>
        </w:rPr>
      </w:pPr>
    </w:p>
    <w:p w14:paraId="149F62D7" w14:textId="6528EF08" w:rsidR="00796A46" w:rsidRPr="00796A46" w:rsidRDefault="00796A46" w:rsidP="00796A46">
      <w:pPr>
        <w:rPr>
          <w:b/>
          <w:bCs/>
        </w:rPr>
      </w:pPr>
      <w:r w:rsidRPr="00796A46">
        <w:rPr>
          <w:b/>
          <w:bCs/>
        </w:rPr>
        <w:t>2</w:t>
      </w:r>
      <w:r>
        <w:rPr>
          <w:b/>
          <w:bCs/>
        </w:rPr>
        <w:t>.</w:t>
      </w:r>
      <w:r w:rsidRPr="00796A46">
        <w:rPr>
          <w:b/>
          <w:bCs/>
        </w:rPr>
        <w:t xml:space="preserve"> Data Cleaning and Preprocessing</w:t>
      </w:r>
    </w:p>
    <w:p w14:paraId="419F837C" w14:textId="77777777" w:rsidR="00796A46" w:rsidRPr="00796A46" w:rsidRDefault="00796A46" w:rsidP="00796A46">
      <w:pPr>
        <w:numPr>
          <w:ilvl w:val="0"/>
          <w:numId w:val="3"/>
        </w:numPr>
      </w:pPr>
      <w:r w:rsidRPr="00796A46">
        <w:t xml:space="preserve">Date Conversion: The </w:t>
      </w:r>
      <w:proofErr w:type="spellStart"/>
      <w:r w:rsidRPr="00796A46">
        <w:t>check_in_date</w:t>
      </w:r>
      <w:proofErr w:type="spellEnd"/>
      <w:r w:rsidRPr="00796A46">
        <w:t xml:space="preserve"> was converted to a datetime format to facilitate time-series analysis.</w:t>
      </w:r>
    </w:p>
    <w:p w14:paraId="1F83FA6D" w14:textId="77777777" w:rsidR="00796A46" w:rsidRPr="00796A46" w:rsidRDefault="00796A46" w:rsidP="00796A46">
      <w:pPr>
        <w:numPr>
          <w:ilvl w:val="0"/>
          <w:numId w:val="3"/>
        </w:numPr>
      </w:pPr>
      <w:r w:rsidRPr="00796A46">
        <w:t>Duplicates: Duplicate entries were identified and removed to ensure data integrity.</w:t>
      </w:r>
    </w:p>
    <w:p w14:paraId="252ADAED" w14:textId="77777777" w:rsidR="00796A46" w:rsidRPr="00796A46" w:rsidRDefault="00796A46" w:rsidP="00796A46">
      <w:pPr>
        <w:numPr>
          <w:ilvl w:val="0"/>
          <w:numId w:val="3"/>
        </w:numPr>
      </w:pPr>
      <w:r w:rsidRPr="00796A46">
        <w:t>Missing Values: The dataset was complete with no missing values, allowing for a straightforward analysis.</w:t>
      </w:r>
    </w:p>
    <w:p w14:paraId="781D79D4" w14:textId="77777777" w:rsidR="00796A46" w:rsidRPr="00796A46" w:rsidRDefault="00796A46" w:rsidP="00796A46">
      <w:pPr>
        <w:numPr>
          <w:ilvl w:val="0"/>
          <w:numId w:val="3"/>
        </w:numPr>
      </w:pPr>
      <w:r w:rsidRPr="00796A46">
        <w:t xml:space="preserve">Derived Metrics: New columns were created, such as revenue (calculated as </w:t>
      </w:r>
      <w:proofErr w:type="spellStart"/>
      <w:r w:rsidRPr="00796A46">
        <w:t>successful_bookings</w:t>
      </w:r>
      <w:proofErr w:type="spellEnd"/>
      <w:r w:rsidRPr="00796A46">
        <w:t xml:space="preserve"> multiplied by an assumed fixed price) and </w:t>
      </w:r>
      <w:proofErr w:type="spellStart"/>
      <w:r w:rsidRPr="00796A46">
        <w:lastRenderedPageBreak/>
        <w:t>occupancy_percentage</w:t>
      </w:r>
      <w:proofErr w:type="spellEnd"/>
      <w:r w:rsidRPr="00796A46">
        <w:t xml:space="preserve"> (calculated as the ratio of successful bookings to capacity).</w:t>
      </w:r>
    </w:p>
    <w:p w14:paraId="4B68F1B3" w14:textId="3B6B749D" w:rsidR="004C1FB2" w:rsidRPr="00796A46" w:rsidRDefault="00796A46" w:rsidP="004C1FB2">
      <w:pPr>
        <w:rPr>
          <w:b/>
          <w:bCs/>
          <w:sz w:val="52"/>
          <w:szCs w:val="52"/>
        </w:rPr>
      </w:pPr>
      <w:r w:rsidRPr="00796A46">
        <w:rPr>
          <w:b/>
          <w:bCs/>
          <w:sz w:val="52"/>
          <w:szCs w:val="52"/>
        </w:rPr>
        <w:t>Exploratory Data Analysis</w:t>
      </w:r>
    </w:p>
    <w:p w14:paraId="2824804F" w14:textId="120227F4" w:rsidR="00796A46" w:rsidRPr="00796A46" w:rsidRDefault="00796A46" w:rsidP="00796A46">
      <w:pPr>
        <w:rPr>
          <w:b/>
          <w:bCs/>
        </w:rPr>
      </w:pPr>
      <w:r w:rsidRPr="00796A46">
        <w:rPr>
          <w:b/>
          <w:bCs/>
        </w:rPr>
        <w:t>1</w:t>
      </w:r>
      <w:r>
        <w:rPr>
          <w:b/>
          <w:bCs/>
        </w:rPr>
        <w:t>.</w:t>
      </w:r>
      <w:r w:rsidRPr="00796A46">
        <w:rPr>
          <w:b/>
          <w:bCs/>
        </w:rPr>
        <w:t xml:space="preserve"> Revenue Analysis</w:t>
      </w:r>
    </w:p>
    <w:p w14:paraId="1B5B2441" w14:textId="77777777" w:rsidR="00796A46" w:rsidRPr="00796A46" w:rsidRDefault="00796A46" w:rsidP="00796A46">
      <w:r w:rsidRPr="00796A46">
        <w:t xml:space="preserve">Revenue trends were </w:t>
      </w:r>
      <w:proofErr w:type="spellStart"/>
      <w:r w:rsidRPr="00796A46">
        <w:t>analyzed</w:t>
      </w:r>
      <w:proofErr w:type="spellEnd"/>
      <w:r w:rsidRPr="00796A46">
        <w:t xml:space="preserve"> over time, revealing seasonal peaks that align with expected high-demand periods such as holidays and festivals. The analysis highlighted the importance of strategic pricing during these peak times to maximize revenue.</w:t>
      </w:r>
    </w:p>
    <w:p w14:paraId="128A8504" w14:textId="77777777" w:rsidR="00796A46" w:rsidRPr="00796A46" w:rsidRDefault="00796A46" w:rsidP="00796A46">
      <w:pPr>
        <w:numPr>
          <w:ilvl w:val="0"/>
          <w:numId w:val="4"/>
        </w:numPr>
      </w:pPr>
      <w:r w:rsidRPr="00796A46">
        <w:t>Visualization: A line plot of revenue over time was used to illustrate the fluctuations and trends in revenue.</w:t>
      </w:r>
    </w:p>
    <w:p w14:paraId="0FB28E37" w14:textId="23F4D3E3" w:rsidR="00796A46" w:rsidRPr="00796A46" w:rsidRDefault="00796A46" w:rsidP="00796A46">
      <w:pPr>
        <w:rPr>
          <w:b/>
          <w:bCs/>
        </w:rPr>
      </w:pPr>
      <w:r w:rsidRPr="00796A46">
        <w:rPr>
          <w:b/>
          <w:bCs/>
        </w:rPr>
        <w:t>2</w:t>
      </w:r>
      <w:r>
        <w:rPr>
          <w:b/>
          <w:bCs/>
        </w:rPr>
        <w:t>.</w:t>
      </w:r>
      <w:r w:rsidRPr="00796A46">
        <w:rPr>
          <w:b/>
          <w:bCs/>
        </w:rPr>
        <w:t xml:space="preserve"> Occupancy Rate Analysis</w:t>
      </w:r>
    </w:p>
    <w:p w14:paraId="50068D00" w14:textId="77777777" w:rsidR="00796A46" w:rsidRPr="00796A46" w:rsidRDefault="00796A46" w:rsidP="00796A46">
      <w:r w:rsidRPr="00796A46">
        <w:t>Occupancy rates were studied across different room categories and cities. The analysis showed that certain cities consistently perform better in terms of occupancy, suggesting potential areas for expansion or targeted marketing.</w:t>
      </w:r>
    </w:p>
    <w:p w14:paraId="265C1B9C" w14:textId="77777777" w:rsidR="00796A46" w:rsidRPr="00796A46" w:rsidRDefault="00796A46" w:rsidP="00796A46">
      <w:pPr>
        <w:numPr>
          <w:ilvl w:val="0"/>
          <w:numId w:val="5"/>
        </w:numPr>
      </w:pPr>
      <w:r w:rsidRPr="00796A46">
        <w:t>Visualization: Boxplots were used to compare occupancy percentages across room categories and day types (e.g., weekday vs. weekend).</w:t>
      </w:r>
    </w:p>
    <w:p w14:paraId="0084075D" w14:textId="77777777" w:rsidR="00796A46" w:rsidRPr="00796A46" w:rsidRDefault="00796A46" w:rsidP="00796A46">
      <w:pPr>
        <w:rPr>
          <w:b/>
          <w:bCs/>
        </w:rPr>
      </w:pPr>
      <w:r w:rsidRPr="00796A46">
        <w:rPr>
          <w:b/>
          <w:bCs/>
        </w:rPr>
        <w:t>3.3 Booking Trends</w:t>
      </w:r>
    </w:p>
    <w:p w14:paraId="641B3D18" w14:textId="77777777" w:rsidR="00796A46" w:rsidRPr="00796A46" w:rsidRDefault="00796A46" w:rsidP="00796A46">
      <w:r w:rsidRPr="00796A46">
        <w:t>The analysis of booking trends by room category and day type provided insights into customer preferences. For example, deluxe rooms showed higher occupancy rates on weekends, indicating a preference for luxury accommodations during leisure trips.</w:t>
      </w:r>
    </w:p>
    <w:p w14:paraId="0403B869" w14:textId="77777777" w:rsidR="00796A46" w:rsidRPr="00796A46" w:rsidRDefault="00796A46" w:rsidP="00796A46">
      <w:pPr>
        <w:numPr>
          <w:ilvl w:val="0"/>
          <w:numId w:val="6"/>
        </w:numPr>
      </w:pPr>
      <w:r w:rsidRPr="00796A46">
        <w:rPr>
          <w:b/>
          <w:bCs/>
        </w:rPr>
        <w:t>Visualization</w:t>
      </w:r>
      <w:r w:rsidRPr="00796A46">
        <w:t>: A series of bar charts and boxplots highlighted the key differences in booking patterns across various segments.</w:t>
      </w:r>
    </w:p>
    <w:p w14:paraId="10D6DEBC" w14:textId="3A19753A" w:rsidR="00796A46" w:rsidRPr="00796A46" w:rsidRDefault="00796A46" w:rsidP="004C1FB2">
      <w:pPr>
        <w:rPr>
          <w:b/>
          <w:bCs/>
          <w:sz w:val="52"/>
          <w:szCs w:val="52"/>
        </w:rPr>
      </w:pPr>
      <w:r w:rsidRPr="00796A46">
        <w:rPr>
          <w:b/>
          <w:bCs/>
          <w:sz w:val="52"/>
          <w:szCs w:val="52"/>
        </w:rPr>
        <w:t>Advanced Analysis</w:t>
      </w:r>
    </w:p>
    <w:p w14:paraId="2625AD7B" w14:textId="4285C353" w:rsidR="00796A46" w:rsidRPr="00796A46" w:rsidRDefault="00796A46" w:rsidP="00796A46">
      <w:pPr>
        <w:rPr>
          <w:b/>
          <w:bCs/>
        </w:rPr>
      </w:pPr>
      <w:r w:rsidRPr="00796A46">
        <w:rPr>
          <w:b/>
          <w:bCs/>
        </w:rPr>
        <w:t>1</w:t>
      </w:r>
      <w:r>
        <w:rPr>
          <w:b/>
          <w:bCs/>
        </w:rPr>
        <w:t>.</w:t>
      </w:r>
      <w:r w:rsidRPr="00796A46">
        <w:rPr>
          <w:b/>
          <w:bCs/>
        </w:rPr>
        <w:t xml:space="preserve"> Segment Analysis</w:t>
      </w:r>
    </w:p>
    <w:p w14:paraId="0E7D17A3" w14:textId="77777777" w:rsidR="00796A46" w:rsidRPr="00796A46" w:rsidRDefault="00796A46" w:rsidP="00796A46">
      <w:r w:rsidRPr="00796A46">
        <w:t xml:space="preserve">A deeper dive into the data revealed that properties in certain cities consistently underperformed in terms of both occupancy and revenue. By focusing on these underperforming segments, </w:t>
      </w:r>
      <w:proofErr w:type="spellStart"/>
      <w:r w:rsidRPr="00796A46">
        <w:t>AtliQ</w:t>
      </w:r>
      <w:proofErr w:type="spellEnd"/>
      <w:r w:rsidRPr="00796A46">
        <w:t xml:space="preserve"> Grands can allocate resources more effectively to boost performance.</w:t>
      </w:r>
    </w:p>
    <w:p w14:paraId="6BB44DB9" w14:textId="58475D81" w:rsidR="00796A46" w:rsidRPr="00796A46" w:rsidRDefault="00796A46" w:rsidP="00796A46">
      <w:pPr>
        <w:rPr>
          <w:b/>
          <w:bCs/>
        </w:rPr>
      </w:pPr>
      <w:r w:rsidRPr="00796A46">
        <w:rPr>
          <w:b/>
          <w:bCs/>
        </w:rPr>
        <w:t>2</w:t>
      </w:r>
      <w:r>
        <w:rPr>
          <w:b/>
          <w:bCs/>
        </w:rPr>
        <w:t>.</w:t>
      </w:r>
      <w:r w:rsidRPr="00796A46">
        <w:rPr>
          <w:b/>
          <w:bCs/>
        </w:rPr>
        <w:t xml:space="preserve"> Correlation Analysis</w:t>
      </w:r>
    </w:p>
    <w:p w14:paraId="7F16ACF0" w14:textId="77777777" w:rsidR="00796A46" w:rsidRPr="00796A46" w:rsidRDefault="00796A46" w:rsidP="00796A46">
      <w:r w:rsidRPr="00796A46">
        <w:t xml:space="preserve">The relationship between different metrics, such as revenue and occupancy rates, was explored. The findings indicated that while higher occupancy generally led to higher </w:t>
      </w:r>
      <w:r w:rsidRPr="00796A46">
        <w:lastRenderedPageBreak/>
        <w:t>revenue, certain properties with high occupancy still underperformed financially, likely due to suboptimal pricing strategies.</w:t>
      </w:r>
    </w:p>
    <w:p w14:paraId="08C50656" w14:textId="29920B89" w:rsidR="00796A46" w:rsidRPr="00796A46" w:rsidRDefault="00796A46" w:rsidP="004C1FB2">
      <w:pPr>
        <w:rPr>
          <w:b/>
          <w:bCs/>
          <w:sz w:val="52"/>
        </w:rPr>
      </w:pPr>
      <w:r w:rsidRPr="00796A46">
        <w:rPr>
          <w:b/>
          <w:bCs/>
          <w:sz w:val="52"/>
        </w:rPr>
        <w:t>Recommendations</w:t>
      </w:r>
    </w:p>
    <w:p w14:paraId="1AA45BCC" w14:textId="3F51F6B8" w:rsidR="00796A46" w:rsidRPr="00796A46" w:rsidRDefault="00796A46" w:rsidP="00796A46">
      <w:pPr>
        <w:rPr>
          <w:b/>
          <w:bCs/>
        </w:rPr>
      </w:pPr>
      <w:r w:rsidRPr="00796A46">
        <w:rPr>
          <w:b/>
          <w:bCs/>
        </w:rPr>
        <w:t>1</w:t>
      </w:r>
      <w:r>
        <w:rPr>
          <w:b/>
          <w:bCs/>
        </w:rPr>
        <w:t>.</w:t>
      </w:r>
      <w:r w:rsidRPr="00796A46">
        <w:rPr>
          <w:b/>
          <w:bCs/>
        </w:rPr>
        <w:t xml:space="preserve"> Strategic Recommendations</w:t>
      </w:r>
    </w:p>
    <w:p w14:paraId="2E626D3D" w14:textId="77777777" w:rsidR="00796A46" w:rsidRPr="00796A46" w:rsidRDefault="00796A46" w:rsidP="00796A46">
      <w:pPr>
        <w:numPr>
          <w:ilvl w:val="0"/>
          <w:numId w:val="7"/>
        </w:numPr>
      </w:pPr>
      <w:r w:rsidRPr="00796A46">
        <w:rPr>
          <w:b/>
          <w:bCs/>
        </w:rPr>
        <w:t>Targeted Marketing</w:t>
      </w:r>
      <w:r w:rsidRPr="00796A46">
        <w:t>: Focus marketing efforts on cities and properties with lower occupancy rates. Customized campaigns can attract more guests to these locations, boosting overall revenue.</w:t>
      </w:r>
    </w:p>
    <w:p w14:paraId="1105859E" w14:textId="77777777" w:rsidR="00796A46" w:rsidRPr="00796A46" w:rsidRDefault="00796A46" w:rsidP="00796A46">
      <w:pPr>
        <w:numPr>
          <w:ilvl w:val="0"/>
          <w:numId w:val="7"/>
        </w:numPr>
      </w:pPr>
      <w:r w:rsidRPr="00796A46">
        <w:rPr>
          <w:b/>
          <w:bCs/>
        </w:rPr>
        <w:t>Dynamic Pricing</w:t>
      </w:r>
      <w:r w:rsidRPr="00796A46">
        <w:t>: Implement dynamic pricing strategies during peak periods to maximize revenue without sacrificing occupancy. This could involve increasing prices slightly during high-demand periods while offering discounts during off-peak times.</w:t>
      </w:r>
    </w:p>
    <w:p w14:paraId="1BE3CAAE" w14:textId="77777777" w:rsidR="00796A46" w:rsidRPr="00796A46" w:rsidRDefault="00796A46" w:rsidP="00796A46">
      <w:pPr>
        <w:numPr>
          <w:ilvl w:val="0"/>
          <w:numId w:val="7"/>
        </w:numPr>
      </w:pPr>
      <w:r w:rsidRPr="00796A46">
        <w:rPr>
          <w:b/>
          <w:bCs/>
        </w:rPr>
        <w:t>Customer Experience Enhancements</w:t>
      </w:r>
      <w:r w:rsidRPr="00796A46">
        <w:t>: Improve customer experience in properties with lower ratings to encourage repeat business and positive reviews. This can include better training for staff, upgraded amenities, and personalized services.</w:t>
      </w:r>
    </w:p>
    <w:p w14:paraId="5954E5AC" w14:textId="26B3FAFC" w:rsidR="00796A46" w:rsidRPr="00796A46" w:rsidRDefault="00796A46" w:rsidP="004C1FB2"/>
    <w:p w14:paraId="75C954EC" w14:textId="1A4186EB" w:rsidR="00796A46" w:rsidRPr="00796A46" w:rsidRDefault="00796A46" w:rsidP="00796A46">
      <w:pPr>
        <w:rPr>
          <w:b/>
          <w:bCs/>
        </w:rPr>
      </w:pPr>
      <w:r w:rsidRPr="00796A46">
        <w:rPr>
          <w:b/>
          <w:bCs/>
        </w:rPr>
        <w:t>2</w:t>
      </w:r>
      <w:r>
        <w:rPr>
          <w:b/>
          <w:bCs/>
        </w:rPr>
        <w:t>.</w:t>
      </w:r>
      <w:r w:rsidRPr="00796A46">
        <w:rPr>
          <w:b/>
          <w:bCs/>
        </w:rPr>
        <w:t xml:space="preserve"> Operational Recommendations</w:t>
      </w:r>
    </w:p>
    <w:p w14:paraId="47CBDD11" w14:textId="77777777" w:rsidR="00796A46" w:rsidRPr="00796A46" w:rsidRDefault="00796A46" w:rsidP="00796A46">
      <w:pPr>
        <w:numPr>
          <w:ilvl w:val="0"/>
          <w:numId w:val="8"/>
        </w:numPr>
      </w:pPr>
      <w:r w:rsidRPr="00796A46">
        <w:rPr>
          <w:b/>
          <w:bCs/>
        </w:rPr>
        <w:t>Resource Allocation</w:t>
      </w:r>
      <w:r w:rsidRPr="00796A46">
        <w:t>: Reallocate resources to underperforming properties, ensuring that they receive the support needed to improve occupancy and revenue.</w:t>
      </w:r>
    </w:p>
    <w:p w14:paraId="72ECAE6A" w14:textId="77777777" w:rsidR="00796A46" w:rsidRPr="00796A46" w:rsidRDefault="00796A46" w:rsidP="00796A46">
      <w:pPr>
        <w:numPr>
          <w:ilvl w:val="0"/>
          <w:numId w:val="8"/>
        </w:numPr>
      </w:pPr>
      <w:r w:rsidRPr="00796A46">
        <w:rPr>
          <w:b/>
          <w:bCs/>
        </w:rPr>
        <w:t>Staffing Adjustments</w:t>
      </w:r>
      <w:r w:rsidRPr="00796A46">
        <w:t>: Adjust staffing levels during peak and off-peak periods to optimize operational efficiency and reduce costs.</w:t>
      </w:r>
    </w:p>
    <w:p w14:paraId="29840771" w14:textId="23AD1B8E" w:rsidR="00796A46" w:rsidRDefault="00796A46" w:rsidP="004C1FB2">
      <w:pPr>
        <w:rPr>
          <w:b/>
          <w:bCs/>
          <w:sz w:val="52"/>
          <w:szCs w:val="52"/>
        </w:rPr>
      </w:pPr>
      <w:r w:rsidRPr="00796A46">
        <w:rPr>
          <w:b/>
          <w:bCs/>
          <w:sz w:val="52"/>
          <w:szCs w:val="52"/>
        </w:rPr>
        <w:t>Visualization and Dashboards</w:t>
      </w:r>
    </w:p>
    <w:p w14:paraId="71A8003B" w14:textId="4156DC4F" w:rsidR="00796A46" w:rsidRPr="00796A46" w:rsidRDefault="00796A46" w:rsidP="00796A46">
      <w:pPr>
        <w:rPr>
          <w:b/>
          <w:bCs/>
        </w:rPr>
      </w:pPr>
      <w:r w:rsidRPr="00796A46">
        <w:rPr>
          <w:b/>
          <w:bCs/>
        </w:rPr>
        <w:t>1</w:t>
      </w:r>
      <w:r>
        <w:rPr>
          <w:b/>
          <w:bCs/>
        </w:rPr>
        <w:t>.</w:t>
      </w:r>
      <w:r w:rsidRPr="00796A46">
        <w:rPr>
          <w:b/>
          <w:bCs/>
        </w:rPr>
        <w:t xml:space="preserve"> Tools Used</w:t>
      </w:r>
    </w:p>
    <w:p w14:paraId="551DDB4E" w14:textId="77777777" w:rsidR="00796A46" w:rsidRPr="00796A46" w:rsidRDefault="00796A46" w:rsidP="00796A46">
      <w:r w:rsidRPr="00796A46">
        <w:t>The visualizations and dashboards were created using Matplotlib and Seaborn (Python libraries). These tools provided the flexibility to create customized and detailed visualizations that were essential for uncovering key insights.</w:t>
      </w:r>
    </w:p>
    <w:p w14:paraId="2FB9F683" w14:textId="3C4EA7DA" w:rsidR="00796A46" w:rsidRPr="00796A46" w:rsidRDefault="00796A46" w:rsidP="00796A46">
      <w:pPr>
        <w:rPr>
          <w:b/>
          <w:bCs/>
        </w:rPr>
      </w:pPr>
      <w:r w:rsidRPr="00796A46">
        <w:rPr>
          <w:b/>
          <w:bCs/>
        </w:rPr>
        <w:t>2</w:t>
      </w:r>
      <w:r>
        <w:rPr>
          <w:b/>
          <w:bCs/>
        </w:rPr>
        <w:t>.</w:t>
      </w:r>
      <w:r w:rsidRPr="00796A46">
        <w:rPr>
          <w:b/>
          <w:bCs/>
        </w:rPr>
        <w:t xml:space="preserve"> Dashboard Highlights</w:t>
      </w:r>
    </w:p>
    <w:p w14:paraId="0C32C62D" w14:textId="77777777" w:rsidR="00796A46" w:rsidRDefault="00796A46" w:rsidP="00796A46">
      <w:pPr>
        <w:numPr>
          <w:ilvl w:val="0"/>
          <w:numId w:val="9"/>
        </w:numPr>
      </w:pPr>
      <w:r w:rsidRPr="00796A46">
        <w:rPr>
          <w:b/>
          <w:bCs/>
        </w:rPr>
        <w:t xml:space="preserve">Revenue Over Time: </w:t>
      </w:r>
      <w:r w:rsidRPr="00796A46">
        <w:t>A line chart that tracks revenue trends across different time periods, helping to identify peak seasons.</w:t>
      </w:r>
    </w:p>
    <w:p w14:paraId="6B1E1A32" w14:textId="1B8372EF" w:rsidR="00796A46" w:rsidRPr="00796A46" w:rsidRDefault="00796A46" w:rsidP="00796A46">
      <w:pPr>
        <w:ind w:left="720"/>
      </w:pPr>
      <w:r>
        <w:rPr>
          <w:noProof/>
        </w:rPr>
        <w:lastRenderedPageBreak/>
        <w:drawing>
          <wp:inline distT="0" distB="0" distL="0" distR="0" wp14:anchorId="227F7F13" wp14:editId="3402FB34">
            <wp:extent cx="5731510" cy="3594735"/>
            <wp:effectExtent l="0" t="0" r="2540" b="5715"/>
            <wp:docPr id="1982611593"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11593" name="Picture 1" descr="A graph of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12E963DF" w14:textId="77777777" w:rsidR="00796A46" w:rsidRDefault="00796A46" w:rsidP="00796A46">
      <w:pPr>
        <w:numPr>
          <w:ilvl w:val="0"/>
          <w:numId w:val="9"/>
        </w:numPr>
      </w:pPr>
      <w:r w:rsidRPr="00796A46">
        <w:rPr>
          <w:b/>
          <w:bCs/>
        </w:rPr>
        <w:t xml:space="preserve">Occupancy by Room Category: </w:t>
      </w:r>
      <w:r w:rsidRPr="00796A46">
        <w:t>A boxplot comparing occupancy percentages across various room categories, providing insights into customer preferences.</w:t>
      </w:r>
    </w:p>
    <w:p w14:paraId="507B608B" w14:textId="5B1D6AE9" w:rsidR="00796A46" w:rsidRPr="00796A46" w:rsidRDefault="00CE1929" w:rsidP="00796A46">
      <w:pPr>
        <w:ind w:left="720"/>
      </w:pPr>
      <w:r>
        <w:rPr>
          <w:noProof/>
        </w:rPr>
        <w:drawing>
          <wp:inline distT="0" distB="0" distL="0" distR="0" wp14:anchorId="59F74D9A" wp14:editId="3CDA57AB">
            <wp:extent cx="5731510" cy="3686175"/>
            <wp:effectExtent l="0" t="0" r="2540" b="9525"/>
            <wp:docPr id="64800139" name="Picture 2" descr="A diagram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0139" name="Picture 2" descr="A diagram of a number of blue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1EA92C58" w14:textId="77777777" w:rsidR="00796A46" w:rsidRPr="00796A46" w:rsidRDefault="00796A46" w:rsidP="00796A46">
      <w:pPr>
        <w:numPr>
          <w:ilvl w:val="0"/>
          <w:numId w:val="9"/>
        </w:numPr>
      </w:pPr>
      <w:r w:rsidRPr="00796A46">
        <w:rPr>
          <w:b/>
          <w:bCs/>
        </w:rPr>
        <w:t xml:space="preserve">City-wise Performance: </w:t>
      </w:r>
      <w:r w:rsidRPr="00796A46">
        <w:t>A heatmap showing the performance of different cities in terms of revenue and occupancy, highlighting areas of concern and potential growth.</w:t>
      </w:r>
    </w:p>
    <w:p w14:paraId="2098148C" w14:textId="77777777" w:rsidR="00796A46" w:rsidRPr="00796A46" w:rsidRDefault="00796A46" w:rsidP="004C1FB2">
      <w:pPr>
        <w:rPr>
          <w:b/>
          <w:bCs/>
        </w:rPr>
      </w:pPr>
    </w:p>
    <w:p w14:paraId="7504F68E" w14:textId="2A94FFA3" w:rsidR="00796A46" w:rsidRDefault="00796A46" w:rsidP="004C1FB2">
      <w:pPr>
        <w:rPr>
          <w:b/>
          <w:bCs/>
          <w:sz w:val="52"/>
          <w:szCs w:val="52"/>
        </w:rPr>
      </w:pPr>
      <w:r w:rsidRPr="00796A46">
        <w:rPr>
          <w:b/>
          <w:bCs/>
          <w:sz w:val="52"/>
          <w:szCs w:val="52"/>
        </w:rPr>
        <w:t>Conclusion</w:t>
      </w:r>
    </w:p>
    <w:p w14:paraId="31DAF032" w14:textId="4D24425E" w:rsidR="00796A46" w:rsidRPr="00796A46" w:rsidRDefault="00796A46" w:rsidP="00796A46">
      <w:pPr>
        <w:rPr>
          <w:b/>
          <w:bCs/>
        </w:rPr>
      </w:pPr>
      <w:r w:rsidRPr="00796A46">
        <w:rPr>
          <w:b/>
          <w:bCs/>
        </w:rPr>
        <w:t>1</w:t>
      </w:r>
      <w:r>
        <w:rPr>
          <w:b/>
          <w:bCs/>
        </w:rPr>
        <w:t>.</w:t>
      </w:r>
      <w:r w:rsidRPr="00796A46">
        <w:rPr>
          <w:b/>
          <w:bCs/>
        </w:rPr>
        <w:t xml:space="preserve"> Summary of Findings</w:t>
      </w:r>
    </w:p>
    <w:p w14:paraId="373D76C5" w14:textId="77777777" w:rsidR="00796A46" w:rsidRPr="00796A46" w:rsidRDefault="00796A46" w:rsidP="00796A46">
      <w:r w:rsidRPr="00796A46">
        <w:t xml:space="preserve">The analysis provided crucial insights into the performance of </w:t>
      </w:r>
      <w:proofErr w:type="spellStart"/>
      <w:r w:rsidRPr="00796A46">
        <w:t>AtliQ</w:t>
      </w:r>
      <w:proofErr w:type="spellEnd"/>
      <w:r w:rsidRPr="00796A46">
        <w:t xml:space="preserve"> Grands across its various properties and room categories. Key trends were identified, such as seasonal peaks in revenue and occupancy, as well as underperforming segments that require strategic intervention.</w:t>
      </w:r>
    </w:p>
    <w:p w14:paraId="6089B2EB" w14:textId="0312ED70" w:rsidR="00796A46" w:rsidRPr="00796A46" w:rsidRDefault="00796A46" w:rsidP="00796A46">
      <w:pPr>
        <w:rPr>
          <w:b/>
          <w:bCs/>
        </w:rPr>
      </w:pPr>
      <w:r w:rsidRPr="00796A46">
        <w:rPr>
          <w:b/>
          <w:bCs/>
        </w:rPr>
        <w:t>2</w:t>
      </w:r>
      <w:r>
        <w:rPr>
          <w:b/>
          <w:bCs/>
        </w:rPr>
        <w:t>.</w:t>
      </w:r>
      <w:r w:rsidRPr="00796A46">
        <w:rPr>
          <w:b/>
          <w:bCs/>
        </w:rPr>
        <w:t xml:space="preserve"> Future Work</w:t>
      </w:r>
    </w:p>
    <w:p w14:paraId="1DA1DD9B" w14:textId="77777777" w:rsidR="00796A46" w:rsidRPr="00796A46" w:rsidRDefault="00796A46" w:rsidP="00796A46">
      <w:r w:rsidRPr="00796A46">
        <w:t>Further analysis could involve a more detailed examination of customer reviews and feedback to identify additional areas for improvement. Additionally, incorporating external factors such as competitor pricing and economic indicators could enhance the accuracy of revenue and occupancy forecasts.</w:t>
      </w:r>
    </w:p>
    <w:p w14:paraId="681CD3CB" w14:textId="195521D5" w:rsidR="00796A46" w:rsidRDefault="00796A46" w:rsidP="004C1FB2">
      <w:pPr>
        <w:rPr>
          <w:b/>
          <w:bCs/>
          <w:sz w:val="52"/>
          <w:szCs w:val="52"/>
        </w:rPr>
      </w:pPr>
      <w:r w:rsidRPr="00796A46">
        <w:rPr>
          <w:b/>
          <w:bCs/>
          <w:sz w:val="52"/>
          <w:szCs w:val="52"/>
        </w:rPr>
        <w:t>Appendix</w:t>
      </w:r>
    </w:p>
    <w:p w14:paraId="6871115B" w14:textId="05C3D9DE" w:rsidR="00796A46" w:rsidRPr="00796A46" w:rsidRDefault="00796A46" w:rsidP="00796A46">
      <w:pPr>
        <w:rPr>
          <w:b/>
          <w:bCs/>
        </w:rPr>
      </w:pPr>
      <w:r w:rsidRPr="00796A46">
        <w:rPr>
          <w:b/>
          <w:bCs/>
        </w:rPr>
        <w:t>1</w:t>
      </w:r>
      <w:r>
        <w:rPr>
          <w:b/>
          <w:bCs/>
        </w:rPr>
        <w:t>.</w:t>
      </w:r>
      <w:r w:rsidRPr="00796A46">
        <w:rPr>
          <w:b/>
          <w:bCs/>
        </w:rPr>
        <w:t xml:space="preserve"> Code Documentation</w:t>
      </w:r>
    </w:p>
    <w:p w14:paraId="54B3B73C" w14:textId="77777777" w:rsidR="00796A46" w:rsidRPr="00796A46" w:rsidRDefault="00796A46" w:rsidP="00796A46">
      <w:r w:rsidRPr="00796A46">
        <w:t>The full Python code used for data cleaning, analysis, and visualization is included in this section. The code is modular and well-commented to facilitate understanding and future modifications.</w:t>
      </w:r>
    </w:p>
    <w:p w14:paraId="46DEF6E8" w14:textId="1044B9EE" w:rsidR="00796A46" w:rsidRPr="00796A46" w:rsidRDefault="00796A46" w:rsidP="00796A46">
      <w:pPr>
        <w:rPr>
          <w:b/>
          <w:bCs/>
        </w:rPr>
      </w:pPr>
      <w:r>
        <w:rPr>
          <w:b/>
          <w:bCs/>
        </w:rPr>
        <w:t>2.</w:t>
      </w:r>
      <w:r w:rsidRPr="00796A46">
        <w:rPr>
          <w:b/>
          <w:bCs/>
        </w:rPr>
        <w:t xml:space="preserve"> Additional Visualizations</w:t>
      </w:r>
    </w:p>
    <w:p w14:paraId="72B30808" w14:textId="77777777" w:rsidR="00796A46" w:rsidRPr="00796A46" w:rsidRDefault="00796A46" w:rsidP="00796A46">
      <w:r w:rsidRPr="00796A46">
        <w:t>Extra charts and graphs that support the findings but were not included in the main report are provided here.</w:t>
      </w:r>
    </w:p>
    <w:p w14:paraId="59480E5F" w14:textId="6662E37E" w:rsidR="00796A46" w:rsidRPr="00796A46" w:rsidRDefault="00796A46" w:rsidP="00796A46">
      <w:pPr>
        <w:rPr>
          <w:b/>
          <w:bCs/>
        </w:rPr>
      </w:pPr>
      <w:r w:rsidRPr="00796A46">
        <w:rPr>
          <w:b/>
          <w:bCs/>
        </w:rPr>
        <w:t>3</w:t>
      </w:r>
      <w:r>
        <w:rPr>
          <w:b/>
          <w:bCs/>
        </w:rPr>
        <w:t>.</w:t>
      </w:r>
      <w:r w:rsidRPr="00796A46">
        <w:rPr>
          <w:b/>
          <w:bCs/>
        </w:rPr>
        <w:t xml:space="preserve"> References</w:t>
      </w:r>
    </w:p>
    <w:p w14:paraId="3C5C28E8" w14:textId="77777777" w:rsidR="00796A46" w:rsidRPr="00796A46" w:rsidRDefault="00796A46" w:rsidP="00796A46">
      <w:r w:rsidRPr="00796A46">
        <w:t>List any tools, libraries, or references used during the project.</w:t>
      </w:r>
    </w:p>
    <w:p w14:paraId="64FCBBDB" w14:textId="77777777" w:rsidR="00796A46" w:rsidRPr="00796A46" w:rsidRDefault="00796A46" w:rsidP="004C1FB2">
      <w:pPr>
        <w:rPr>
          <w:b/>
          <w:bCs/>
        </w:rPr>
      </w:pPr>
    </w:p>
    <w:sectPr w:rsidR="00796A46" w:rsidRPr="0079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254CC"/>
    <w:multiLevelType w:val="multilevel"/>
    <w:tmpl w:val="C6D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525"/>
    <w:multiLevelType w:val="multilevel"/>
    <w:tmpl w:val="7BF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F29F6"/>
    <w:multiLevelType w:val="hybridMultilevel"/>
    <w:tmpl w:val="7F929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26EA3"/>
    <w:multiLevelType w:val="multilevel"/>
    <w:tmpl w:val="6EB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90AE8"/>
    <w:multiLevelType w:val="multilevel"/>
    <w:tmpl w:val="42BA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06F21"/>
    <w:multiLevelType w:val="multilevel"/>
    <w:tmpl w:val="1B2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25B4C"/>
    <w:multiLevelType w:val="multilevel"/>
    <w:tmpl w:val="8E4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744F8"/>
    <w:multiLevelType w:val="multilevel"/>
    <w:tmpl w:val="5DA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75797"/>
    <w:multiLevelType w:val="multilevel"/>
    <w:tmpl w:val="ED0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0991">
    <w:abstractNumId w:val="2"/>
  </w:num>
  <w:num w:numId="2" w16cid:durableId="1895967921">
    <w:abstractNumId w:val="5"/>
  </w:num>
  <w:num w:numId="3" w16cid:durableId="803427801">
    <w:abstractNumId w:val="1"/>
  </w:num>
  <w:num w:numId="4" w16cid:durableId="1252546354">
    <w:abstractNumId w:val="6"/>
  </w:num>
  <w:num w:numId="5" w16cid:durableId="595865600">
    <w:abstractNumId w:val="3"/>
  </w:num>
  <w:num w:numId="6" w16cid:durableId="1756828211">
    <w:abstractNumId w:val="8"/>
  </w:num>
  <w:num w:numId="7" w16cid:durableId="1418481958">
    <w:abstractNumId w:val="7"/>
  </w:num>
  <w:num w:numId="8" w16cid:durableId="74060442">
    <w:abstractNumId w:val="0"/>
  </w:num>
  <w:num w:numId="9" w16cid:durableId="155072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B2"/>
    <w:rsid w:val="00040807"/>
    <w:rsid w:val="003E784A"/>
    <w:rsid w:val="004C1FB2"/>
    <w:rsid w:val="00796A46"/>
    <w:rsid w:val="007E4BD6"/>
    <w:rsid w:val="008142D7"/>
    <w:rsid w:val="00CE1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00BB"/>
  <w15:chartTrackingRefBased/>
  <w15:docId w15:val="{40024E33-1589-4F74-A7B7-C5B2A150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B2"/>
    <w:rPr>
      <w:rFonts w:eastAsiaTheme="majorEastAsia" w:cstheme="majorBidi"/>
      <w:color w:val="272727" w:themeColor="text1" w:themeTint="D8"/>
    </w:rPr>
  </w:style>
  <w:style w:type="paragraph" w:styleId="Title">
    <w:name w:val="Title"/>
    <w:basedOn w:val="Normal"/>
    <w:next w:val="Normal"/>
    <w:link w:val="TitleChar"/>
    <w:uiPriority w:val="10"/>
    <w:qFormat/>
    <w:rsid w:val="004C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B2"/>
    <w:pPr>
      <w:spacing w:before="160"/>
      <w:jc w:val="center"/>
    </w:pPr>
    <w:rPr>
      <w:i/>
      <w:iCs/>
      <w:color w:val="404040" w:themeColor="text1" w:themeTint="BF"/>
    </w:rPr>
  </w:style>
  <w:style w:type="character" w:customStyle="1" w:styleId="QuoteChar">
    <w:name w:val="Quote Char"/>
    <w:basedOn w:val="DefaultParagraphFont"/>
    <w:link w:val="Quote"/>
    <w:uiPriority w:val="29"/>
    <w:rsid w:val="004C1FB2"/>
    <w:rPr>
      <w:i/>
      <w:iCs/>
      <w:color w:val="404040" w:themeColor="text1" w:themeTint="BF"/>
    </w:rPr>
  </w:style>
  <w:style w:type="paragraph" w:styleId="ListParagraph">
    <w:name w:val="List Paragraph"/>
    <w:basedOn w:val="Normal"/>
    <w:uiPriority w:val="34"/>
    <w:qFormat/>
    <w:rsid w:val="004C1FB2"/>
    <w:pPr>
      <w:ind w:left="720"/>
      <w:contextualSpacing/>
    </w:pPr>
  </w:style>
  <w:style w:type="character" w:styleId="IntenseEmphasis">
    <w:name w:val="Intense Emphasis"/>
    <w:basedOn w:val="DefaultParagraphFont"/>
    <w:uiPriority w:val="21"/>
    <w:qFormat/>
    <w:rsid w:val="004C1FB2"/>
    <w:rPr>
      <w:i/>
      <w:iCs/>
      <w:color w:val="0F4761" w:themeColor="accent1" w:themeShade="BF"/>
    </w:rPr>
  </w:style>
  <w:style w:type="paragraph" w:styleId="IntenseQuote">
    <w:name w:val="Intense Quote"/>
    <w:basedOn w:val="Normal"/>
    <w:next w:val="Normal"/>
    <w:link w:val="IntenseQuoteChar"/>
    <w:uiPriority w:val="30"/>
    <w:qFormat/>
    <w:rsid w:val="004C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B2"/>
    <w:rPr>
      <w:i/>
      <w:iCs/>
      <w:color w:val="0F4761" w:themeColor="accent1" w:themeShade="BF"/>
    </w:rPr>
  </w:style>
  <w:style w:type="character" w:styleId="IntenseReference">
    <w:name w:val="Intense Reference"/>
    <w:basedOn w:val="DefaultParagraphFont"/>
    <w:uiPriority w:val="32"/>
    <w:qFormat/>
    <w:rsid w:val="004C1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9968">
      <w:bodyDiv w:val="1"/>
      <w:marLeft w:val="0"/>
      <w:marRight w:val="0"/>
      <w:marTop w:val="0"/>
      <w:marBottom w:val="0"/>
      <w:divBdr>
        <w:top w:val="none" w:sz="0" w:space="0" w:color="auto"/>
        <w:left w:val="none" w:sz="0" w:space="0" w:color="auto"/>
        <w:bottom w:val="none" w:sz="0" w:space="0" w:color="auto"/>
        <w:right w:val="none" w:sz="0" w:space="0" w:color="auto"/>
      </w:divBdr>
    </w:div>
    <w:div w:id="99567711">
      <w:bodyDiv w:val="1"/>
      <w:marLeft w:val="0"/>
      <w:marRight w:val="0"/>
      <w:marTop w:val="0"/>
      <w:marBottom w:val="0"/>
      <w:divBdr>
        <w:top w:val="none" w:sz="0" w:space="0" w:color="auto"/>
        <w:left w:val="none" w:sz="0" w:space="0" w:color="auto"/>
        <w:bottom w:val="none" w:sz="0" w:space="0" w:color="auto"/>
        <w:right w:val="none" w:sz="0" w:space="0" w:color="auto"/>
      </w:divBdr>
    </w:div>
    <w:div w:id="110251966">
      <w:bodyDiv w:val="1"/>
      <w:marLeft w:val="0"/>
      <w:marRight w:val="0"/>
      <w:marTop w:val="0"/>
      <w:marBottom w:val="0"/>
      <w:divBdr>
        <w:top w:val="none" w:sz="0" w:space="0" w:color="auto"/>
        <w:left w:val="none" w:sz="0" w:space="0" w:color="auto"/>
        <w:bottom w:val="none" w:sz="0" w:space="0" w:color="auto"/>
        <w:right w:val="none" w:sz="0" w:space="0" w:color="auto"/>
      </w:divBdr>
    </w:div>
    <w:div w:id="115098572">
      <w:bodyDiv w:val="1"/>
      <w:marLeft w:val="0"/>
      <w:marRight w:val="0"/>
      <w:marTop w:val="0"/>
      <w:marBottom w:val="0"/>
      <w:divBdr>
        <w:top w:val="none" w:sz="0" w:space="0" w:color="auto"/>
        <w:left w:val="none" w:sz="0" w:space="0" w:color="auto"/>
        <w:bottom w:val="none" w:sz="0" w:space="0" w:color="auto"/>
        <w:right w:val="none" w:sz="0" w:space="0" w:color="auto"/>
      </w:divBdr>
    </w:div>
    <w:div w:id="148056314">
      <w:bodyDiv w:val="1"/>
      <w:marLeft w:val="0"/>
      <w:marRight w:val="0"/>
      <w:marTop w:val="0"/>
      <w:marBottom w:val="0"/>
      <w:divBdr>
        <w:top w:val="none" w:sz="0" w:space="0" w:color="auto"/>
        <w:left w:val="none" w:sz="0" w:space="0" w:color="auto"/>
        <w:bottom w:val="none" w:sz="0" w:space="0" w:color="auto"/>
        <w:right w:val="none" w:sz="0" w:space="0" w:color="auto"/>
      </w:divBdr>
    </w:div>
    <w:div w:id="265965559">
      <w:bodyDiv w:val="1"/>
      <w:marLeft w:val="0"/>
      <w:marRight w:val="0"/>
      <w:marTop w:val="0"/>
      <w:marBottom w:val="0"/>
      <w:divBdr>
        <w:top w:val="none" w:sz="0" w:space="0" w:color="auto"/>
        <w:left w:val="none" w:sz="0" w:space="0" w:color="auto"/>
        <w:bottom w:val="none" w:sz="0" w:space="0" w:color="auto"/>
        <w:right w:val="none" w:sz="0" w:space="0" w:color="auto"/>
      </w:divBdr>
    </w:div>
    <w:div w:id="299069098">
      <w:bodyDiv w:val="1"/>
      <w:marLeft w:val="0"/>
      <w:marRight w:val="0"/>
      <w:marTop w:val="0"/>
      <w:marBottom w:val="0"/>
      <w:divBdr>
        <w:top w:val="none" w:sz="0" w:space="0" w:color="auto"/>
        <w:left w:val="none" w:sz="0" w:space="0" w:color="auto"/>
        <w:bottom w:val="none" w:sz="0" w:space="0" w:color="auto"/>
        <w:right w:val="none" w:sz="0" w:space="0" w:color="auto"/>
      </w:divBdr>
    </w:div>
    <w:div w:id="335377296">
      <w:bodyDiv w:val="1"/>
      <w:marLeft w:val="0"/>
      <w:marRight w:val="0"/>
      <w:marTop w:val="0"/>
      <w:marBottom w:val="0"/>
      <w:divBdr>
        <w:top w:val="none" w:sz="0" w:space="0" w:color="auto"/>
        <w:left w:val="none" w:sz="0" w:space="0" w:color="auto"/>
        <w:bottom w:val="none" w:sz="0" w:space="0" w:color="auto"/>
        <w:right w:val="none" w:sz="0" w:space="0" w:color="auto"/>
      </w:divBdr>
    </w:div>
    <w:div w:id="429590502">
      <w:bodyDiv w:val="1"/>
      <w:marLeft w:val="0"/>
      <w:marRight w:val="0"/>
      <w:marTop w:val="0"/>
      <w:marBottom w:val="0"/>
      <w:divBdr>
        <w:top w:val="none" w:sz="0" w:space="0" w:color="auto"/>
        <w:left w:val="none" w:sz="0" w:space="0" w:color="auto"/>
        <w:bottom w:val="none" w:sz="0" w:space="0" w:color="auto"/>
        <w:right w:val="none" w:sz="0" w:space="0" w:color="auto"/>
      </w:divBdr>
    </w:div>
    <w:div w:id="477766278">
      <w:bodyDiv w:val="1"/>
      <w:marLeft w:val="0"/>
      <w:marRight w:val="0"/>
      <w:marTop w:val="0"/>
      <w:marBottom w:val="0"/>
      <w:divBdr>
        <w:top w:val="none" w:sz="0" w:space="0" w:color="auto"/>
        <w:left w:val="none" w:sz="0" w:space="0" w:color="auto"/>
        <w:bottom w:val="none" w:sz="0" w:space="0" w:color="auto"/>
        <w:right w:val="none" w:sz="0" w:space="0" w:color="auto"/>
      </w:divBdr>
    </w:div>
    <w:div w:id="623193272">
      <w:bodyDiv w:val="1"/>
      <w:marLeft w:val="0"/>
      <w:marRight w:val="0"/>
      <w:marTop w:val="0"/>
      <w:marBottom w:val="0"/>
      <w:divBdr>
        <w:top w:val="none" w:sz="0" w:space="0" w:color="auto"/>
        <w:left w:val="none" w:sz="0" w:space="0" w:color="auto"/>
        <w:bottom w:val="none" w:sz="0" w:space="0" w:color="auto"/>
        <w:right w:val="none" w:sz="0" w:space="0" w:color="auto"/>
      </w:divBdr>
    </w:div>
    <w:div w:id="692272057">
      <w:bodyDiv w:val="1"/>
      <w:marLeft w:val="0"/>
      <w:marRight w:val="0"/>
      <w:marTop w:val="0"/>
      <w:marBottom w:val="0"/>
      <w:divBdr>
        <w:top w:val="none" w:sz="0" w:space="0" w:color="auto"/>
        <w:left w:val="none" w:sz="0" w:space="0" w:color="auto"/>
        <w:bottom w:val="none" w:sz="0" w:space="0" w:color="auto"/>
        <w:right w:val="none" w:sz="0" w:space="0" w:color="auto"/>
      </w:divBdr>
    </w:div>
    <w:div w:id="723137817">
      <w:bodyDiv w:val="1"/>
      <w:marLeft w:val="0"/>
      <w:marRight w:val="0"/>
      <w:marTop w:val="0"/>
      <w:marBottom w:val="0"/>
      <w:divBdr>
        <w:top w:val="none" w:sz="0" w:space="0" w:color="auto"/>
        <w:left w:val="none" w:sz="0" w:space="0" w:color="auto"/>
        <w:bottom w:val="none" w:sz="0" w:space="0" w:color="auto"/>
        <w:right w:val="none" w:sz="0" w:space="0" w:color="auto"/>
      </w:divBdr>
    </w:div>
    <w:div w:id="934750116">
      <w:bodyDiv w:val="1"/>
      <w:marLeft w:val="0"/>
      <w:marRight w:val="0"/>
      <w:marTop w:val="0"/>
      <w:marBottom w:val="0"/>
      <w:divBdr>
        <w:top w:val="none" w:sz="0" w:space="0" w:color="auto"/>
        <w:left w:val="none" w:sz="0" w:space="0" w:color="auto"/>
        <w:bottom w:val="none" w:sz="0" w:space="0" w:color="auto"/>
        <w:right w:val="none" w:sz="0" w:space="0" w:color="auto"/>
      </w:divBdr>
    </w:div>
    <w:div w:id="969240458">
      <w:bodyDiv w:val="1"/>
      <w:marLeft w:val="0"/>
      <w:marRight w:val="0"/>
      <w:marTop w:val="0"/>
      <w:marBottom w:val="0"/>
      <w:divBdr>
        <w:top w:val="none" w:sz="0" w:space="0" w:color="auto"/>
        <w:left w:val="none" w:sz="0" w:space="0" w:color="auto"/>
        <w:bottom w:val="none" w:sz="0" w:space="0" w:color="auto"/>
        <w:right w:val="none" w:sz="0" w:space="0" w:color="auto"/>
      </w:divBdr>
    </w:div>
    <w:div w:id="1075317441">
      <w:bodyDiv w:val="1"/>
      <w:marLeft w:val="0"/>
      <w:marRight w:val="0"/>
      <w:marTop w:val="0"/>
      <w:marBottom w:val="0"/>
      <w:divBdr>
        <w:top w:val="none" w:sz="0" w:space="0" w:color="auto"/>
        <w:left w:val="none" w:sz="0" w:space="0" w:color="auto"/>
        <w:bottom w:val="none" w:sz="0" w:space="0" w:color="auto"/>
        <w:right w:val="none" w:sz="0" w:space="0" w:color="auto"/>
      </w:divBdr>
    </w:div>
    <w:div w:id="1230918435">
      <w:bodyDiv w:val="1"/>
      <w:marLeft w:val="0"/>
      <w:marRight w:val="0"/>
      <w:marTop w:val="0"/>
      <w:marBottom w:val="0"/>
      <w:divBdr>
        <w:top w:val="none" w:sz="0" w:space="0" w:color="auto"/>
        <w:left w:val="none" w:sz="0" w:space="0" w:color="auto"/>
        <w:bottom w:val="none" w:sz="0" w:space="0" w:color="auto"/>
        <w:right w:val="none" w:sz="0" w:space="0" w:color="auto"/>
      </w:divBdr>
    </w:div>
    <w:div w:id="1248271926">
      <w:bodyDiv w:val="1"/>
      <w:marLeft w:val="0"/>
      <w:marRight w:val="0"/>
      <w:marTop w:val="0"/>
      <w:marBottom w:val="0"/>
      <w:divBdr>
        <w:top w:val="none" w:sz="0" w:space="0" w:color="auto"/>
        <w:left w:val="none" w:sz="0" w:space="0" w:color="auto"/>
        <w:bottom w:val="none" w:sz="0" w:space="0" w:color="auto"/>
        <w:right w:val="none" w:sz="0" w:space="0" w:color="auto"/>
      </w:divBdr>
    </w:div>
    <w:div w:id="1248542151">
      <w:bodyDiv w:val="1"/>
      <w:marLeft w:val="0"/>
      <w:marRight w:val="0"/>
      <w:marTop w:val="0"/>
      <w:marBottom w:val="0"/>
      <w:divBdr>
        <w:top w:val="none" w:sz="0" w:space="0" w:color="auto"/>
        <w:left w:val="none" w:sz="0" w:space="0" w:color="auto"/>
        <w:bottom w:val="none" w:sz="0" w:space="0" w:color="auto"/>
        <w:right w:val="none" w:sz="0" w:space="0" w:color="auto"/>
      </w:divBdr>
    </w:div>
    <w:div w:id="1280336550">
      <w:bodyDiv w:val="1"/>
      <w:marLeft w:val="0"/>
      <w:marRight w:val="0"/>
      <w:marTop w:val="0"/>
      <w:marBottom w:val="0"/>
      <w:divBdr>
        <w:top w:val="none" w:sz="0" w:space="0" w:color="auto"/>
        <w:left w:val="none" w:sz="0" w:space="0" w:color="auto"/>
        <w:bottom w:val="none" w:sz="0" w:space="0" w:color="auto"/>
        <w:right w:val="none" w:sz="0" w:space="0" w:color="auto"/>
      </w:divBdr>
    </w:div>
    <w:div w:id="1315455160">
      <w:bodyDiv w:val="1"/>
      <w:marLeft w:val="0"/>
      <w:marRight w:val="0"/>
      <w:marTop w:val="0"/>
      <w:marBottom w:val="0"/>
      <w:divBdr>
        <w:top w:val="none" w:sz="0" w:space="0" w:color="auto"/>
        <w:left w:val="none" w:sz="0" w:space="0" w:color="auto"/>
        <w:bottom w:val="none" w:sz="0" w:space="0" w:color="auto"/>
        <w:right w:val="none" w:sz="0" w:space="0" w:color="auto"/>
      </w:divBdr>
    </w:div>
    <w:div w:id="1445154170">
      <w:bodyDiv w:val="1"/>
      <w:marLeft w:val="0"/>
      <w:marRight w:val="0"/>
      <w:marTop w:val="0"/>
      <w:marBottom w:val="0"/>
      <w:divBdr>
        <w:top w:val="none" w:sz="0" w:space="0" w:color="auto"/>
        <w:left w:val="none" w:sz="0" w:space="0" w:color="auto"/>
        <w:bottom w:val="none" w:sz="0" w:space="0" w:color="auto"/>
        <w:right w:val="none" w:sz="0" w:space="0" w:color="auto"/>
      </w:divBdr>
    </w:div>
    <w:div w:id="1463958130">
      <w:bodyDiv w:val="1"/>
      <w:marLeft w:val="0"/>
      <w:marRight w:val="0"/>
      <w:marTop w:val="0"/>
      <w:marBottom w:val="0"/>
      <w:divBdr>
        <w:top w:val="none" w:sz="0" w:space="0" w:color="auto"/>
        <w:left w:val="none" w:sz="0" w:space="0" w:color="auto"/>
        <w:bottom w:val="none" w:sz="0" w:space="0" w:color="auto"/>
        <w:right w:val="none" w:sz="0" w:space="0" w:color="auto"/>
      </w:divBdr>
    </w:div>
    <w:div w:id="1469855566">
      <w:bodyDiv w:val="1"/>
      <w:marLeft w:val="0"/>
      <w:marRight w:val="0"/>
      <w:marTop w:val="0"/>
      <w:marBottom w:val="0"/>
      <w:divBdr>
        <w:top w:val="none" w:sz="0" w:space="0" w:color="auto"/>
        <w:left w:val="none" w:sz="0" w:space="0" w:color="auto"/>
        <w:bottom w:val="none" w:sz="0" w:space="0" w:color="auto"/>
        <w:right w:val="none" w:sz="0" w:space="0" w:color="auto"/>
      </w:divBdr>
    </w:div>
    <w:div w:id="1563756444">
      <w:bodyDiv w:val="1"/>
      <w:marLeft w:val="0"/>
      <w:marRight w:val="0"/>
      <w:marTop w:val="0"/>
      <w:marBottom w:val="0"/>
      <w:divBdr>
        <w:top w:val="none" w:sz="0" w:space="0" w:color="auto"/>
        <w:left w:val="none" w:sz="0" w:space="0" w:color="auto"/>
        <w:bottom w:val="none" w:sz="0" w:space="0" w:color="auto"/>
        <w:right w:val="none" w:sz="0" w:space="0" w:color="auto"/>
      </w:divBdr>
    </w:div>
    <w:div w:id="1571304394">
      <w:bodyDiv w:val="1"/>
      <w:marLeft w:val="0"/>
      <w:marRight w:val="0"/>
      <w:marTop w:val="0"/>
      <w:marBottom w:val="0"/>
      <w:divBdr>
        <w:top w:val="none" w:sz="0" w:space="0" w:color="auto"/>
        <w:left w:val="none" w:sz="0" w:space="0" w:color="auto"/>
        <w:bottom w:val="none" w:sz="0" w:space="0" w:color="auto"/>
        <w:right w:val="none" w:sz="0" w:space="0" w:color="auto"/>
      </w:divBdr>
    </w:div>
    <w:div w:id="1574509688">
      <w:bodyDiv w:val="1"/>
      <w:marLeft w:val="0"/>
      <w:marRight w:val="0"/>
      <w:marTop w:val="0"/>
      <w:marBottom w:val="0"/>
      <w:divBdr>
        <w:top w:val="none" w:sz="0" w:space="0" w:color="auto"/>
        <w:left w:val="none" w:sz="0" w:space="0" w:color="auto"/>
        <w:bottom w:val="none" w:sz="0" w:space="0" w:color="auto"/>
        <w:right w:val="none" w:sz="0" w:space="0" w:color="auto"/>
      </w:divBdr>
    </w:div>
    <w:div w:id="1612518230">
      <w:bodyDiv w:val="1"/>
      <w:marLeft w:val="0"/>
      <w:marRight w:val="0"/>
      <w:marTop w:val="0"/>
      <w:marBottom w:val="0"/>
      <w:divBdr>
        <w:top w:val="none" w:sz="0" w:space="0" w:color="auto"/>
        <w:left w:val="none" w:sz="0" w:space="0" w:color="auto"/>
        <w:bottom w:val="none" w:sz="0" w:space="0" w:color="auto"/>
        <w:right w:val="none" w:sz="0" w:space="0" w:color="auto"/>
      </w:divBdr>
    </w:div>
    <w:div w:id="1630552921">
      <w:bodyDiv w:val="1"/>
      <w:marLeft w:val="0"/>
      <w:marRight w:val="0"/>
      <w:marTop w:val="0"/>
      <w:marBottom w:val="0"/>
      <w:divBdr>
        <w:top w:val="none" w:sz="0" w:space="0" w:color="auto"/>
        <w:left w:val="none" w:sz="0" w:space="0" w:color="auto"/>
        <w:bottom w:val="none" w:sz="0" w:space="0" w:color="auto"/>
        <w:right w:val="none" w:sz="0" w:space="0" w:color="auto"/>
      </w:divBdr>
    </w:div>
    <w:div w:id="1763337681">
      <w:bodyDiv w:val="1"/>
      <w:marLeft w:val="0"/>
      <w:marRight w:val="0"/>
      <w:marTop w:val="0"/>
      <w:marBottom w:val="0"/>
      <w:divBdr>
        <w:top w:val="none" w:sz="0" w:space="0" w:color="auto"/>
        <w:left w:val="none" w:sz="0" w:space="0" w:color="auto"/>
        <w:bottom w:val="none" w:sz="0" w:space="0" w:color="auto"/>
        <w:right w:val="none" w:sz="0" w:space="0" w:color="auto"/>
      </w:divBdr>
    </w:div>
    <w:div w:id="1792435824">
      <w:bodyDiv w:val="1"/>
      <w:marLeft w:val="0"/>
      <w:marRight w:val="0"/>
      <w:marTop w:val="0"/>
      <w:marBottom w:val="0"/>
      <w:divBdr>
        <w:top w:val="none" w:sz="0" w:space="0" w:color="auto"/>
        <w:left w:val="none" w:sz="0" w:space="0" w:color="auto"/>
        <w:bottom w:val="none" w:sz="0" w:space="0" w:color="auto"/>
        <w:right w:val="none" w:sz="0" w:space="0" w:color="auto"/>
      </w:divBdr>
    </w:div>
    <w:div w:id="1818378555">
      <w:bodyDiv w:val="1"/>
      <w:marLeft w:val="0"/>
      <w:marRight w:val="0"/>
      <w:marTop w:val="0"/>
      <w:marBottom w:val="0"/>
      <w:divBdr>
        <w:top w:val="none" w:sz="0" w:space="0" w:color="auto"/>
        <w:left w:val="none" w:sz="0" w:space="0" w:color="auto"/>
        <w:bottom w:val="none" w:sz="0" w:space="0" w:color="auto"/>
        <w:right w:val="none" w:sz="0" w:space="0" w:color="auto"/>
      </w:divBdr>
    </w:div>
    <w:div w:id="1843616865">
      <w:bodyDiv w:val="1"/>
      <w:marLeft w:val="0"/>
      <w:marRight w:val="0"/>
      <w:marTop w:val="0"/>
      <w:marBottom w:val="0"/>
      <w:divBdr>
        <w:top w:val="none" w:sz="0" w:space="0" w:color="auto"/>
        <w:left w:val="none" w:sz="0" w:space="0" w:color="auto"/>
        <w:bottom w:val="none" w:sz="0" w:space="0" w:color="auto"/>
        <w:right w:val="none" w:sz="0" w:space="0" w:color="auto"/>
      </w:divBdr>
    </w:div>
    <w:div w:id="1945459286">
      <w:bodyDiv w:val="1"/>
      <w:marLeft w:val="0"/>
      <w:marRight w:val="0"/>
      <w:marTop w:val="0"/>
      <w:marBottom w:val="0"/>
      <w:divBdr>
        <w:top w:val="none" w:sz="0" w:space="0" w:color="auto"/>
        <w:left w:val="none" w:sz="0" w:space="0" w:color="auto"/>
        <w:bottom w:val="none" w:sz="0" w:space="0" w:color="auto"/>
        <w:right w:val="none" w:sz="0" w:space="0" w:color="auto"/>
      </w:divBdr>
    </w:div>
    <w:div w:id="1947500179">
      <w:bodyDiv w:val="1"/>
      <w:marLeft w:val="0"/>
      <w:marRight w:val="0"/>
      <w:marTop w:val="0"/>
      <w:marBottom w:val="0"/>
      <w:divBdr>
        <w:top w:val="none" w:sz="0" w:space="0" w:color="auto"/>
        <w:left w:val="none" w:sz="0" w:space="0" w:color="auto"/>
        <w:bottom w:val="none" w:sz="0" w:space="0" w:color="auto"/>
        <w:right w:val="none" w:sz="0" w:space="0" w:color="auto"/>
      </w:divBdr>
    </w:div>
    <w:div w:id="1950696069">
      <w:bodyDiv w:val="1"/>
      <w:marLeft w:val="0"/>
      <w:marRight w:val="0"/>
      <w:marTop w:val="0"/>
      <w:marBottom w:val="0"/>
      <w:divBdr>
        <w:top w:val="none" w:sz="0" w:space="0" w:color="auto"/>
        <w:left w:val="none" w:sz="0" w:space="0" w:color="auto"/>
        <w:bottom w:val="none" w:sz="0" w:space="0" w:color="auto"/>
        <w:right w:val="none" w:sz="0" w:space="0" w:color="auto"/>
      </w:divBdr>
    </w:div>
    <w:div w:id="1999765583">
      <w:bodyDiv w:val="1"/>
      <w:marLeft w:val="0"/>
      <w:marRight w:val="0"/>
      <w:marTop w:val="0"/>
      <w:marBottom w:val="0"/>
      <w:divBdr>
        <w:top w:val="none" w:sz="0" w:space="0" w:color="auto"/>
        <w:left w:val="none" w:sz="0" w:space="0" w:color="auto"/>
        <w:bottom w:val="none" w:sz="0" w:space="0" w:color="auto"/>
        <w:right w:val="none" w:sz="0" w:space="0" w:color="auto"/>
      </w:divBdr>
    </w:div>
    <w:div w:id="2002150801">
      <w:bodyDiv w:val="1"/>
      <w:marLeft w:val="0"/>
      <w:marRight w:val="0"/>
      <w:marTop w:val="0"/>
      <w:marBottom w:val="0"/>
      <w:divBdr>
        <w:top w:val="none" w:sz="0" w:space="0" w:color="auto"/>
        <w:left w:val="none" w:sz="0" w:space="0" w:color="auto"/>
        <w:bottom w:val="none" w:sz="0" w:space="0" w:color="auto"/>
        <w:right w:val="none" w:sz="0" w:space="0" w:color="auto"/>
      </w:divBdr>
    </w:div>
    <w:div w:id="2071228465">
      <w:bodyDiv w:val="1"/>
      <w:marLeft w:val="0"/>
      <w:marRight w:val="0"/>
      <w:marTop w:val="0"/>
      <w:marBottom w:val="0"/>
      <w:divBdr>
        <w:top w:val="none" w:sz="0" w:space="0" w:color="auto"/>
        <w:left w:val="none" w:sz="0" w:space="0" w:color="auto"/>
        <w:bottom w:val="none" w:sz="0" w:space="0" w:color="auto"/>
        <w:right w:val="none" w:sz="0" w:space="0" w:color="auto"/>
      </w:divBdr>
    </w:div>
    <w:div w:id="21214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 Routh</dc:creator>
  <cp:keywords/>
  <dc:description/>
  <cp:lastModifiedBy>Tamal Routh</cp:lastModifiedBy>
  <cp:revision>1</cp:revision>
  <dcterms:created xsi:type="dcterms:W3CDTF">2024-08-17T01:52:00Z</dcterms:created>
  <dcterms:modified xsi:type="dcterms:W3CDTF">2024-08-17T04:39:00Z</dcterms:modified>
</cp:coreProperties>
</file>