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Blog on the difference between document and window object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Window Object: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window object represents the web browser window, which contains the entire web page. It is the top-level object in the browser's JavaScript hierarchy, and it provides access to various properties and methods related to the browser window. The window object is a global object, and its properties and methods can be accessed from anywhere in the 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Document object represents the content of a web page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The document object provides access to the HTML elements and their properties within the web page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The document object inherits properties and methods from the window object, and it can only be accessed through the window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The Document Object:</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document object represents the actual web page content. It provides access to the HTML elements and their attributes within the web page, such as text, images, and links. The document object is a property of the window object, and it can be accessed through the window.document property.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window object represents the entire browser window.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The window object provides access to the browser window and its properties.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The window object is a global object and can be accessed from anywhere in the 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