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A4028" w14:textId="5FEB0720" w:rsidR="00623821" w:rsidRPr="00623821" w:rsidRDefault="00623821" w:rsidP="003B4BD4">
      <w:pPr>
        <w:spacing w:before="360" w:after="240" w:line="400" w:lineRule="atLeast"/>
        <w:ind w:firstLineChars="0" w:firstLine="0"/>
        <w:jc w:val="center"/>
        <w:rPr>
          <w:b/>
          <w:bCs/>
          <w:sz w:val="36"/>
          <w:szCs w:val="36"/>
        </w:rPr>
      </w:pPr>
      <w:r w:rsidRPr="00623821">
        <w:rPr>
          <w:rFonts w:hint="eastAsia"/>
          <w:b/>
          <w:bCs/>
          <w:sz w:val="36"/>
          <w:szCs w:val="36"/>
        </w:rPr>
        <w:t>税调数据处理思路说明</w:t>
      </w:r>
    </w:p>
    <w:p w14:paraId="3C8FD5F2" w14:textId="6E848AB5" w:rsidR="00095F69" w:rsidRPr="003B4BD4" w:rsidRDefault="00000000" w:rsidP="003B4BD4">
      <w:pPr>
        <w:spacing w:before="240" w:after="120"/>
        <w:ind w:firstLineChars="0" w:firstLine="0"/>
        <w:rPr>
          <w:b/>
          <w:bCs/>
          <w:sz w:val="28"/>
          <w:szCs w:val="28"/>
        </w:rPr>
      </w:pPr>
      <w:r w:rsidRPr="003B4BD4">
        <w:rPr>
          <w:rFonts w:hint="eastAsia"/>
          <w:b/>
          <w:bCs/>
          <w:sz w:val="28"/>
          <w:szCs w:val="28"/>
        </w:rPr>
        <w:t>一、数据清洗思路</w:t>
      </w:r>
    </w:p>
    <w:p w14:paraId="12C75533" w14:textId="4CD4374C" w:rsidR="00A56D71" w:rsidRDefault="00A56D71" w:rsidP="00CC702B">
      <w:pPr>
        <w:ind w:firstLine="480"/>
      </w:pPr>
      <w:r>
        <w:rPr>
          <w:rFonts w:hint="eastAsia"/>
        </w:rPr>
        <w:t>在对数据</w:t>
      </w:r>
      <w:r w:rsidR="00A15C10">
        <w:rPr>
          <w:rFonts w:hint="eastAsia"/>
        </w:rPr>
        <w:t>正式</w:t>
      </w:r>
      <w:r>
        <w:rPr>
          <w:rFonts w:hint="eastAsia"/>
        </w:rPr>
        <w:t>进行清洗以前，需要</w:t>
      </w:r>
      <w:r w:rsidR="00F61796">
        <w:rPr>
          <w:rFonts w:hint="eastAsia"/>
        </w:rPr>
        <w:t>强调我们</w:t>
      </w:r>
      <w:r>
        <w:rPr>
          <w:rFonts w:hint="eastAsia"/>
        </w:rPr>
        <w:t>对原始数据进行</w:t>
      </w:r>
      <w:r w:rsidR="00F61796">
        <w:rPr>
          <w:rFonts w:hint="eastAsia"/>
        </w:rPr>
        <w:t>了</w:t>
      </w:r>
      <w:r>
        <w:rPr>
          <w:rFonts w:hint="eastAsia"/>
        </w:rPr>
        <w:t>统一变量名和所属行业代码的预处理：</w:t>
      </w:r>
    </w:p>
    <w:p w14:paraId="7C5EF44A" w14:textId="0223312F" w:rsidR="00623821" w:rsidRDefault="00A56D71" w:rsidP="00CC702B">
      <w:pPr>
        <w:ind w:firstLine="482"/>
      </w:pPr>
      <w:r w:rsidRPr="00A500A3">
        <w:rPr>
          <w:rFonts w:hint="eastAsia"/>
          <w:b/>
          <w:bCs/>
        </w:rPr>
        <w:t>首先是变量名统一</w:t>
      </w:r>
      <w:r>
        <w:rPr>
          <w:rFonts w:hint="eastAsia"/>
        </w:rPr>
        <w:t>，由于</w:t>
      </w:r>
      <w:r w:rsidR="00CC702B">
        <w:rPr>
          <w:rFonts w:hint="eastAsia"/>
        </w:rPr>
        <w:t>原始数据中大多数数据名称为</w:t>
      </w:r>
      <w:r w:rsidR="00CC702B">
        <w:rPr>
          <w:rFonts w:hint="eastAsia"/>
        </w:rPr>
        <w:t>v</w:t>
      </w:r>
      <w:r w:rsidR="00CC702B">
        <w:t>1</w:t>
      </w:r>
      <w:r w:rsidR="00CC702B">
        <w:rPr>
          <w:rFonts w:hint="eastAsia"/>
        </w:rPr>
        <w:t>、</w:t>
      </w:r>
      <w:r w:rsidR="00CC702B">
        <w:rPr>
          <w:rFonts w:hint="eastAsia"/>
        </w:rPr>
        <w:t>v</w:t>
      </w:r>
      <w:r w:rsidR="00CC702B">
        <w:t>2…</w:t>
      </w:r>
      <w:r w:rsidR="00CC702B">
        <w:rPr>
          <w:rFonts w:hint="eastAsia"/>
        </w:rPr>
        <w:t>形式，难以辨识</w:t>
      </w:r>
      <w:r w:rsidR="00A500A3">
        <w:rPr>
          <w:rFonts w:hint="eastAsia"/>
        </w:rPr>
        <w:t>，</w:t>
      </w:r>
      <w:r w:rsidR="00CC702B">
        <w:rPr>
          <w:rFonts w:hint="eastAsia"/>
        </w:rPr>
        <w:t>同时不同年份数据之间的变量数量也不尽相同，</w:t>
      </w:r>
      <w:r w:rsidR="00A500A3">
        <w:rPr>
          <w:rFonts w:hint="eastAsia"/>
        </w:rPr>
        <w:t>因此</w:t>
      </w:r>
      <w:r w:rsidR="00CC702B">
        <w:rPr>
          <w:rFonts w:hint="eastAsia"/>
        </w:rPr>
        <w:t>需要根据数据说明表对各变量名称进行统一。具体结果请参见“</w:t>
      </w:r>
      <w:r w:rsidR="00CC702B" w:rsidRPr="00193B5E">
        <w:rPr>
          <w:rFonts w:hint="eastAsia"/>
          <w:b/>
          <w:bCs/>
          <w:color w:val="FF0000"/>
        </w:rPr>
        <w:t>20230926-</w:t>
      </w:r>
      <w:r w:rsidR="00CC702B" w:rsidRPr="00193B5E">
        <w:rPr>
          <w:rFonts w:hint="eastAsia"/>
          <w:b/>
          <w:bCs/>
          <w:color w:val="FF0000"/>
        </w:rPr>
        <w:t>税调变量名称统一</w:t>
      </w:r>
      <w:r w:rsidR="00CC702B" w:rsidRPr="00193B5E">
        <w:rPr>
          <w:rFonts w:hint="eastAsia"/>
          <w:b/>
          <w:bCs/>
          <w:color w:val="FF0000"/>
        </w:rPr>
        <w:t>.</w:t>
      </w:r>
      <w:r w:rsidR="00CC702B" w:rsidRPr="00193B5E">
        <w:rPr>
          <w:b/>
          <w:bCs/>
          <w:color w:val="FF0000"/>
        </w:rPr>
        <w:t>xlsx</w:t>
      </w:r>
      <w:r w:rsidR="00CC702B">
        <w:rPr>
          <w:rFonts w:hint="eastAsia"/>
        </w:rPr>
        <w:t>”文件</w:t>
      </w:r>
      <w:r w:rsidR="001176FE">
        <w:rPr>
          <w:rFonts w:hint="eastAsia"/>
        </w:rPr>
        <w:t>，具体匹配程序请参见“</w:t>
      </w:r>
      <w:r w:rsidR="001176FE" w:rsidRPr="00193B5E">
        <w:rPr>
          <w:rFonts w:hint="eastAsia"/>
          <w:b/>
          <w:bCs/>
          <w:color w:val="FF0000"/>
        </w:rPr>
        <w:t>税调企业碳排放测算</w:t>
      </w:r>
      <w:r w:rsidR="001176FE" w:rsidRPr="00193B5E">
        <w:rPr>
          <w:rFonts w:hint="eastAsia"/>
          <w:b/>
          <w:bCs/>
          <w:color w:val="FF0000"/>
        </w:rPr>
        <w:t xml:space="preserve">-step0 </w:t>
      </w:r>
      <w:r w:rsidR="001176FE" w:rsidRPr="00193B5E">
        <w:rPr>
          <w:rFonts w:hint="eastAsia"/>
          <w:b/>
          <w:bCs/>
          <w:color w:val="FF0000"/>
        </w:rPr>
        <w:t>统一变量名称</w:t>
      </w:r>
      <w:r w:rsidR="001176FE">
        <w:rPr>
          <w:rFonts w:hint="eastAsia"/>
        </w:rPr>
        <w:t>”文件夹</w:t>
      </w:r>
      <w:r w:rsidR="00CC702B">
        <w:rPr>
          <w:rFonts w:hint="eastAsia"/>
        </w:rPr>
        <w:t>。</w:t>
      </w:r>
    </w:p>
    <w:p w14:paraId="05143BD7" w14:textId="41CA09E4" w:rsidR="00290920" w:rsidRDefault="00290920" w:rsidP="00CC702B">
      <w:pPr>
        <w:ind w:firstLine="482"/>
      </w:pPr>
      <w:r w:rsidRPr="00290920">
        <w:rPr>
          <w:rFonts w:hint="eastAsia"/>
          <w:b/>
          <w:bCs/>
        </w:rPr>
        <w:t>注</w:t>
      </w:r>
      <w:r>
        <w:rPr>
          <w:rFonts w:hint="eastAsia"/>
        </w:rPr>
        <w:t>：由于更新了</w:t>
      </w:r>
      <w:r>
        <w:rPr>
          <w:rFonts w:hint="eastAsia"/>
        </w:rPr>
        <w:t>2017-2020</w:t>
      </w:r>
      <w:r>
        <w:rPr>
          <w:rFonts w:hint="eastAsia"/>
        </w:rPr>
        <w:t>年的税调数据，所以请重点参考</w:t>
      </w:r>
      <w:r>
        <w:rPr>
          <w:rFonts w:hint="eastAsia"/>
        </w:rPr>
        <w:t>“</w:t>
      </w:r>
      <w:r w:rsidRPr="00193B5E">
        <w:rPr>
          <w:rFonts w:hint="eastAsia"/>
          <w:b/>
          <w:bCs/>
          <w:color w:val="FF0000"/>
        </w:rPr>
        <w:t>税调企业碳排放测算</w:t>
      </w:r>
      <w:r w:rsidRPr="00193B5E">
        <w:rPr>
          <w:rFonts w:hint="eastAsia"/>
          <w:b/>
          <w:bCs/>
          <w:color w:val="FF0000"/>
        </w:rPr>
        <w:t xml:space="preserve">-step0 </w:t>
      </w:r>
      <w:r w:rsidRPr="00193B5E">
        <w:rPr>
          <w:rFonts w:hint="eastAsia"/>
          <w:b/>
          <w:bCs/>
          <w:color w:val="FF0000"/>
        </w:rPr>
        <w:t>统一变量名称</w:t>
      </w:r>
      <w:r>
        <w:rPr>
          <w:rFonts w:hint="eastAsia"/>
        </w:rPr>
        <w:t>”文件夹</w:t>
      </w:r>
      <w:r>
        <w:rPr>
          <w:rFonts w:hint="eastAsia"/>
        </w:rPr>
        <w:t>中的代码。</w:t>
      </w:r>
    </w:p>
    <w:p w14:paraId="15202854" w14:textId="41CE1CF5" w:rsidR="00973F0A" w:rsidRDefault="00290920" w:rsidP="00CC702B">
      <w:pPr>
        <w:ind w:firstLine="482"/>
      </w:pPr>
      <w:r>
        <w:rPr>
          <w:rFonts w:hint="eastAsia"/>
          <w:b/>
          <w:bCs/>
        </w:rPr>
        <w:t>其次是初步剔除</w:t>
      </w:r>
      <w:r w:rsidR="00973F0A" w:rsidRPr="00973F0A">
        <w:rPr>
          <w:rFonts w:hint="eastAsia"/>
          <w:b/>
          <w:bCs/>
        </w:rPr>
        <w:t>，</w:t>
      </w:r>
      <w:r>
        <w:rPr>
          <w:rFonts w:hint="eastAsia"/>
          <w:b/>
          <w:bCs/>
        </w:rPr>
        <w:t>考虑到我们大多研究主要是围绕能源环境问题展开，所以</w:t>
      </w:r>
      <w:r w:rsidR="00973F0A" w:rsidRPr="00973F0A">
        <w:rPr>
          <w:rFonts w:hint="eastAsia"/>
        </w:rPr>
        <w:t>我们</w:t>
      </w:r>
      <w:r>
        <w:rPr>
          <w:rFonts w:hint="eastAsia"/>
        </w:rPr>
        <w:t>先</w:t>
      </w:r>
      <w:r w:rsidR="00973F0A" w:rsidRPr="00973F0A">
        <w:rPr>
          <w:rFonts w:hint="eastAsia"/>
        </w:rPr>
        <w:t>依据原始数据中企业的能源消费量（煤、油、电、天然气和其他气体燃料）进行初步剔除，删除所有能源消费数据均未汇报的观测样本，</w:t>
      </w:r>
      <w:r w:rsidR="001933EF">
        <w:rPr>
          <w:rFonts w:hint="eastAsia"/>
        </w:rPr>
        <w:t>以及</w:t>
      </w:r>
      <w:r w:rsidR="00973F0A" w:rsidRPr="00973F0A">
        <w:rPr>
          <w:rFonts w:hint="eastAsia"/>
        </w:rPr>
        <w:t>能源数据中存在负数的观测样本。</w:t>
      </w:r>
      <w:r w:rsidR="002B5457">
        <w:rPr>
          <w:rFonts w:hint="eastAsia"/>
        </w:rPr>
        <w:t>具体程序请参见“</w:t>
      </w:r>
      <w:r w:rsidR="002B5457" w:rsidRPr="001933EF">
        <w:rPr>
          <w:rFonts w:hint="eastAsia"/>
          <w:b/>
          <w:bCs/>
          <w:color w:val="EE0000"/>
        </w:rPr>
        <w:t>税调企业碳排放测算</w:t>
      </w:r>
      <w:r w:rsidR="002B5457" w:rsidRPr="001933EF">
        <w:rPr>
          <w:rFonts w:hint="eastAsia"/>
          <w:b/>
          <w:bCs/>
          <w:color w:val="EE0000"/>
        </w:rPr>
        <w:t xml:space="preserve">-step1 </w:t>
      </w:r>
      <w:r w:rsidR="002B5457" w:rsidRPr="001933EF">
        <w:rPr>
          <w:rFonts w:hint="eastAsia"/>
          <w:b/>
          <w:bCs/>
          <w:color w:val="EE0000"/>
        </w:rPr>
        <w:t>初步剔除</w:t>
      </w:r>
      <w:r w:rsidR="002B5457" w:rsidRPr="001933EF">
        <w:rPr>
          <w:rFonts w:hint="eastAsia"/>
          <w:b/>
          <w:bCs/>
          <w:color w:val="EE0000"/>
        </w:rPr>
        <w:t>.</w:t>
      </w:r>
      <w:r w:rsidR="002B5457" w:rsidRPr="001933EF">
        <w:rPr>
          <w:b/>
          <w:bCs/>
          <w:color w:val="EE0000"/>
        </w:rPr>
        <w:t>do</w:t>
      </w:r>
      <w:r w:rsidR="002B5457">
        <w:rPr>
          <w:rFonts w:hint="eastAsia"/>
        </w:rPr>
        <w:t>”。</w:t>
      </w:r>
    </w:p>
    <w:p w14:paraId="5F91AFC9" w14:textId="07A75520" w:rsidR="001933EF" w:rsidRDefault="001933EF" w:rsidP="00CC702B">
      <w:pPr>
        <w:ind w:firstLine="482"/>
      </w:pPr>
      <w:r w:rsidRPr="00914F97">
        <w:rPr>
          <w:rFonts w:hint="eastAsia"/>
          <w:b/>
          <w:bCs/>
        </w:rPr>
        <w:t>再次是工商数据库匹配</w:t>
      </w:r>
      <w:r>
        <w:rPr>
          <w:rFonts w:hint="eastAsia"/>
        </w:rPr>
        <w:t>，此举是</w:t>
      </w:r>
      <w:r w:rsidR="00222738">
        <w:rPr>
          <w:rFonts w:hint="eastAsia"/>
        </w:rPr>
        <w:t>为了更好地实现税调数据与其他数据库（专利、工企、土地出让、海关、污染排放</w:t>
      </w:r>
      <w:r w:rsidR="00222738">
        <w:t>…</w:t>
      </w:r>
      <w:r w:rsidR="00222738">
        <w:rPr>
          <w:rFonts w:hint="eastAsia"/>
        </w:rPr>
        <w:t>）的互联互通</w:t>
      </w:r>
      <w:r>
        <w:rPr>
          <w:rFonts w:hint="eastAsia"/>
        </w:rPr>
        <w:t>。我们希望将</w:t>
      </w:r>
      <w:r w:rsidR="00222738" w:rsidRPr="00222738">
        <w:rPr>
          <w:rFonts w:hint="eastAsia"/>
          <w:b/>
          <w:bCs/>
        </w:rPr>
        <w:t>统一社会信用代码</w:t>
      </w:r>
      <w:r>
        <w:rPr>
          <w:rFonts w:hint="eastAsia"/>
          <w:b/>
          <w:bCs/>
        </w:rPr>
        <w:t>和企业工商注册名称作为日后</w:t>
      </w:r>
      <w:r w:rsidR="00222738">
        <w:rPr>
          <w:rFonts w:hint="eastAsia"/>
        </w:rPr>
        <w:t>与其他数据库进行匹配</w:t>
      </w:r>
      <w:r>
        <w:rPr>
          <w:rFonts w:hint="eastAsia"/>
        </w:rPr>
        <w:t>的唯二依据</w:t>
      </w:r>
      <w:r w:rsidR="00222738">
        <w:rPr>
          <w:rFonts w:hint="eastAsia"/>
        </w:rPr>
        <w:t>。</w:t>
      </w:r>
    </w:p>
    <w:p w14:paraId="7DBB4547" w14:textId="2D7802C9" w:rsidR="001933EF" w:rsidRDefault="001933EF" w:rsidP="001933EF">
      <w:pPr>
        <w:wordWrap w:val="0"/>
        <w:ind w:firstLine="480"/>
        <w:rPr>
          <w:rFonts w:hint="eastAsia"/>
        </w:rPr>
      </w:pPr>
      <w:r>
        <w:rPr>
          <w:rFonts w:hint="eastAsia"/>
        </w:rPr>
        <w:t>具体而言，</w:t>
      </w:r>
      <w:r w:rsidR="00222738">
        <w:rPr>
          <w:rFonts w:hint="eastAsia"/>
        </w:rPr>
        <w:t>我们</w:t>
      </w:r>
      <w:r>
        <w:rPr>
          <w:rFonts w:hint="eastAsia"/>
        </w:rPr>
        <w:t>先对</w:t>
      </w:r>
      <w:r>
        <w:rPr>
          <w:rFonts w:hint="eastAsia"/>
        </w:rPr>
        <w:t>税调数据库中“</w:t>
      </w:r>
      <w:r>
        <w:rPr>
          <w:rFonts w:hint="eastAsia"/>
        </w:rPr>
        <w:t>i</w:t>
      </w:r>
      <w:r>
        <w:t>d</w:t>
      </w:r>
      <w:r>
        <w:rPr>
          <w:rFonts w:hint="eastAsia"/>
        </w:rPr>
        <w:t>”和“</w:t>
      </w:r>
      <w:r>
        <w:rPr>
          <w:rFonts w:hint="eastAsia"/>
        </w:rPr>
        <w:t>q</w:t>
      </w:r>
      <w:r>
        <w:t>ymc</w:t>
      </w:r>
      <w:r>
        <w:rPr>
          <w:rFonts w:hint="eastAsia"/>
        </w:rPr>
        <w:t>（企业名称）”两个字段</w:t>
      </w:r>
      <w:r>
        <w:rPr>
          <w:rFonts w:hint="eastAsia"/>
        </w:rPr>
        <w:t>进行清理。其中，</w:t>
      </w:r>
      <w:r>
        <w:rPr>
          <w:rFonts w:hint="eastAsia"/>
        </w:rPr>
        <w:t>id</w:t>
      </w:r>
      <w:r>
        <w:rPr>
          <w:rFonts w:hint="eastAsia"/>
        </w:rPr>
        <w:t>主要由</w:t>
      </w:r>
      <w:r>
        <w:rPr>
          <w:rFonts w:hint="eastAsia"/>
        </w:rPr>
        <w:t>15</w:t>
      </w:r>
      <w:r>
        <w:rPr>
          <w:rFonts w:hint="eastAsia"/>
        </w:rPr>
        <w:t>位（</w:t>
      </w:r>
      <w:r>
        <w:rPr>
          <w:rFonts w:hint="eastAsia"/>
        </w:rPr>
        <w:t>6</w:t>
      </w:r>
      <w:r>
        <w:rPr>
          <w:rFonts w:hint="eastAsia"/>
        </w:rPr>
        <w:t>位区划代码</w:t>
      </w:r>
      <w:r>
        <w:rPr>
          <w:rFonts w:hint="eastAsia"/>
        </w:rPr>
        <w:t>+9</w:t>
      </w:r>
      <w:r>
        <w:rPr>
          <w:rFonts w:hint="eastAsia"/>
        </w:rPr>
        <w:t>位组织机构代码）及</w:t>
      </w:r>
      <w:r>
        <w:rPr>
          <w:rFonts w:hint="eastAsia"/>
        </w:rPr>
        <w:t>18</w:t>
      </w:r>
      <w:r>
        <w:rPr>
          <w:rFonts w:hint="eastAsia"/>
        </w:rPr>
        <w:t>位（统一社会信用代码，</w:t>
      </w:r>
      <w:r>
        <w:rPr>
          <w:rFonts w:hint="eastAsia"/>
        </w:rPr>
        <w:t>2</w:t>
      </w:r>
      <w:r>
        <w:rPr>
          <w:rFonts w:hint="eastAsia"/>
        </w:rPr>
        <w:t>位类型码</w:t>
      </w:r>
      <w:r>
        <w:rPr>
          <w:rFonts w:hint="eastAsia"/>
        </w:rPr>
        <w:t>+6</w:t>
      </w:r>
      <w:r>
        <w:rPr>
          <w:rFonts w:hint="eastAsia"/>
        </w:rPr>
        <w:t>位区划代码</w:t>
      </w:r>
      <w:r>
        <w:rPr>
          <w:rFonts w:hint="eastAsia"/>
        </w:rPr>
        <w:t>+9</w:t>
      </w:r>
      <w:r>
        <w:rPr>
          <w:rFonts w:hint="eastAsia"/>
        </w:rPr>
        <w:t>位组织机构代码</w:t>
      </w:r>
      <w:r>
        <w:rPr>
          <w:rFonts w:hint="eastAsia"/>
        </w:rPr>
        <w:t>+1</w:t>
      </w:r>
      <w:r>
        <w:rPr>
          <w:rFonts w:hint="eastAsia"/>
        </w:rPr>
        <w:t>位校验码）构成，我们在清洗过程中统一为</w:t>
      </w:r>
      <w:r>
        <w:rPr>
          <w:rFonts w:hint="eastAsia"/>
        </w:rPr>
        <w:t>11</w:t>
      </w:r>
      <w:r>
        <w:rPr>
          <w:rFonts w:hint="eastAsia"/>
        </w:rPr>
        <w:t>位代码（</w:t>
      </w:r>
      <w:r w:rsidR="00914F97">
        <w:rPr>
          <w:rFonts w:hint="eastAsia"/>
        </w:rPr>
        <w:t>qyid</w:t>
      </w:r>
      <w:r w:rsidR="00914F97">
        <w:rPr>
          <w:rFonts w:hint="eastAsia"/>
        </w:rPr>
        <w:t>，</w:t>
      </w:r>
      <w:r>
        <w:rPr>
          <w:rFonts w:hint="eastAsia"/>
        </w:rPr>
        <w:t>2</w:t>
      </w:r>
      <w:r>
        <w:rPr>
          <w:rFonts w:hint="eastAsia"/>
        </w:rPr>
        <w:t>位省级区划代码</w:t>
      </w:r>
      <w:r>
        <w:rPr>
          <w:rFonts w:hint="eastAsia"/>
        </w:rPr>
        <w:t>+9</w:t>
      </w:r>
      <w:r>
        <w:rPr>
          <w:rFonts w:hint="eastAsia"/>
        </w:rPr>
        <w:t>位组织机构代码），具体程序</w:t>
      </w:r>
      <w:r>
        <w:rPr>
          <w:rFonts w:hint="eastAsia"/>
        </w:rPr>
        <w:t>请参见“</w:t>
      </w:r>
      <w:r w:rsidRPr="00914F97">
        <w:rPr>
          <w:rFonts w:hint="eastAsia"/>
          <w:b/>
          <w:bCs/>
          <w:color w:val="EE0000"/>
        </w:rPr>
        <w:t>税调企业碳排放测算</w:t>
      </w:r>
      <w:r w:rsidRPr="00914F97">
        <w:rPr>
          <w:rFonts w:hint="eastAsia"/>
          <w:b/>
          <w:bCs/>
          <w:color w:val="EE0000"/>
        </w:rPr>
        <w:t xml:space="preserve">-step1 </w:t>
      </w:r>
      <w:r w:rsidRPr="00914F97">
        <w:rPr>
          <w:rFonts w:hint="eastAsia"/>
          <w:b/>
          <w:bCs/>
          <w:color w:val="EE0000"/>
        </w:rPr>
        <w:t>字段生成</w:t>
      </w:r>
      <w:r w:rsidRPr="00914F97">
        <w:rPr>
          <w:rFonts w:hint="eastAsia"/>
          <w:b/>
          <w:bCs/>
          <w:color w:val="EE0000"/>
        </w:rPr>
        <w:t>.</w:t>
      </w:r>
      <w:r w:rsidRPr="00914F97">
        <w:rPr>
          <w:b/>
          <w:bCs/>
          <w:color w:val="EE0000"/>
        </w:rPr>
        <w:t>do</w:t>
      </w:r>
      <w:r>
        <w:rPr>
          <w:rFonts w:hint="eastAsia"/>
        </w:rPr>
        <w:t>”。</w:t>
      </w:r>
      <w:r>
        <w:rPr>
          <w:rFonts w:hint="eastAsia"/>
        </w:rPr>
        <w:t>企业名称的清晰思路可以参见“</w:t>
      </w:r>
      <w:r w:rsidRPr="00914F97">
        <w:rPr>
          <w:rFonts w:hint="eastAsia"/>
          <w:b/>
          <w:bCs/>
          <w:color w:val="EE0000"/>
        </w:rPr>
        <w:t>税调企业碳排放测算</w:t>
      </w:r>
      <w:r w:rsidRPr="00914F97">
        <w:rPr>
          <w:rFonts w:hint="eastAsia"/>
          <w:b/>
          <w:bCs/>
          <w:color w:val="EE0000"/>
        </w:rPr>
        <w:t xml:space="preserve">-step2.1 </w:t>
      </w:r>
      <w:r w:rsidRPr="00914F97">
        <w:rPr>
          <w:rFonts w:hint="eastAsia"/>
          <w:b/>
          <w:bCs/>
          <w:color w:val="EE0000"/>
        </w:rPr>
        <w:t>数据匹配</w:t>
      </w:r>
      <w:r w:rsidRPr="00914F97">
        <w:rPr>
          <w:rFonts w:hint="eastAsia"/>
          <w:b/>
          <w:bCs/>
          <w:color w:val="EE0000"/>
        </w:rPr>
        <w:t>.do</w:t>
      </w:r>
      <w:r>
        <w:rPr>
          <w:rFonts w:hint="eastAsia"/>
        </w:rPr>
        <w:t>”“</w:t>
      </w:r>
      <w:r w:rsidRPr="001933EF">
        <w:rPr>
          <w:rFonts w:hint="eastAsia"/>
        </w:rPr>
        <w:t>工商数据库预处理过程</w:t>
      </w:r>
      <w:r>
        <w:rPr>
          <w:rFonts w:hint="eastAsia"/>
        </w:rPr>
        <w:t>”（文件夹，原始数据链接</w:t>
      </w:r>
      <w:r w:rsidRPr="00914F97">
        <w:rPr>
          <w:rFonts w:hint="eastAsia"/>
          <w:b/>
          <w:bCs/>
          <w:color w:val="EE0000"/>
        </w:rPr>
        <w:t>https://pan.baidu.com/s/1DqtLea7a1_Pn6XTnJ6L0zg?pwd=webt</w:t>
      </w:r>
      <w:r>
        <w:rPr>
          <w:rFonts w:hint="eastAsia"/>
        </w:rPr>
        <w:t>）。</w:t>
      </w:r>
    </w:p>
    <w:p w14:paraId="0BD2C183" w14:textId="02BC807B" w:rsidR="00222738" w:rsidRDefault="00914F97" w:rsidP="00CC702B">
      <w:pPr>
        <w:ind w:firstLine="482"/>
      </w:pPr>
      <w:r>
        <w:rPr>
          <w:rFonts w:hint="eastAsia"/>
          <w:b/>
          <w:bCs/>
        </w:rPr>
        <w:t>进一步地</w:t>
      </w:r>
      <w:r w:rsidR="00222738" w:rsidRPr="00222738">
        <w:rPr>
          <w:rFonts w:hint="eastAsia"/>
          <w:b/>
          <w:bCs/>
        </w:rPr>
        <w:t>，</w:t>
      </w:r>
      <w:r w:rsidR="00222738" w:rsidRPr="00222738">
        <w:rPr>
          <w:rFonts w:hint="eastAsia"/>
        </w:rPr>
        <w:t>我们</w:t>
      </w:r>
      <w:r w:rsidR="00222738">
        <w:rPr>
          <w:rFonts w:hint="eastAsia"/>
        </w:rPr>
        <w:t>先根据</w:t>
      </w:r>
      <w:r w:rsidR="00222738">
        <w:rPr>
          <w:rFonts w:hint="eastAsia"/>
        </w:rPr>
        <w:t>qyid</w:t>
      </w:r>
      <w:r w:rsidR="00222738">
        <w:rPr>
          <w:rFonts w:hint="eastAsia"/>
        </w:rPr>
        <w:t>变量与工商数据库</w:t>
      </w:r>
      <w:r>
        <w:rPr>
          <w:rFonts w:hint="eastAsia"/>
        </w:rPr>
        <w:t>（库中包含</w:t>
      </w:r>
      <w:r>
        <w:rPr>
          <w:rFonts w:hint="eastAsia"/>
        </w:rPr>
        <w:t>18</w:t>
      </w:r>
      <w:r>
        <w:rPr>
          <w:rFonts w:hint="eastAsia"/>
        </w:rPr>
        <w:t>位统一社会信用代码，我们也将之清洗为</w:t>
      </w:r>
      <w:r>
        <w:rPr>
          <w:rFonts w:hint="eastAsia"/>
        </w:rPr>
        <w:t>11</w:t>
      </w:r>
      <w:r>
        <w:rPr>
          <w:rFonts w:hint="eastAsia"/>
        </w:rPr>
        <w:t>位代码）</w:t>
      </w:r>
      <w:r w:rsidR="00222738">
        <w:rPr>
          <w:rFonts w:hint="eastAsia"/>
        </w:rPr>
        <w:t>进行匹配，将匹配失败的观测样本用</w:t>
      </w:r>
      <w:r w:rsidR="00222738">
        <w:rPr>
          <w:rFonts w:hint="eastAsia"/>
        </w:rPr>
        <w:t>qymc</w:t>
      </w:r>
      <w:r w:rsidR="00222738">
        <w:rPr>
          <w:rFonts w:hint="eastAsia"/>
        </w:rPr>
        <w:t>变量再进行二次匹配。具体运行程序请参见“</w:t>
      </w:r>
      <w:r w:rsidR="00222738" w:rsidRPr="00914F97">
        <w:rPr>
          <w:rFonts w:hint="eastAsia"/>
          <w:b/>
          <w:bCs/>
          <w:color w:val="EE0000"/>
        </w:rPr>
        <w:t>税调企业碳排放测算</w:t>
      </w:r>
      <w:r w:rsidR="00222738" w:rsidRPr="00914F97">
        <w:rPr>
          <w:rFonts w:hint="eastAsia"/>
          <w:b/>
          <w:bCs/>
          <w:color w:val="EE0000"/>
        </w:rPr>
        <w:t xml:space="preserve">-step2 </w:t>
      </w:r>
      <w:r w:rsidR="00222738" w:rsidRPr="00914F97">
        <w:rPr>
          <w:rFonts w:hint="eastAsia"/>
          <w:b/>
          <w:bCs/>
          <w:color w:val="EE0000"/>
        </w:rPr>
        <w:t>数据匹配</w:t>
      </w:r>
      <w:r w:rsidR="00222738" w:rsidRPr="00914F97">
        <w:rPr>
          <w:rFonts w:hint="eastAsia"/>
          <w:b/>
          <w:bCs/>
          <w:color w:val="EE0000"/>
        </w:rPr>
        <w:t>.</w:t>
      </w:r>
      <w:r w:rsidR="00222738" w:rsidRPr="00914F97">
        <w:rPr>
          <w:b/>
          <w:bCs/>
          <w:color w:val="EE0000"/>
        </w:rPr>
        <w:t>do</w:t>
      </w:r>
      <w:r w:rsidR="00222738">
        <w:rPr>
          <w:rFonts w:hint="eastAsia"/>
        </w:rPr>
        <w:t>”“</w:t>
      </w:r>
      <w:r w:rsidR="00222738" w:rsidRPr="00914F97">
        <w:rPr>
          <w:rFonts w:hint="eastAsia"/>
          <w:b/>
          <w:bCs/>
          <w:color w:val="EE0000"/>
        </w:rPr>
        <w:t>税调企业碳排放测算</w:t>
      </w:r>
      <w:r w:rsidR="00222738" w:rsidRPr="00914F97">
        <w:rPr>
          <w:rFonts w:hint="eastAsia"/>
          <w:b/>
          <w:bCs/>
          <w:color w:val="EE0000"/>
        </w:rPr>
        <w:t>-step</w:t>
      </w:r>
      <w:r w:rsidR="00222738" w:rsidRPr="00914F97">
        <w:rPr>
          <w:b/>
          <w:bCs/>
          <w:color w:val="EE0000"/>
        </w:rPr>
        <w:t>2</w:t>
      </w:r>
      <w:r w:rsidR="00222738" w:rsidRPr="00914F97">
        <w:rPr>
          <w:rFonts w:hint="eastAsia"/>
          <w:b/>
          <w:bCs/>
          <w:color w:val="EE0000"/>
        </w:rPr>
        <w:t xml:space="preserve"> </w:t>
      </w:r>
      <w:r w:rsidR="00222738" w:rsidRPr="00914F97">
        <w:rPr>
          <w:rFonts w:hint="eastAsia"/>
          <w:b/>
          <w:bCs/>
          <w:color w:val="EE0000"/>
        </w:rPr>
        <w:t>工商匹配</w:t>
      </w:r>
      <w:r w:rsidR="00222738" w:rsidRPr="00914F97">
        <w:rPr>
          <w:rFonts w:hint="eastAsia"/>
          <w:b/>
          <w:bCs/>
          <w:color w:val="EE0000"/>
        </w:rPr>
        <w:t>.</w:t>
      </w:r>
      <w:r w:rsidR="00222738" w:rsidRPr="00914F97">
        <w:rPr>
          <w:b/>
          <w:bCs/>
          <w:color w:val="EE0000"/>
        </w:rPr>
        <w:t>do</w:t>
      </w:r>
      <w:r w:rsidR="00222738">
        <w:rPr>
          <w:rFonts w:hint="eastAsia"/>
        </w:rPr>
        <w:t>”。</w:t>
      </w:r>
    </w:p>
    <w:p w14:paraId="7AF242DF" w14:textId="342DC4CC" w:rsidR="00914F97" w:rsidRDefault="00914F97" w:rsidP="00914F97">
      <w:pPr>
        <w:ind w:firstLine="482"/>
      </w:pPr>
      <w:r w:rsidRPr="00A500A3">
        <w:rPr>
          <w:rFonts w:hint="eastAsia"/>
          <w:b/>
          <w:bCs/>
        </w:rPr>
        <w:t>接着是所属行业代码</w:t>
      </w:r>
      <w:r>
        <w:rPr>
          <w:rFonts w:hint="eastAsia"/>
          <w:b/>
          <w:bCs/>
        </w:rPr>
        <w:t>及行政区划代码</w:t>
      </w:r>
      <w:r w:rsidRPr="00A500A3">
        <w:rPr>
          <w:rFonts w:hint="eastAsia"/>
          <w:b/>
          <w:bCs/>
        </w:rPr>
        <w:t>统一</w:t>
      </w:r>
      <w:r>
        <w:rPr>
          <w:rFonts w:hint="eastAsia"/>
        </w:rPr>
        <w:t>，参考田彬彬等（</w:t>
      </w:r>
      <w:r>
        <w:rPr>
          <w:rFonts w:hint="eastAsia"/>
        </w:rPr>
        <w:t>2</w:t>
      </w:r>
      <w:r>
        <w:t>020</w:t>
      </w:r>
      <w:r>
        <w:rPr>
          <w:rFonts w:hint="eastAsia"/>
        </w:rPr>
        <w:t>）的做法，我们将税调原始数据中“</w:t>
      </w:r>
      <w:r>
        <w:rPr>
          <w:rFonts w:hint="eastAsia"/>
        </w:rPr>
        <w:t>industry</w:t>
      </w:r>
      <w:r>
        <w:rPr>
          <w:rFonts w:hint="eastAsia"/>
        </w:rPr>
        <w:t>（对应</w:t>
      </w:r>
      <w:r>
        <w:rPr>
          <w:rFonts w:hint="eastAsia"/>
        </w:rPr>
        <w:t>2</w:t>
      </w:r>
      <w:r>
        <w:t>007</w:t>
      </w:r>
      <w:r>
        <w:rPr>
          <w:rFonts w:hint="eastAsia"/>
        </w:rPr>
        <w:t>）”“</w:t>
      </w:r>
      <w:r>
        <w:rPr>
          <w:rFonts w:hint="eastAsia"/>
        </w:rPr>
        <w:t>hylb</w:t>
      </w:r>
      <w:r>
        <w:rPr>
          <w:rFonts w:hint="eastAsia"/>
        </w:rPr>
        <w:t>（</w:t>
      </w:r>
      <w:r>
        <w:rPr>
          <w:rFonts w:hint="eastAsia"/>
        </w:rPr>
        <w:t>2</w:t>
      </w:r>
      <w:r>
        <w:t>008-2011</w:t>
      </w:r>
      <w:r>
        <w:rPr>
          <w:rFonts w:hint="eastAsia"/>
        </w:rPr>
        <w:t>）”视为</w:t>
      </w:r>
      <w:r>
        <w:rPr>
          <w:rFonts w:hint="eastAsia"/>
        </w:rPr>
        <w:t>C</w:t>
      </w:r>
      <w:r>
        <w:t>IC2002</w:t>
      </w:r>
      <w:r>
        <w:rPr>
          <w:rFonts w:hint="eastAsia"/>
        </w:rPr>
        <w:t>版本，并统一转换为</w:t>
      </w:r>
      <w:r>
        <w:rPr>
          <w:rFonts w:hint="eastAsia"/>
        </w:rPr>
        <w:t>C</w:t>
      </w:r>
      <w:r>
        <w:t>IC</w:t>
      </w:r>
      <w:r>
        <w:rPr>
          <w:rFonts w:hint="eastAsia"/>
        </w:rPr>
        <w:t>2</w:t>
      </w:r>
      <w:r>
        <w:t>011</w:t>
      </w:r>
      <w:r>
        <w:rPr>
          <w:rFonts w:hint="eastAsia"/>
        </w:rPr>
        <w:t>版本（该版本于</w:t>
      </w:r>
      <w:r>
        <w:rPr>
          <w:rFonts w:hint="eastAsia"/>
        </w:rPr>
        <w:t>2</w:t>
      </w:r>
      <w:r>
        <w:t>012</w:t>
      </w:r>
      <w:r>
        <w:rPr>
          <w:rFonts w:hint="eastAsia"/>
        </w:rPr>
        <w:t>年正式使用）。具体转换代</w:t>
      </w:r>
      <w:r>
        <w:rPr>
          <w:rFonts w:hint="eastAsia"/>
        </w:rPr>
        <w:lastRenderedPageBreak/>
        <w:t>码请参见“</w:t>
      </w:r>
      <w:r w:rsidRPr="00914F97">
        <w:rPr>
          <w:rFonts w:hint="eastAsia"/>
          <w:b/>
          <w:bCs/>
          <w:color w:val="EE0000"/>
        </w:rPr>
        <w:t>2011</w:t>
      </w:r>
      <w:r w:rsidRPr="00914F97">
        <w:rPr>
          <w:rFonts w:hint="eastAsia"/>
          <w:b/>
          <w:bCs/>
          <w:color w:val="EE0000"/>
        </w:rPr>
        <w:t>版统一为</w:t>
      </w:r>
      <w:r w:rsidRPr="00914F97">
        <w:rPr>
          <w:rFonts w:hint="eastAsia"/>
          <w:b/>
          <w:bCs/>
          <w:color w:val="EE0000"/>
        </w:rPr>
        <w:t>2002</w:t>
      </w:r>
      <w:r w:rsidRPr="00914F97">
        <w:rPr>
          <w:rFonts w:hint="eastAsia"/>
          <w:b/>
          <w:bCs/>
          <w:color w:val="EE0000"/>
        </w:rPr>
        <w:t>版</w:t>
      </w:r>
      <w:r w:rsidRPr="00914F97">
        <w:rPr>
          <w:rFonts w:hint="eastAsia"/>
          <w:b/>
          <w:bCs/>
          <w:color w:val="EE0000"/>
        </w:rPr>
        <w:t>stata</w:t>
      </w:r>
      <w:r w:rsidRPr="00914F97">
        <w:rPr>
          <w:rFonts w:hint="eastAsia"/>
          <w:b/>
          <w:bCs/>
          <w:color w:val="EE0000"/>
        </w:rPr>
        <w:t>代码</w:t>
      </w:r>
      <w:r w:rsidRPr="00914F97">
        <w:rPr>
          <w:rFonts w:hint="eastAsia"/>
          <w:b/>
          <w:bCs/>
          <w:color w:val="EE0000"/>
        </w:rPr>
        <w:t>do</w:t>
      </w:r>
      <w:r w:rsidRPr="00914F97">
        <w:rPr>
          <w:rFonts w:hint="eastAsia"/>
          <w:b/>
          <w:bCs/>
          <w:color w:val="EE0000"/>
        </w:rPr>
        <w:t>文件</w:t>
      </w:r>
      <w:r w:rsidRPr="00914F97">
        <w:rPr>
          <w:rFonts w:hint="eastAsia"/>
          <w:b/>
          <w:bCs/>
          <w:color w:val="EE0000"/>
        </w:rPr>
        <w:t>.</w:t>
      </w:r>
      <w:r w:rsidRPr="00914F97">
        <w:rPr>
          <w:b/>
          <w:bCs/>
          <w:color w:val="EE0000"/>
        </w:rPr>
        <w:t>do</w:t>
      </w:r>
      <w:r>
        <w:rPr>
          <w:rFonts w:hint="eastAsia"/>
        </w:rPr>
        <w:t>”，实际在“</w:t>
      </w:r>
      <w:r w:rsidRPr="00A500A3">
        <w:rPr>
          <w:rFonts w:hint="eastAsia"/>
        </w:rPr>
        <w:t>税调企业碳排放测算</w:t>
      </w:r>
      <w:r w:rsidRPr="00A500A3">
        <w:rPr>
          <w:rFonts w:hint="eastAsia"/>
        </w:rPr>
        <w:t xml:space="preserve">-step3 </w:t>
      </w:r>
      <w:r w:rsidRPr="00A500A3">
        <w:rPr>
          <w:rFonts w:hint="eastAsia"/>
        </w:rPr>
        <w:t>折算碳排放因子</w:t>
      </w:r>
      <w:r w:rsidRPr="00A500A3">
        <w:rPr>
          <w:rFonts w:hint="eastAsia"/>
        </w:rPr>
        <w:t>_</w:t>
      </w:r>
      <w:r w:rsidRPr="00A500A3">
        <w:rPr>
          <w:rFonts w:hint="eastAsia"/>
        </w:rPr>
        <w:t>行业和区域</w:t>
      </w:r>
      <w:r>
        <w:rPr>
          <w:rFonts w:hint="eastAsia"/>
        </w:rPr>
        <w:t>.</w:t>
      </w:r>
      <w:r>
        <w:t>do</w:t>
      </w:r>
      <w:r>
        <w:rPr>
          <w:rFonts w:hint="eastAsia"/>
        </w:rPr>
        <w:t>”中运行。</w:t>
      </w:r>
    </w:p>
    <w:p w14:paraId="6A5F14BB" w14:textId="07122406" w:rsidR="00914F97" w:rsidRPr="00290920" w:rsidRDefault="00914F97" w:rsidP="00914F97">
      <w:pPr>
        <w:ind w:firstLine="482"/>
        <w:rPr>
          <w:rFonts w:hint="eastAsia"/>
        </w:rPr>
      </w:pPr>
      <w:r w:rsidRPr="00914F97">
        <w:rPr>
          <w:rFonts w:hint="eastAsia"/>
          <w:b/>
          <w:bCs/>
        </w:rPr>
        <w:t>注</w:t>
      </w:r>
      <w:r>
        <w:rPr>
          <w:rFonts w:hint="eastAsia"/>
        </w:rPr>
        <w:t>：由于数据已经扩充至</w:t>
      </w:r>
      <w:r>
        <w:rPr>
          <w:rFonts w:hint="eastAsia"/>
        </w:rPr>
        <w:t>2020</w:t>
      </w:r>
      <w:r>
        <w:rPr>
          <w:rFonts w:hint="eastAsia"/>
        </w:rPr>
        <w:t>年，我们还需要将</w:t>
      </w:r>
      <w:r>
        <w:rPr>
          <w:rFonts w:hint="eastAsia"/>
        </w:rPr>
        <w:t>2017</w:t>
      </w:r>
      <w:r>
        <w:rPr>
          <w:rFonts w:hint="eastAsia"/>
        </w:rPr>
        <w:t>年版的行业代码统一至</w:t>
      </w:r>
      <w:r>
        <w:rPr>
          <w:rFonts w:hint="eastAsia"/>
        </w:rPr>
        <w:t>2011</w:t>
      </w:r>
      <w:r>
        <w:rPr>
          <w:rFonts w:hint="eastAsia"/>
        </w:rPr>
        <w:t>年版，具体数据请参见“</w:t>
      </w:r>
      <w:r w:rsidRPr="00914F97">
        <w:rPr>
          <w:rFonts w:hint="eastAsia"/>
        </w:rPr>
        <w:t>Plus Step1 Data 2017</w:t>
      </w:r>
      <w:r w:rsidRPr="00914F97">
        <w:rPr>
          <w:rFonts w:hint="eastAsia"/>
        </w:rPr>
        <w:t>版统一为</w:t>
      </w:r>
      <w:r w:rsidRPr="00914F97">
        <w:rPr>
          <w:rFonts w:hint="eastAsia"/>
        </w:rPr>
        <w:t>2011</w:t>
      </w:r>
      <w:r w:rsidRPr="00914F97">
        <w:rPr>
          <w:rFonts w:hint="eastAsia"/>
        </w:rPr>
        <w:t>版对照表</w:t>
      </w:r>
      <w:r>
        <w:rPr>
          <w:rFonts w:hint="eastAsia"/>
        </w:rPr>
        <w:t>.dta</w:t>
      </w:r>
      <w:r>
        <w:rPr>
          <w:rFonts w:hint="eastAsia"/>
        </w:rPr>
        <w:t>”。</w:t>
      </w:r>
    </w:p>
    <w:p w14:paraId="3C75947F" w14:textId="403A9E86" w:rsidR="00914F97" w:rsidRDefault="00914F97" w:rsidP="00914F97">
      <w:pPr>
        <w:ind w:firstLine="480"/>
      </w:pPr>
      <w:r>
        <w:rPr>
          <w:rFonts w:hint="eastAsia"/>
        </w:rPr>
        <w:t>此外，</w:t>
      </w:r>
      <w:r>
        <w:rPr>
          <w:rFonts w:hint="eastAsia"/>
        </w:rPr>
        <w:t>我们采用折算系数法对企业碳排放量进行测算，具体思路请见下文“</w:t>
      </w:r>
      <w:r w:rsidRPr="00193B5E">
        <w:rPr>
          <w:rFonts w:hint="eastAsia"/>
        </w:rPr>
        <w:t>二、碳排放核算方法</w:t>
      </w:r>
      <w:r>
        <w:rPr>
          <w:rFonts w:hint="eastAsia"/>
        </w:rPr>
        <w:t>”，具体程序请参见“</w:t>
      </w:r>
      <w:r w:rsidRPr="00914F97">
        <w:rPr>
          <w:rFonts w:hint="eastAsia"/>
          <w:b/>
          <w:bCs/>
          <w:color w:val="EE0000"/>
        </w:rPr>
        <w:t>税调企业碳排放测算</w:t>
      </w:r>
      <w:r w:rsidRPr="00914F97">
        <w:rPr>
          <w:rFonts w:hint="eastAsia"/>
          <w:b/>
          <w:bCs/>
          <w:color w:val="EE0000"/>
        </w:rPr>
        <w:t xml:space="preserve">-step3 </w:t>
      </w:r>
      <w:r w:rsidRPr="00914F97">
        <w:rPr>
          <w:rFonts w:hint="eastAsia"/>
          <w:b/>
          <w:bCs/>
          <w:color w:val="EE0000"/>
        </w:rPr>
        <w:t>碳排放折算系数</w:t>
      </w:r>
      <w:r w:rsidRPr="00914F97">
        <w:rPr>
          <w:rFonts w:hint="eastAsia"/>
          <w:b/>
          <w:bCs/>
          <w:color w:val="EE0000"/>
        </w:rPr>
        <w:t>.py</w:t>
      </w:r>
      <w:r>
        <w:rPr>
          <w:rFonts w:hint="eastAsia"/>
        </w:rPr>
        <w:t>”“</w:t>
      </w:r>
      <w:r w:rsidRPr="00914F97">
        <w:rPr>
          <w:rFonts w:hint="eastAsia"/>
          <w:b/>
          <w:bCs/>
          <w:color w:val="EE0000"/>
        </w:rPr>
        <w:t>税调企业碳排放测算</w:t>
      </w:r>
      <w:r w:rsidRPr="00914F97">
        <w:rPr>
          <w:rFonts w:hint="eastAsia"/>
          <w:b/>
          <w:bCs/>
          <w:color w:val="EE0000"/>
        </w:rPr>
        <w:t xml:space="preserve">-step Plus </w:t>
      </w:r>
      <w:r w:rsidRPr="00914F97">
        <w:rPr>
          <w:rFonts w:hint="eastAsia"/>
          <w:b/>
          <w:bCs/>
          <w:color w:val="EE0000"/>
        </w:rPr>
        <w:t>合并</w:t>
      </w:r>
      <w:r w:rsidRPr="00914F97">
        <w:rPr>
          <w:rFonts w:hint="eastAsia"/>
          <w:b/>
          <w:bCs/>
          <w:color w:val="EE0000"/>
        </w:rPr>
        <w:t>.do</w:t>
      </w:r>
      <w:r>
        <w:rPr>
          <w:rFonts w:hint="eastAsia"/>
        </w:rPr>
        <w:t>”。</w:t>
      </w:r>
    </w:p>
    <w:p w14:paraId="738FE134" w14:textId="77777777" w:rsidR="00474CE5" w:rsidRDefault="00914F97" w:rsidP="00474CE5">
      <w:pPr>
        <w:ind w:firstLine="482"/>
      </w:pPr>
      <w:r w:rsidRPr="00474CE5">
        <w:rPr>
          <w:rFonts w:hint="eastAsia"/>
          <w:b/>
          <w:bCs/>
        </w:rPr>
        <w:t>注：</w:t>
      </w:r>
      <w:r w:rsidR="00474CE5">
        <w:rPr>
          <w:rFonts w:hint="eastAsia"/>
        </w:rPr>
        <w:t>由于官方公布的电网平均碳排放因子数据时效性和颗粒度较差（仅有</w:t>
      </w:r>
      <w:r w:rsidR="00474CE5">
        <w:rPr>
          <w:rFonts w:hint="eastAsia"/>
        </w:rPr>
        <w:t>2010</w:t>
      </w:r>
      <w:r w:rsidR="00474CE5">
        <w:rPr>
          <w:rFonts w:hint="eastAsia"/>
        </w:rPr>
        <w:t>、</w:t>
      </w:r>
      <w:r w:rsidR="00474CE5">
        <w:rPr>
          <w:rFonts w:hint="eastAsia"/>
        </w:rPr>
        <w:t>2011</w:t>
      </w:r>
      <w:r w:rsidR="00474CE5">
        <w:rPr>
          <w:rFonts w:hint="eastAsia"/>
        </w:rPr>
        <w:t>、</w:t>
      </w:r>
      <w:r w:rsidR="00474CE5">
        <w:rPr>
          <w:rFonts w:hint="eastAsia"/>
        </w:rPr>
        <w:t>2012</w:t>
      </w:r>
      <w:r w:rsidR="00474CE5">
        <w:rPr>
          <w:rFonts w:hint="eastAsia"/>
        </w:rPr>
        <w:t>及</w:t>
      </w:r>
      <w:r w:rsidR="00474CE5">
        <w:rPr>
          <w:rFonts w:hint="eastAsia"/>
        </w:rPr>
        <w:t>2021</w:t>
      </w:r>
      <w:r w:rsidR="00474CE5">
        <w:rPr>
          <w:rFonts w:hint="eastAsia"/>
        </w:rPr>
        <w:t>年以后的相关数据），我参考了一篇</w:t>
      </w:r>
      <w:r w:rsidR="00474CE5">
        <w:rPr>
          <w:rFonts w:hint="eastAsia"/>
        </w:rPr>
        <w:t>2005-2021</w:t>
      </w:r>
      <w:r w:rsidR="00474CE5">
        <w:rPr>
          <w:rFonts w:hint="eastAsia"/>
        </w:rPr>
        <w:t>年省级电网平均碳排放因子的测算论文（请参见“</w:t>
      </w:r>
      <w:r w:rsidR="00474CE5" w:rsidRPr="00474CE5">
        <w:rPr>
          <w:rFonts w:hint="eastAsia"/>
          <w:b/>
          <w:bCs/>
          <w:color w:val="EE0000"/>
        </w:rPr>
        <w:t>$2005</w:t>
      </w:r>
      <w:r w:rsidR="00474CE5" w:rsidRPr="00474CE5">
        <w:rPr>
          <w:rFonts w:hint="eastAsia"/>
          <w:b/>
          <w:bCs/>
          <w:color w:val="EE0000"/>
        </w:rPr>
        <w:t>—</w:t>
      </w:r>
      <w:r w:rsidR="00474CE5" w:rsidRPr="00474CE5">
        <w:rPr>
          <w:rFonts w:hint="eastAsia"/>
          <w:b/>
          <w:bCs/>
          <w:color w:val="EE0000"/>
        </w:rPr>
        <w:t>2021</w:t>
      </w:r>
      <w:r w:rsidR="00474CE5" w:rsidRPr="00474CE5">
        <w:rPr>
          <w:rFonts w:hint="eastAsia"/>
          <w:b/>
          <w:bCs/>
          <w:color w:val="EE0000"/>
        </w:rPr>
        <w:t>年区域和省级电网碳排放因子研究</w:t>
      </w:r>
      <w:r w:rsidR="00474CE5">
        <w:rPr>
          <w:rFonts w:hint="eastAsia"/>
        </w:rPr>
        <w:t>”）。另外，由于作者不愿意分享具体的测算结果，我采用了邪道做法，用</w:t>
      </w:r>
      <w:r w:rsidR="00474CE5">
        <w:rPr>
          <w:rFonts w:hint="eastAsia"/>
        </w:rPr>
        <w:t>Origin</w:t>
      </w:r>
      <w:r w:rsidR="00474CE5">
        <w:rPr>
          <w:rFonts w:hint="eastAsia"/>
        </w:rPr>
        <w:t>软件提取了图中的具体数值，具体请参见“</w:t>
      </w:r>
      <w:r w:rsidR="00474CE5" w:rsidRPr="00474CE5">
        <w:rPr>
          <w:rFonts w:hint="eastAsia"/>
          <w:b/>
          <w:bCs/>
          <w:color w:val="EE0000"/>
        </w:rPr>
        <w:t>$2005-2020</w:t>
      </w:r>
      <w:r w:rsidR="00474CE5" w:rsidRPr="00474CE5">
        <w:rPr>
          <w:rFonts w:hint="eastAsia"/>
          <w:b/>
          <w:bCs/>
          <w:color w:val="EE0000"/>
        </w:rPr>
        <w:t>年省级电网平均碳排放因子</w:t>
      </w:r>
      <w:r w:rsidR="00474CE5">
        <w:rPr>
          <w:rFonts w:hint="eastAsia"/>
        </w:rPr>
        <w:t>”</w:t>
      </w:r>
    </w:p>
    <w:p w14:paraId="1103A02D" w14:textId="2D450596" w:rsidR="003E4D24" w:rsidRPr="00222738" w:rsidRDefault="00914F97" w:rsidP="00474CE5">
      <w:pPr>
        <w:ind w:firstLine="482"/>
      </w:pPr>
      <w:r>
        <w:rPr>
          <w:rFonts w:hint="eastAsia"/>
          <w:b/>
          <w:bCs/>
        </w:rPr>
        <w:t>最后</w:t>
      </w:r>
      <w:r w:rsidR="003E4D24" w:rsidRPr="003E4D24">
        <w:rPr>
          <w:rFonts w:hint="eastAsia"/>
          <w:b/>
          <w:bCs/>
        </w:rPr>
        <w:t>，</w:t>
      </w:r>
      <w:r w:rsidR="003E4D24">
        <w:rPr>
          <w:rFonts w:hint="eastAsia"/>
        </w:rPr>
        <w:t>为了方便大家对税调企业进行更多的拓展性分析，我们</w:t>
      </w:r>
      <w:r w:rsidR="00474CE5">
        <w:rPr>
          <w:rFonts w:hint="eastAsia"/>
        </w:rPr>
        <w:t>首先将各个年份的数据进行了合并，具体参见“</w:t>
      </w:r>
      <w:r w:rsidR="00474CE5" w:rsidRPr="00914F97">
        <w:rPr>
          <w:rFonts w:hint="eastAsia"/>
        </w:rPr>
        <w:t>税调企业碳排放测算</w:t>
      </w:r>
      <w:r w:rsidR="00474CE5" w:rsidRPr="00914F97">
        <w:rPr>
          <w:rFonts w:hint="eastAsia"/>
        </w:rPr>
        <w:t xml:space="preserve">-step Plus </w:t>
      </w:r>
      <w:r w:rsidR="00474CE5" w:rsidRPr="00914F97">
        <w:rPr>
          <w:rFonts w:hint="eastAsia"/>
        </w:rPr>
        <w:t>合并</w:t>
      </w:r>
      <w:r w:rsidR="00474CE5">
        <w:rPr>
          <w:rFonts w:hint="eastAsia"/>
        </w:rPr>
        <w:t>.do</w:t>
      </w:r>
      <w:r w:rsidR="00474CE5">
        <w:rPr>
          <w:rFonts w:hint="eastAsia"/>
        </w:rPr>
        <w:t>”。此外，</w:t>
      </w:r>
      <w:r w:rsidR="003D02D4">
        <w:rPr>
          <w:rFonts w:hint="eastAsia"/>
        </w:rPr>
        <w:t>我们</w:t>
      </w:r>
      <w:r w:rsidR="003E4D24">
        <w:rPr>
          <w:rFonts w:hint="eastAsia"/>
        </w:rPr>
        <w:t>还基于企业工商注册地址和企业名称，运用高德地图</w:t>
      </w:r>
      <w:r w:rsidR="003E4D24">
        <w:rPr>
          <w:rFonts w:hint="eastAsia"/>
        </w:rPr>
        <w:t>api</w:t>
      </w:r>
      <w:r w:rsidR="003E4D24">
        <w:rPr>
          <w:rFonts w:hint="eastAsia"/>
        </w:rPr>
        <w:t>对企业的所处省份、城市、区县和经纬度坐标进行解析。具体程序请参见“</w:t>
      </w:r>
      <w:r w:rsidR="003E4D24" w:rsidRPr="00914F97">
        <w:rPr>
          <w:rFonts w:hint="eastAsia"/>
          <w:b/>
          <w:bCs/>
          <w:color w:val="EE0000"/>
        </w:rPr>
        <w:t>税调企业</w:t>
      </w:r>
      <w:r w:rsidR="003E4D24" w:rsidRPr="00914F97">
        <w:rPr>
          <w:rFonts w:hint="eastAsia"/>
          <w:b/>
          <w:bCs/>
          <w:color w:val="EE0000"/>
        </w:rPr>
        <w:t>-</w:t>
      </w:r>
      <w:r w:rsidR="003E4D24" w:rsidRPr="00914F97">
        <w:rPr>
          <w:rFonts w:hint="eastAsia"/>
          <w:b/>
          <w:bCs/>
          <w:color w:val="EE0000"/>
        </w:rPr>
        <w:t>注册地址查询</w:t>
      </w:r>
      <w:r w:rsidR="003E4D24" w:rsidRPr="00914F97">
        <w:rPr>
          <w:rFonts w:hint="eastAsia"/>
          <w:b/>
          <w:bCs/>
          <w:color w:val="EE0000"/>
        </w:rPr>
        <w:t>.</w:t>
      </w:r>
      <w:r w:rsidR="003E4D24" w:rsidRPr="00914F97">
        <w:rPr>
          <w:b/>
          <w:bCs/>
          <w:color w:val="EE0000"/>
        </w:rPr>
        <w:t>py</w:t>
      </w:r>
      <w:r w:rsidR="003E4D24">
        <w:rPr>
          <w:rFonts w:hint="eastAsia"/>
        </w:rPr>
        <w:t>”。</w:t>
      </w:r>
      <w:r w:rsidR="00D35771">
        <w:rPr>
          <w:rFonts w:hint="eastAsia"/>
        </w:rPr>
        <w:t>同时，</w:t>
      </w:r>
      <w:r w:rsidR="003E4D24">
        <w:rPr>
          <w:rFonts w:hint="eastAsia"/>
        </w:rPr>
        <w:t>我们结合碳排放栅格数据，依次提取了税调企业周围</w:t>
      </w:r>
      <w:r w:rsidR="003E4D24">
        <w:rPr>
          <w:rFonts w:hint="eastAsia"/>
        </w:rPr>
        <w:t>1</w:t>
      </w:r>
      <w:r w:rsidR="003E4D24">
        <w:t>~5</w:t>
      </w:r>
      <w:r w:rsidR="003E4D24">
        <w:rPr>
          <w:rFonts w:hint="eastAsia"/>
        </w:rPr>
        <w:t>km</w:t>
      </w:r>
      <w:r w:rsidR="003E4D24">
        <w:rPr>
          <w:rFonts w:hint="eastAsia"/>
        </w:rPr>
        <w:t>范围内的二氧化碳排放量之和。具体程序</w:t>
      </w:r>
      <w:r w:rsidR="00D35771">
        <w:rPr>
          <w:rFonts w:hint="eastAsia"/>
        </w:rPr>
        <w:t>可以</w:t>
      </w:r>
      <w:r w:rsidR="003E4D24">
        <w:rPr>
          <w:rFonts w:hint="eastAsia"/>
        </w:rPr>
        <w:t>参见“</w:t>
      </w:r>
      <w:r w:rsidR="003E4D24" w:rsidRPr="00914F97">
        <w:rPr>
          <w:rFonts w:hint="eastAsia"/>
          <w:b/>
          <w:bCs/>
          <w:color w:val="EE0000"/>
        </w:rPr>
        <w:t>提取点周围的栅格值</w:t>
      </w:r>
      <w:r w:rsidR="003E4D24" w:rsidRPr="00914F97">
        <w:rPr>
          <w:rFonts w:hint="eastAsia"/>
          <w:b/>
          <w:bCs/>
          <w:color w:val="EE0000"/>
        </w:rPr>
        <w:t>.</w:t>
      </w:r>
      <w:r w:rsidR="003E4D24" w:rsidRPr="00914F97">
        <w:rPr>
          <w:b/>
          <w:bCs/>
          <w:color w:val="EE0000"/>
        </w:rPr>
        <w:t>R</w:t>
      </w:r>
      <w:r w:rsidR="003E4D24">
        <w:rPr>
          <w:rFonts w:hint="eastAsia"/>
        </w:rPr>
        <w:t>”（该方法也在后文有具体说明）。</w:t>
      </w:r>
    </w:p>
    <w:p w14:paraId="076C9ECF" w14:textId="3FA9B884" w:rsidR="00095F69" w:rsidRPr="003B4BD4" w:rsidRDefault="00000000" w:rsidP="003B4BD4">
      <w:pPr>
        <w:spacing w:before="240" w:after="120"/>
        <w:ind w:firstLineChars="0" w:firstLine="0"/>
        <w:rPr>
          <w:b/>
          <w:bCs/>
          <w:sz w:val="28"/>
          <w:szCs w:val="28"/>
        </w:rPr>
      </w:pPr>
      <w:r w:rsidRPr="003B4BD4">
        <w:rPr>
          <w:rFonts w:hint="eastAsia"/>
          <w:b/>
          <w:bCs/>
          <w:sz w:val="28"/>
          <w:szCs w:val="28"/>
        </w:rPr>
        <w:t>二、碳排放核算方法</w:t>
      </w:r>
      <w:r w:rsidR="000E01D2">
        <w:rPr>
          <w:rFonts w:hint="eastAsia"/>
          <w:b/>
          <w:bCs/>
          <w:sz w:val="28"/>
          <w:szCs w:val="28"/>
        </w:rPr>
        <w:t>说明</w:t>
      </w:r>
    </w:p>
    <w:p w14:paraId="6D150E30" w14:textId="19FDC9AE" w:rsidR="00095F69" w:rsidRPr="003B4BD4" w:rsidRDefault="00000000" w:rsidP="003B4BD4">
      <w:pPr>
        <w:spacing w:beforeLines="50" w:before="156" w:afterLines="50" w:after="156"/>
        <w:ind w:firstLineChars="0" w:firstLine="0"/>
        <w:rPr>
          <w:b/>
          <w:bCs/>
          <w:szCs w:val="24"/>
        </w:rPr>
      </w:pPr>
      <w:r w:rsidRPr="003B4BD4">
        <w:rPr>
          <w:rFonts w:hint="eastAsia"/>
          <w:b/>
          <w:bCs/>
          <w:szCs w:val="24"/>
        </w:rPr>
        <w:t>（一）系数折算法（基础版</w:t>
      </w:r>
      <w:r w:rsidR="00C1341B">
        <w:rPr>
          <w:rFonts w:hint="eastAsia"/>
          <w:b/>
          <w:bCs/>
          <w:szCs w:val="24"/>
        </w:rPr>
        <w:t>，</w:t>
      </w:r>
      <w:r w:rsidR="00C1341B">
        <w:rPr>
          <w:rFonts w:hint="eastAsia"/>
          <w:b/>
          <w:bCs/>
          <w:szCs w:val="24"/>
        </w:rPr>
        <w:t>C</w:t>
      </w:r>
      <w:r w:rsidR="00C1341B">
        <w:rPr>
          <w:b/>
          <w:bCs/>
          <w:szCs w:val="24"/>
        </w:rPr>
        <w:t>ui20</w:t>
      </w:r>
      <w:r w:rsidR="00032B8F">
        <w:rPr>
          <w:b/>
          <w:bCs/>
          <w:szCs w:val="24"/>
        </w:rPr>
        <w:t>21</w:t>
      </w:r>
      <w:r w:rsidRPr="003B4BD4">
        <w:rPr>
          <w:rFonts w:hint="eastAsia"/>
          <w:b/>
          <w:bCs/>
          <w:szCs w:val="24"/>
        </w:rPr>
        <w:t>）</w:t>
      </w:r>
    </w:p>
    <w:p w14:paraId="5BCE40F8" w14:textId="77777777" w:rsidR="00095F69" w:rsidRPr="005B11CF" w:rsidRDefault="00000000">
      <w:pPr>
        <w:ind w:firstLine="480"/>
      </w:pPr>
      <w:r w:rsidRPr="005B11CF">
        <w:rPr>
          <w:rFonts w:hint="eastAsia"/>
        </w:rPr>
        <w:t>参考</w:t>
      </w:r>
      <w:r w:rsidRPr="005B11CF">
        <w:rPr>
          <w:rFonts w:hint="eastAsia"/>
        </w:rPr>
        <w:t>Cui</w:t>
      </w:r>
      <w:r w:rsidRPr="005B11CF">
        <w:rPr>
          <w:rFonts w:hint="eastAsia"/>
        </w:rPr>
        <w:t>等（</w:t>
      </w:r>
      <w:r w:rsidRPr="005B11CF">
        <w:rPr>
          <w:rFonts w:hint="eastAsia"/>
        </w:rPr>
        <w:t>2021</w:t>
      </w:r>
      <w:r w:rsidRPr="005B11CF">
        <w:rPr>
          <w:rFonts w:hint="eastAsia"/>
        </w:rPr>
        <w:t>）的做法，根据各类能源消费的碳排放因子，核算能源消费所产生的直接碳排放（主要来自</w:t>
      </w:r>
      <w:r w:rsidRPr="005B11CF">
        <w:t>燃料燃烧</w:t>
      </w:r>
      <w:r w:rsidRPr="005B11CF">
        <w:rPr>
          <w:rFonts w:hint="eastAsia"/>
        </w:rPr>
        <w:t>），具体的碳排放因子见表</w:t>
      </w:r>
      <w:r w:rsidRPr="005B11CF">
        <w:rPr>
          <w:rFonts w:hint="eastAsia"/>
        </w:rPr>
        <w:t>1</w:t>
      </w:r>
      <w:r w:rsidRPr="005B11CF">
        <w:rPr>
          <w:rFonts w:hint="eastAsia"/>
        </w:rPr>
        <w:t>，其中，电力能源消费引致的碳排放考虑了中国</w:t>
      </w:r>
      <w:r w:rsidRPr="005B11CF">
        <w:rPr>
          <w:rFonts w:hint="eastAsia"/>
        </w:rPr>
        <w:t>6</w:t>
      </w:r>
      <w:r w:rsidRPr="005B11CF">
        <w:rPr>
          <w:rFonts w:hint="eastAsia"/>
        </w:rPr>
        <w:t>大区域电网的碳排放系数差异。</w:t>
      </w:r>
    </w:p>
    <w:p w14:paraId="129F5BEA" w14:textId="77777777" w:rsidR="00095F69" w:rsidRPr="005B11CF" w:rsidRDefault="00000000">
      <w:pPr>
        <w:ind w:firstLine="480"/>
      </w:pPr>
      <w:r w:rsidRPr="005B11CF">
        <w:rPr>
          <w:rFonts w:hint="eastAsia"/>
        </w:rPr>
        <w:t>另外，考虑</w:t>
      </w:r>
      <w:r w:rsidRPr="005B11CF">
        <w:rPr>
          <w:rFonts w:hint="eastAsia"/>
        </w:rPr>
        <w:t>Cui</w:t>
      </w:r>
      <w:r w:rsidRPr="005B11CF">
        <w:rPr>
          <w:rFonts w:hint="eastAsia"/>
        </w:rPr>
        <w:t>等（</w:t>
      </w:r>
      <w:r w:rsidRPr="005B11CF">
        <w:rPr>
          <w:rFonts w:hint="eastAsia"/>
        </w:rPr>
        <w:t>2021</w:t>
      </w:r>
      <w:r w:rsidRPr="005B11CF">
        <w:rPr>
          <w:rFonts w:hint="eastAsia"/>
        </w:rPr>
        <w:t>）忽视了天然气与其他燃气消费量数据在</w:t>
      </w:r>
      <w:r w:rsidRPr="005B11CF">
        <w:rPr>
          <w:rFonts w:hint="eastAsia"/>
        </w:rPr>
        <w:t>2014</w:t>
      </w:r>
      <w:r w:rsidRPr="005B11CF">
        <w:rPr>
          <w:rFonts w:hint="eastAsia"/>
        </w:rPr>
        <w:t>年之前不可得的问题，拟计算两类数据以分别用于基准回归分析与稳健性检验：一是按照</w:t>
      </w:r>
      <w:r w:rsidRPr="005B11CF">
        <w:rPr>
          <w:rFonts w:hint="eastAsia"/>
        </w:rPr>
        <w:t>Cui</w:t>
      </w:r>
      <w:r w:rsidRPr="005B11CF">
        <w:rPr>
          <w:rFonts w:hint="eastAsia"/>
        </w:rPr>
        <w:t>等（</w:t>
      </w:r>
      <w:r w:rsidRPr="005B11CF">
        <w:rPr>
          <w:rFonts w:hint="eastAsia"/>
        </w:rPr>
        <w:t>2021</w:t>
      </w:r>
      <w:r w:rsidRPr="005B11CF">
        <w:rPr>
          <w:rFonts w:hint="eastAsia"/>
        </w:rPr>
        <w:t>）的做法，在计算能源消费总量时，</w:t>
      </w:r>
      <w:r w:rsidRPr="005B11CF">
        <w:rPr>
          <w:rFonts w:hint="eastAsia"/>
        </w:rPr>
        <w:t>2014</w:t>
      </w:r>
      <w:r w:rsidRPr="005B11CF">
        <w:rPr>
          <w:rFonts w:hint="eastAsia"/>
        </w:rPr>
        <w:t>年之前不核算天然气与其他燃气消费引致的碳排放，而</w:t>
      </w:r>
      <w:r w:rsidRPr="005B11CF">
        <w:rPr>
          <w:rFonts w:hint="eastAsia"/>
        </w:rPr>
        <w:t>2014</w:t>
      </w:r>
      <w:r w:rsidRPr="005B11CF">
        <w:rPr>
          <w:rFonts w:hint="eastAsia"/>
        </w:rPr>
        <w:t>年之后则核算天然气与其他燃气消费引致的碳排放；二是仅使用电力、煤炭、成品油的消费量进行碳排放核算。另外，税调企业的电力、煤炭、成品油和天然气等各类能源消费的指标符号如表</w:t>
      </w:r>
      <w:r w:rsidRPr="005B11CF">
        <w:rPr>
          <w:rFonts w:hint="eastAsia"/>
        </w:rPr>
        <w:t>2</w:t>
      </w:r>
      <w:r w:rsidRPr="005B11CF">
        <w:rPr>
          <w:rFonts w:hint="eastAsia"/>
        </w:rPr>
        <w:t>所示。</w:t>
      </w:r>
    </w:p>
    <w:p w14:paraId="0695D01E" w14:textId="77777777" w:rsidR="00095F69" w:rsidRPr="008A63F1" w:rsidRDefault="00000000">
      <w:pPr>
        <w:spacing w:beforeLines="50" w:before="156" w:line="240" w:lineRule="auto"/>
        <w:ind w:firstLineChars="0" w:firstLine="0"/>
        <w:jc w:val="center"/>
        <w:rPr>
          <w:b/>
          <w:bCs/>
          <w:sz w:val="21"/>
          <w:szCs w:val="21"/>
        </w:rPr>
      </w:pPr>
      <w:r w:rsidRPr="008A63F1">
        <w:rPr>
          <w:rFonts w:hint="eastAsia"/>
          <w:b/>
          <w:bCs/>
          <w:sz w:val="21"/>
          <w:szCs w:val="21"/>
        </w:rPr>
        <w:t>表</w:t>
      </w:r>
      <w:r w:rsidRPr="008A63F1">
        <w:rPr>
          <w:rFonts w:hint="eastAsia"/>
          <w:b/>
          <w:bCs/>
          <w:sz w:val="21"/>
          <w:szCs w:val="21"/>
        </w:rPr>
        <w:t>1</w:t>
      </w:r>
      <w:r w:rsidRPr="008A63F1">
        <w:rPr>
          <w:b/>
          <w:bCs/>
          <w:sz w:val="21"/>
          <w:szCs w:val="21"/>
        </w:rPr>
        <w:t xml:space="preserve"> </w:t>
      </w:r>
      <w:r w:rsidRPr="008A63F1">
        <w:rPr>
          <w:rFonts w:hint="eastAsia"/>
          <w:b/>
          <w:bCs/>
          <w:sz w:val="21"/>
          <w:szCs w:val="21"/>
        </w:rPr>
        <w:t>各类能源消费的碳排放因子</w:t>
      </w:r>
    </w:p>
    <w:tbl>
      <w:tblPr>
        <w:tblW w:w="6660" w:type="dxa"/>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4336"/>
        <w:gridCol w:w="1336"/>
        <w:gridCol w:w="1036"/>
      </w:tblGrid>
      <w:tr w:rsidR="005B11CF" w:rsidRPr="006A10E8" w14:paraId="6BF6FF66" w14:textId="77777777" w:rsidTr="006A10E8">
        <w:trPr>
          <w:trHeight w:val="280"/>
          <w:jc w:val="center"/>
        </w:trPr>
        <w:tc>
          <w:tcPr>
            <w:tcW w:w="4320" w:type="dxa"/>
            <w:tcBorders>
              <w:top w:val="single" w:sz="8" w:space="0" w:color="auto"/>
              <w:bottom w:val="single" w:sz="8" w:space="0" w:color="auto"/>
            </w:tcBorders>
            <w:noWrap/>
            <w:vAlign w:val="center"/>
          </w:tcPr>
          <w:p w14:paraId="3C5DB38A" w14:textId="77777777" w:rsidR="00095F69" w:rsidRPr="006A10E8" w:rsidRDefault="00000000">
            <w:pPr>
              <w:widowControl/>
              <w:spacing w:line="240" w:lineRule="auto"/>
              <w:ind w:firstLineChars="0" w:firstLine="0"/>
              <w:rPr>
                <w:rFonts w:cs="Times New Roman"/>
                <w:kern w:val="0"/>
                <w:sz w:val="21"/>
                <w:szCs w:val="21"/>
              </w:rPr>
            </w:pPr>
            <w:r w:rsidRPr="006A10E8">
              <w:rPr>
                <w:rFonts w:cs="Times New Roman"/>
                <w:kern w:val="0"/>
                <w:sz w:val="21"/>
                <w:szCs w:val="21"/>
              </w:rPr>
              <w:lastRenderedPageBreak/>
              <w:t>能源种类</w:t>
            </w:r>
          </w:p>
        </w:tc>
        <w:tc>
          <w:tcPr>
            <w:tcW w:w="1320" w:type="dxa"/>
            <w:tcBorders>
              <w:top w:val="single" w:sz="8" w:space="0" w:color="auto"/>
              <w:bottom w:val="single" w:sz="8" w:space="0" w:color="auto"/>
            </w:tcBorders>
            <w:noWrap/>
            <w:vAlign w:val="center"/>
          </w:tcPr>
          <w:p w14:paraId="71BD8827" w14:textId="77777777" w:rsidR="00095F69" w:rsidRPr="006A10E8" w:rsidRDefault="00000000">
            <w:pPr>
              <w:widowControl/>
              <w:spacing w:line="240" w:lineRule="auto"/>
              <w:ind w:firstLineChars="0" w:firstLine="0"/>
              <w:rPr>
                <w:rFonts w:cs="Times New Roman"/>
                <w:kern w:val="0"/>
                <w:sz w:val="21"/>
                <w:szCs w:val="21"/>
              </w:rPr>
            </w:pPr>
            <w:r w:rsidRPr="006A10E8">
              <w:rPr>
                <w:rFonts w:cs="Times New Roman"/>
                <w:kern w:val="0"/>
                <w:sz w:val="21"/>
                <w:szCs w:val="21"/>
              </w:rPr>
              <w:t>单位</w:t>
            </w:r>
          </w:p>
        </w:tc>
        <w:tc>
          <w:tcPr>
            <w:tcW w:w="1020" w:type="dxa"/>
            <w:tcBorders>
              <w:top w:val="single" w:sz="8" w:space="0" w:color="auto"/>
              <w:bottom w:val="single" w:sz="8" w:space="0" w:color="auto"/>
            </w:tcBorders>
            <w:noWrap/>
            <w:vAlign w:val="center"/>
          </w:tcPr>
          <w:p w14:paraId="0F1D23E7" w14:textId="77777777" w:rsidR="00095F69" w:rsidRPr="006A10E8" w:rsidRDefault="00000000">
            <w:pPr>
              <w:widowControl/>
              <w:spacing w:line="240" w:lineRule="auto"/>
              <w:ind w:firstLineChars="0" w:firstLine="0"/>
              <w:rPr>
                <w:rFonts w:cs="Times New Roman"/>
                <w:kern w:val="0"/>
                <w:sz w:val="21"/>
                <w:szCs w:val="21"/>
              </w:rPr>
            </w:pPr>
            <w:r w:rsidRPr="006A10E8">
              <w:rPr>
                <w:rFonts w:cs="Times New Roman"/>
                <w:kern w:val="0"/>
                <w:sz w:val="21"/>
                <w:szCs w:val="21"/>
              </w:rPr>
              <w:t>折算系数</w:t>
            </w:r>
          </w:p>
        </w:tc>
      </w:tr>
      <w:tr w:rsidR="005B11CF" w:rsidRPr="006A10E8" w14:paraId="21AD8B88" w14:textId="77777777" w:rsidTr="006A10E8">
        <w:trPr>
          <w:trHeight w:val="280"/>
          <w:jc w:val="center"/>
        </w:trPr>
        <w:tc>
          <w:tcPr>
            <w:tcW w:w="4320" w:type="dxa"/>
            <w:tcBorders>
              <w:top w:val="single" w:sz="8" w:space="0" w:color="auto"/>
              <w:bottom w:val="nil"/>
            </w:tcBorders>
            <w:noWrap/>
            <w:vAlign w:val="center"/>
          </w:tcPr>
          <w:p w14:paraId="7DB0EBE1" w14:textId="77777777" w:rsidR="00095F69" w:rsidRPr="006A10E8" w:rsidRDefault="00000000" w:rsidP="006A10E8">
            <w:pPr>
              <w:widowControl/>
              <w:spacing w:line="240" w:lineRule="auto"/>
              <w:ind w:firstLine="420"/>
              <w:jc w:val="left"/>
              <w:rPr>
                <w:rFonts w:cs="Times New Roman"/>
                <w:kern w:val="0"/>
                <w:sz w:val="21"/>
                <w:szCs w:val="21"/>
              </w:rPr>
            </w:pPr>
            <w:r w:rsidRPr="006A10E8">
              <w:rPr>
                <w:rFonts w:cs="Times New Roman"/>
                <w:kern w:val="0"/>
                <w:sz w:val="21"/>
                <w:szCs w:val="21"/>
              </w:rPr>
              <w:t>煤炭</w:t>
            </w:r>
          </w:p>
        </w:tc>
        <w:tc>
          <w:tcPr>
            <w:tcW w:w="1320" w:type="dxa"/>
            <w:tcBorders>
              <w:top w:val="single" w:sz="8" w:space="0" w:color="auto"/>
              <w:bottom w:val="nil"/>
            </w:tcBorders>
            <w:noWrap/>
            <w:vAlign w:val="center"/>
          </w:tcPr>
          <w:p w14:paraId="07561273"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kgCO2/kg</w:t>
            </w:r>
          </w:p>
        </w:tc>
        <w:tc>
          <w:tcPr>
            <w:tcW w:w="1020" w:type="dxa"/>
            <w:tcBorders>
              <w:top w:val="single" w:sz="8" w:space="0" w:color="auto"/>
              <w:bottom w:val="nil"/>
            </w:tcBorders>
            <w:noWrap/>
            <w:vAlign w:val="center"/>
          </w:tcPr>
          <w:p w14:paraId="0C0E7510"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1.978</w:t>
            </w:r>
          </w:p>
        </w:tc>
      </w:tr>
      <w:tr w:rsidR="005B11CF" w:rsidRPr="006A10E8" w14:paraId="3C9D4F6C" w14:textId="77777777" w:rsidTr="006A10E8">
        <w:trPr>
          <w:trHeight w:val="280"/>
          <w:jc w:val="center"/>
        </w:trPr>
        <w:tc>
          <w:tcPr>
            <w:tcW w:w="4320" w:type="dxa"/>
            <w:tcBorders>
              <w:top w:val="nil"/>
              <w:bottom w:val="nil"/>
            </w:tcBorders>
            <w:noWrap/>
            <w:vAlign w:val="center"/>
          </w:tcPr>
          <w:p w14:paraId="19CE9409" w14:textId="77777777" w:rsidR="00095F69" w:rsidRPr="006A10E8" w:rsidRDefault="00000000" w:rsidP="006A10E8">
            <w:pPr>
              <w:widowControl/>
              <w:spacing w:line="240" w:lineRule="auto"/>
              <w:ind w:firstLine="420"/>
              <w:jc w:val="left"/>
              <w:rPr>
                <w:rFonts w:cs="Times New Roman"/>
                <w:kern w:val="0"/>
                <w:sz w:val="21"/>
                <w:szCs w:val="21"/>
              </w:rPr>
            </w:pPr>
            <w:r w:rsidRPr="006A10E8">
              <w:rPr>
                <w:rFonts w:cs="Times New Roman"/>
                <w:kern w:val="0"/>
                <w:sz w:val="21"/>
                <w:szCs w:val="21"/>
              </w:rPr>
              <w:t>油</w:t>
            </w:r>
          </w:p>
        </w:tc>
        <w:tc>
          <w:tcPr>
            <w:tcW w:w="1320" w:type="dxa"/>
            <w:tcBorders>
              <w:top w:val="nil"/>
              <w:bottom w:val="nil"/>
            </w:tcBorders>
            <w:noWrap/>
            <w:vAlign w:val="center"/>
          </w:tcPr>
          <w:p w14:paraId="2511D684"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kgCO2/kg</w:t>
            </w:r>
          </w:p>
        </w:tc>
        <w:tc>
          <w:tcPr>
            <w:tcW w:w="1020" w:type="dxa"/>
            <w:tcBorders>
              <w:top w:val="nil"/>
              <w:bottom w:val="nil"/>
            </w:tcBorders>
            <w:noWrap/>
            <w:vAlign w:val="center"/>
          </w:tcPr>
          <w:p w14:paraId="385F571A"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3.065</w:t>
            </w:r>
          </w:p>
        </w:tc>
      </w:tr>
      <w:tr w:rsidR="005B11CF" w:rsidRPr="006A10E8" w14:paraId="70A466DD" w14:textId="77777777" w:rsidTr="006A10E8">
        <w:trPr>
          <w:trHeight w:val="280"/>
          <w:jc w:val="center"/>
        </w:trPr>
        <w:tc>
          <w:tcPr>
            <w:tcW w:w="4320" w:type="dxa"/>
            <w:tcBorders>
              <w:top w:val="nil"/>
              <w:bottom w:val="single" w:sz="8" w:space="0" w:color="auto"/>
            </w:tcBorders>
            <w:noWrap/>
            <w:vAlign w:val="center"/>
          </w:tcPr>
          <w:p w14:paraId="79FCA6F1" w14:textId="77777777" w:rsidR="00095F69" w:rsidRPr="006A10E8" w:rsidRDefault="00000000" w:rsidP="006A10E8">
            <w:pPr>
              <w:widowControl/>
              <w:spacing w:line="240" w:lineRule="auto"/>
              <w:ind w:firstLine="420"/>
              <w:jc w:val="left"/>
              <w:rPr>
                <w:rFonts w:cs="Times New Roman"/>
                <w:kern w:val="0"/>
                <w:sz w:val="21"/>
                <w:szCs w:val="21"/>
              </w:rPr>
            </w:pPr>
            <w:r w:rsidRPr="006A10E8">
              <w:rPr>
                <w:rFonts w:cs="Times New Roman"/>
                <w:kern w:val="0"/>
                <w:sz w:val="21"/>
                <w:szCs w:val="21"/>
              </w:rPr>
              <w:t>天然气</w:t>
            </w:r>
          </w:p>
        </w:tc>
        <w:tc>
          <w:tcPr>
            <w:tcW w:w="1320" w:type="dxa"/>
            <w:tcBorders>
              <w:top w:val="nil"/>
              <w:bottom w:val="single" w:sz="8" w:space="0" w:color="auto"/>
            </w:tcBorders>
            <w:noWrap/>
            <w:vAlign w:val="center"/>
          </w:tcPr>
          <w:p w14:paraId="6C9D5B0B"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kgCO2/m3</w:t>
            </w:r>
          </w:p>
        </w:tc>
        <w:tc>
          <w:tcPr>
            <w:tcW w:w="1020" w:type="dxa"/>
            <w:tcBorders>
              <w:top w:val="nil"/>
              <w:bottom w:val="single" w:sz="8" w:space="0" w:color="auto"/>
            </w:tcBorders>
            <w:noWrap/>
            <w:vAlign w:val="center"/>
          </w:tcPr>
          <w:p w14:paraId="6BBA999F"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1.809</w:t>
            </w:r>
          </w:p>
        </w:tc>
      </w:tr>
      <w:tr w:rsidR="005B11CF" w:rsidRPr="006A10E8" w14:paraId="37276CFC" w14:textId="77777777" w:rsidTr="006A10E8">
        <w:trPr>
          <w:trHeight w:val="280"/>
          <w:jc w:val="center"/>
        </w:trPr>
        <w:tc>
          <w:tcPr>
            <w:tcW w:w="4320" w:type="dxa"/>
            <w:tcBorders>
              <w:top w:val="single" w:sz="8" w:space="0" w:color="auto"/>
            </w:tcBorders>
            <w:noWrap/>
            <w:vAlign w:val="center"/>
          </w:tcPr>
          <w:p w14:paraId="6E0B2119"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电力消费量</w:t>
            </w:r>
            <w:r w:rsidRPr="006A10E8">
              <w:rPr>
                <w:rFonts w:cs="Times New Roman" w:hint="eastAsia"/>
                <w:kern w:val="0"/>
                <w:sz w:val="21"/>
                <w:szCs w:val="21"/>
              </w:rPr>
              <w:t>：</w:t>
            </w:r>
          </w:p>
        </w:tc>
        <w:tc>
          <w:tcPr>
            <w:tcW w:w="1320" w:type="dxa"/>
            <w:tcBorders>
              <w:top w:val="single" w:sz="8" w:space="0" w:color="auto"/>
            </w:tcBorders>
            <w:noWrap/>
            <w:vAlign w:val="center"/>
          </w:tcPr>
          <w:p w14:paraId="3C019CD1" w14:textId="77777777" w:rsidR="00095F69" w:rsidRPr="006A10E8" w:rsidRDefault="00095F69">
            <w:pPr>
              <w:widowControl/>
              <w:spacing w:line="240" w:lineRule="auto"/>
              <w:ind w:firstLineChars="0" w:firstLine="0"/>
              <w:jc w:val="left"/>
              <w:rPr>
                <w:rFonts w:cs="Times New Roman"/>
                <w:kern w:val="0"/>
                <w:sz w:val="21"/>
                <w:szCs w:val="21"/>
              </w:rPr>
            </w:pPr>
          </w:p>
        </w:tc>
        <w:tc>
          <w:tcPr>
            <w:tcW w:w="1020" w:type="dxa"/>
            <w:tcBorders>
              <w:top w:val="single" w:sz="8" w:space="0" w:color="auto"/>
            </w:tcBorders>
            <w:noWrap/>
            <w:vAlign w:val="center"/>
          </w:tcPr>
          <w:p w14:paraId="24E9C496" w14:textId="77777777" w:rsidR="00095F69" w:rsidRPr="006A10E8" w:rsidRDefault="00095F69">
            <w:pPr>
              <w:widowControl/>
              <w:spacing w:line="240" w:lineRule="auto"/>
              <w:ind w:firstLineChars="0" w:firstLine="0"/>
              <w:jc w:val="left"/>
              <w:rPr>
                <w:rFonts w:cs="Times New Roman"/>
                <w:kern w:val="0"/>
                <w:sz w:val="21"/>
                <w:szCs w:val="21"/>
              </w:rPr>
            </w:pPr>
          </w:p>
        </w:tc>
      </w:tr>
      <w:tr w:rsidR="005B11CF" w:rsidRPr="006A10E8" w14:paraId="4941BD7C" w14:textId="77777777" w:rsidTr="006A10E8">
        <w:trPr>
          <w:trHeight w:val="253"/>
          <w:jc w:val="center"/>
        </w:trPr>
        <w:tc>
          <w:tcPr>
            <w:tcW w:w="4320" w:type="dxa"/>
            <w:noWrap/>
            <w:vAlign w:val="center"/>
          </w:tcPr>
          <w:p w14:paraId="7E8CC5C0" w14:textId="77777777" w:rsidR="00095F69" w:rsidRPr="006A10E8" w:rsidRDefault="00000000" w:rsidP="006A10E8">
            <w:pPr>
              <w:widowControl/>
              <w:spacing w:line="240" w:lineRule="auto"/>
              <w:ind w:firstLine="420"/>
              <w:jc w:val="left"/>
              <w:rPr>
                <w:rFonts w:cs="Times New Roman"/>
                <w:kern w:val="0"/>
                <w:sz w:val="21"/>
                <w:szCs w:val="21"/>
              </w:rPr>
            </w:pPr>
            <w:r w:rsidRPr="006A10E8">
              <w:rPr>
                <w:rFonts w:cs="Times New Roman"/>
                <w:kern w:val="0"/>
                <w:sz w:val="21"/>
                <w:szCs w:val="21"/>
              </w:rPr>
              <w:t>北京、天津、河北、山东、陕西、内蒙古</w:t>
            </w:r>
          </w:p>
        </w:tc>
        <w:tc>
          <w:tcPr>
            <w:tcW w:w="1320" w:type="dxa"/>
            <w:noWrap/>
            <w:vAlign w:val="center"/>
          </w:tcPr>
          <w:p w14:paraId="798B5E84"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kgCO2/kWh</w:t>
            </w:r>
          </w:p>
        </w:tc>
        <w:tc>
          <w:tcPr>
            <w:tcW w:w="1020" w:type="dxa"/>
            <w:noWrap/>
            <w:vAlign w:val="center"/>
          </w:tcPr>
          <w:p w14:paraId="72B5F33F"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0.8843</w:t>
            </w:r>
          </w:p>
        </w:tc>
      </w:tr>
      <w:tr w:rsidR="005B11CF" w:rsidRPr="006A10E8" w14:paraId="76FB7CFC" w14:textId="77777777" w:rsidTr="006A10E8">
        <w:trPr>
          <w:trHeight w:val="280"/>
          <w:jc w:val="center"/>
        </w:trPr>
        <w:tc>
          <w:tcPr>
            <w:tcW w:w="4320" w:type="dxa"/>
            <w:noWrap/>
            <w:vAlign w:val="center"/>
          </w:tcPr>
          <w:p w14:paraId="7A0F12CA" w14:textId="77777777" w:rsidR="00095F69" w:rsidRPr="006A10E8" w:rsidRDefault="00000000" w:rsidP="006A10E8">
            <w:pPr>
              <w:widowControl/>
              <w:spacing w:line="240" w:lineRule="auto"/>
              <w:ind w:firstLine="420"/>
              <w:jc w:val="left"/>
              <w:rPr>
                <w:rFonts w:cs="Times New Roman"/>
                <w:kern w:val="0"/>
                <w:sz w:val="21"/>
                <w:szCs w:val="21"/>
              </w:rPr>
            </w:pPr>
            <w:r w:rsidRPr="006A10E8">
              <w:rPr>
                <w:rFonts w:cs="Times New Roman"/>
                <w:kern w:val="0"/>
                <w:sz w:val="21"/>
                <w:szCs w:val="21"/>
              </w:rPr>
              <w:t>辽宁、吉林、黑龙江</w:t>
            </w:r>
          </w:p>
        </w:tc>
        <w:tc>
          <w:tcPr>
            <w:tcW w:w="1320" w:type="dxa"/>
            <w:noWrap/>
            <w:vAlign w:val="center"/>
          </w:tcPr>
          <w:p w14:paraId="2F50B9EF"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kgCO2/kWh</w:t>
            </w:r>
          </w:p>
        </w:tc>
        <w:tc>
          <w:tcPr>
            <w:tcW w:w="1020" w:type="dxa"/>
            <w:noWrap/>
            <w:vAlign w:val="center"/>
          </w:tcPr>
          <w:p w14:paraId="46F9C4B0"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0.7769</w:t>
            </w:r>
          </w:p>
        </w:tc>
      </w:tr>
      <w:tr w:rsidR="005B11CF" w:rsidRPr="006A10E8" w14:paraId="60F530F5" w14:textId="77777777" w:rsidTr="006A10E8">
        <w:trPr>
          <w:trHeight w:val="280"/>
          <w:jc w:val="center"/>
        </w:trPr>
        <w:tc>
          <w:tcPr>
            <w:tcW w:w="4320" w:type="dxa"/>
            <w:noWrap/>
            <w:vAlign w:val="center"/>
          </w:tcPr>
          <w:p w14:paraId="28F6C2B7" w14:textId="77777777" w:rsidR="00095F69" w:rsidRPr="006A10E8" w:rsidRDefault="00000000" w:rsidP="006A10E8">
            <w:pPr>
              <w:widowControl/>
              <w:spacing w:line="240" w:lineRule="auto"/>
              <w:ind w:firstLine="420"/>
              <w:jc w:val="left"/>
              <w:rPr>
                <w:rFonts w:cs="Times New Roman"/>
                <w:kern w:val="0"/>
                <w:sz w:val="21"/>
                <w:szCs w:val="21"/>
              </w:rPr>
            </w:pPr>
            <w:r w:rsidRPr="006A10E8">
              <w:rPr>
                <w:rFonts w:cs="Times New Roman"/>
                <w:kern w:val="0"/>
                <w:sz w:val="21"/>
                <w:szCs w:val="21"/>
              </w:rPr>
              <w:t>上海、江苏、浙江、安徽、福建</w:t>
            </w:r>
          </w:p>
        </w:tc>
        <w:tc>
          <w:tcPr>
            <w:tcW w:w="1320" w:type="dxa"/>
            <w:noWrap/>
            <w:vAlign w:val="center"/>
          </w:tcPr>
          <w:p w14:paraId="1D98A100"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kgCO2/kWh</w:t>
            </w:r>
          </w:p>
        </w:tc>
        <w:tc>
          <w:tcPr>
            <w:tcW w:w="1020" w:type="dxa"/>
            <w:noWrap/>
            <w:vAlign w:val="center"/>
          </w:tcPr>
          <w:p w14:paraId="03655186"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0.7035</w:t>
            </w:r>
          </w:p>
        </w:tc>
      </w:tr>
      <w:tr w:rsidR="005B11CF" w:rsidRPr="006A10E8" w14:paraId="76B8AFB0" w14:textId="77777777" w:rsidTr="006A10E8">
        <w:trPr>
          <w:trHeight w:val="280"/>
          <w:jc w:val="center"/>
        </w:trPr>
        <w:tc>
          <w:tcPr>
            <w:tcW w:w="4320" w:type="dxa"/>
            <w:noWrap/>
            <w:vAlign w:val="center"/>
          </w:tcPr>
          <w:p w14:paraId="39641872" w14:textId="77777777" w:rsidR="00095F69" w:rsidRPr="006A10E8" w:rsidRDefault="00000000" w:rsidP="006A10E8">
            <w:pPr>
              <w:widowControl/>
              <w:spacing w:line="240" w:lineRule="auto"/>
              <w:ind w:firstLine="420"/>
              <w:jc w:val="left"/>
              <w:rPr>
                <w:rFonts w:cs="Times New Roman"/>
                <w:kern w:val="0"/>
                <w:sz w:val="21"/>
                <w:szCs w:val="21"/>
              </w:rPr>
            </w:pPr>
            <w:r w:rsidRPr="006A10E8">
              <w:rPr>
                <w:rFonts w:cs="Times New Roman"/>
                <w:kern w:val="0"/>
                <w:sz w:val="21"/>
                <w:szCs w:val="21"/>
              </w:rPr>
              <w:t>河南、湖北、湖南、江西、重庆、四川</w:t>
            </w:r>
          </w:p>
        </w:tc>
        <w:tc>
          <w:tcPr>
            <w:tcW w:w="1320" w:type="dxa"/>
            <w:noWrap/>
            <w:vAlign w:val="center"/>
          </w:tcPr>
          <w:p w14:paraId="500AA767"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kgCO2/kWh</w:t>
            </w:r>
          </w:p>
        </w:tc>
        <w:tc>
          <w:tcPr>
            <w:tcW w:w="1020" w:type="dxa"/>
            <w:noWrap/>
            <w:vAlign w:val="center"/>
          </w:tcPr>
          <w:p w14:paraId="43C4FA07"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0.5257</w:t>
            </w:r>
          </w:p>
        </w:tc>
      </w:tr>
      <w:tr w:rsidR="005B11CF" w:rsidRPr="006A10E8" w14:paraId="283D81D6" w14:textId="77777777" w:rsidTr="006A10E8">
        <w:trPr>
          <w:trHeight w:val="280"/>
          <w:jc w:val="center"/>
        </w:trPr>
        <w:tc>
          <w:tcPr>
            <w:tcW w:w="4320" w:type="dxa"/>
            <w:noWrap/>
            <w:vAlign w:val="center"/>
          </w:tcPr>
          <w:p w14:paraId="2638E847" w14:textId="77777777" w:rsidR="00095F69" w:rsidRPr="006A10E8" w:rsidRDefault="00000000" w:rsidP="006A10E8">
            <w:pPr>
              <w:widowControl/>
              <w:spacing w:line="240" w:lineRule="auto"/>
              <w:ind w:firstLine="420"/>
              <w:jc w:val="left"/>
              <w:rPr>
                <w:rFonts w:cs="Times New Roman"/>
                <w:kern w:val="0"/>
                <w:sz w:val="21"/>
                <w:szCs w:val="21"/>
              </w:rPr>
            </w:pPr>
            <w:r w:rsidRPr="006A10E8">
              <w:rPr>
                <w:rFonts w:cs="Times New Roman"/>
                <w:kern w:val="0"/>
                <w:sz w:val="21"/>
                <w:szCs w:val="21"/>
              </w:rPr>
              <w:t>陕西、甘肃、青海、宁夏、新疆</w:t>
            </w:r>
          </w:p>
        </w:tc>
        <w:tc>
          <w:tcPr>
            <w:tcW w:w="1320" w:type="dxa"/>
            <w:noWrap/>
            <w:vAlign w:val="center"/>
          </w:tcPr>
          <w:p w14:paraId="7033B0A6"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kgCO2/kWh</w:t>
            </w:r>
          </w:p>
        </w:tc>
        <w:tc>
          <w:tcPr>
            <w:tcW w:w="1020" w:type="dxa"/>
            <w:noWrap/>
            <w:vAlign w:val="center"/>
          </w:tcPr>
          <w:p w14:paraId="0A0CCDBD"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0.6671</w:t>
            </w:r>
          </w:p>
        </w:tc>
      </w:tr>
      <w:tr w:rsidR="005B11CF" w:rsidRPr="006A10E8" w14:paraId="652E788E" w14:textId="77777777" w:rsidTr="006A10E8">
        <w:trPr>
          <w:trHeight w:val="280"/>
          <w:jc w:val="center"/>
        </w:trPr>
        <w:tc>
          <w:tcPr>
            <w:tcW w:w="4320" w:type="dxa"/>
            <w:noWrap/>
            <w:vAlign w:val="center"/>
          </w:tcPr>
          <w:p w14:paraId="5AAAAEBB" w14:textId="77777777" w:rsidR="00095F69" w:rsidRPr="006A10E8" w:rsidRDefault="00000000" w:rsidP="006A10E8">
            <w:pPr>
              <w:widowControl/>
              <w:spacing w:line="240" w:lineRule="auto"/>
              <w:ind w:firstLine="420"/>
              <w:jc w:val="left"/>
              <w:rPr>
                <w:rFonts w:cs="Times New Roman"/>
                <w:kern w:val="0"/>
                <w:sz w:val="21"/>
                <w:szCs w:val="21"/>
              </w:rPr>
            </w:pPr>
            <w:r w:rsidRPr="006A10E8">
              <w:rPr>
                <w:rFonts w:cs="Times New Roman"/>
                <w:kern w:val="0"/>
                <w:sz w:val="21"/>
                <w:szCs w:val="21"/>
              </w:rPr>
              <w:t>广东、广西、云南、贵州、海南</w:t>
            </w:r>
          </w:p>
        </w:tc>
        <w:tc>
          <w:tcPr>
            <w:tcW w:w="1320" w:type="dxa"/>
            <w:noWrap/>
            <w:vAlign w:val="center"/>
          </w:tcPr>
          <w:p w14:paraId="60FE1A6B" w14:textId="77777777" w:rsidR="00095F69" w:rsidRPr="006A10E8" w:rsidRDefault="00000000">
            <w:pPr>
              <w:widowControl/>
              <w:spacing w:line="240" w:lineRule="auto"/>
              <w:ind w:firstLineChars="0" w:firstLine="0"/>
              <w:jc w:val="left"/>
              <w:rPr>
                <w:rFonts w:cs="Times New Roman"/>
                <w:kern w:val="0"/>
                <w:sz w:val="21"/>
                <w:szCs w:val="21"/>
              </w:rPr>
            </w:pPr>
            <w:r w:rsidRPr="006A10E8">
              <w:rPr>
                <w:rFonts w:cs="Times New Roman"/>
                <w:kern w:val="0"/>
                <w:sz w:val="21"/>
                <w:szCs w:val="21"/>
              </w:rPr>
              <w:t>kgCO2/kWh</w:t>
            </w:r>
          </w:p>
        </w:tc>
        <w:tc>
          <w:tcPr>
            <w:tcW w:w="1020" w:type="dxa"/>
            <w:noWrap/>
            <w:vAlign w:val="center"/>
          </w:tcPr>
          <w:p w14:paraId="0F485696" w14:textId="77777777" w:rsidR="00095F69" w:rsidRPr="006A10E8" w:rsidRDefault="00000000">
            <w:pPr>
              <w:widowControl/>
              <w:spacing w:line="240" w:lineRule="auto"/>
              <w:ind w:firstLineChars="0" w:firstLine="0"/>
              <w:jc w:val="left"/>
              <w:rPr>
                <w:rFonts w:cs="Times New Roman"/>
                <w:kern w:val="0"/>
                <w:sz w:val="21"/>
                <w:szCs w:val="21"/>
              </w:rPr>
            </w:pPr>
            <w:commentRangeStart w:id="0"/>
            <w:r w:rsidRPr="006A10E8">
              <w:rPr>
                <w:rFonts w:cs="Times New Roman"/>
                <w:kern w:val="0"/>
                <w:sz w:val="21"/>
                <w:szCs w:val="21"/>
              </w:rPr>
              <w:t>0.5271</w:t>
            </w:r>
            <w:commentRangeEnd w:id="0"/>
            <w:r w:rsidR="008F3671" w:rsidRPr="006A10E8">
              <w:rPr>
                <w:rStyle w:val="a8"/>
              </w:rPr>
              <w:commentReference w:id="0"/>
            </w:r>
          </w:p>
        </w:tc>
      </w:tr>
    </w:tbl>
    <w:p w14:paraId="42D3C50A" w14:textId="77777777" w:rsidR="00095F69" w:rsidRPr="000E5A2E" w:rsidRDefault="00000000">
      <w:pPr>
        <w:spacing w:afterLines="50" w:after="156" w:line="240" w:lineRule="auto"/>
        <w:ind w:firstLineChars="500" w:firstLine="1050"/>
        <w:rPr>
          <w:sz w:val="21"/>
          <w:szCs w:val="21"/>
        </w:rPr>
      </w:pPr>
      <w:r w:rsidRPr="000E5A2E">
        <w:rPr>
          <w:rFonts w:hint="eastAsia"/>
          <w:sz w:val="21"/>
          <w:szCs w:val="21"/>
        </w:rPr>
        <w:t>数据来源：</w:t>
      </w:r>
      <w:r w:rsidRPr="000E5A2E">
        <w:rPr>
          <w:rFonts w:hint="eastAsia"/>
          <w:sz w:val="21"/>
          <w:szCs w:val="21"/>
        </w:rPr>
        <w:t>C</w:t>
      </w:r>
      <w:r w:rsidRPr="000E5A2E">
        <w:rPr>
          <w:sz w:val="21"/>
          <w:szCs w:val="21"/>
        </w:rPr>
        <w:t>ui</w:t>
      </w:r>
      <w:r w:rsidRPr="000E5A2E">
        <w:rPr>
          <w:rFonts w:hint="eastAsia"/>
          <w:sz w:val="21"/>
          <w:szCs w:val="21"/>
        </w:rPr>
        <w:t>等（</w:t>
      </w:r>
      <w:r w:rsidRPr="000E5A2E">
        <w:rPr>
          <w:sz w:val="21"/>
          <w:szCs w:val="21"/>
        </w:rPr>
        <w:t>2021</w:t>
      </w:r>
      <w:r w:rsidRPr="000E5A2E">
        <w:rPr>
          <w:rFonts w:hint="eastAsia"/>
          <w:sz w:val="21"/>
          <w:szCs w:val="21"/>
        </w:rPr>
        <w:t>）</w:t>
      </w:r>
    </w:p>
    <w:p w14:paraId="603D90C0" w14:textId="77777777" w:rsidR="00095F69" w:rsidRPr="006908F3" w:rsidRDefault="00000000">
      <w:pPr>
        <w:spacing w:beforeLines="50" w:before="156" w:afterLines="50" w:after="156"/>
        <w:ind w:firstLineChars="0" w:firstLine="0"/>
        <w:rPr>
          <w:b/>
          <w:bCs/>
          <w:szCs w:val="24"/>
        </w:rPr>
      </w:pPr>
      <w:commentRangeStart w:id="1"/>
      <w:r w:rsidRPr="006908F3">
        <w:rPr>
          <w:rFonts w:hint="eastAsia"/>
          <w:b/>
          <w:bCs/>
          <w:szCs w:val="24"/>
        </w:rPr>
        <w:t>（二）系数折算法（改进版）</w:t>
      </w:r>
      <w:commentRangeEnd w:id="1"/>
      <w:r w:rsidR="0061657B" w:rsidRPr="006908F3">
        <w:rPr>
          <w:b/>
          <w:bCs/>
          <w:szCs w:val="24"/>
        </w:rPr>
        <w:commentReference w:id="1"/>
      </w:r>
    </w:p>
    <w:p w14:paraId="34E6F01E" w14:textId="77777777" w:rsidR="00234EBD" w:rsidRDefault="00000000" w:rsidP="002A5674">
      <w:pPr>
        <w:wordWrap w:val="0"/>
        <w:ind w:firstLine="482"/>
      </w:pPr>
      <w:r w:rsidRPr="0034487B">
        <w:rPr>
          <w:rFonts w:hint="eastAsia"/>
          <w:b/>
          <w:bCs/>
        </w:rPr>
        <w:t>Cui</w:t>
      </w:r>
      <w:r w:rsidRPr="0034487B">
        <w:rPr>
          <w:rFonts w:hint="eastAsia"/>
          <w:b/>
          <w:bCs/>
        </w:rPr>
        <w:t>等（</w:t>
      </w:r>
      <w:r w:rsidRPr="0034487B">
        <w:rPr>
          <w:rFonts w:hint="eastAsia"/>
          <w:b/>
          <w:bCs/>
        </w:rPr>
        <w:t>2021</w:t>
      </w:r>
      <w:r w:rsidRPr="0034487B">
        <w:rPr>
          <w:rFonts w:hint="eastAsia"/>
          <w:b/>
          <w:bCs/>
        </w:rPr>
        <w:t>）未能有效考虑碳排放的行业异质性问题。</w:t>
      </w:r>
      <w:r w:rsidR="00D7737B" w:rsidRPr="00D7737B">
        <w:rPr>
          <w:rFonts w:hint="eastAsia"/>
        </w:rPr>
        <w:t>我们</w:t>
      </w:r>
      <w:r w:rsidR="002A5674">
        <w:rPr>
          <w:rFonts w:hint="eastAsia"/>
        </w:rPr>
        <w:t>基于</w:t>
      </w:r>
      <w:r w:rsidR="00D7737B" w:rsidRPr="00D7737B">
        <w:rPr>
          <w:rFonts w:hint="eastAsia"/>
        </w:rPr>
        <w:t>历年中国能源统计年鉴公布的“工业分行业终端能源消费量（标准量）</w:t>
      </w:r>
      <w:r w:rsidR="00D7737B" w:rsidRPr="00D7737B">
        <w:rPr>
          <w:rFonts w:hint="eastAsia"/>
        </w:rPr>
        <w:t>-</w:t>
      </w:r>
      <w:r w:rsidR="00D7737B" w:rsidRPr="00D7737B">
        <w:rPr>
          <w:rFonts w:hint="eastAsia"/>
        </w:rPr>
        <w:t>年份”和“全国能源平衡表（标准量）</w:t>
      </w:r>
      <w:r w:rsidR="00D7737B" w:rsidRPr="00D7737B">
        <w:rPr>
          <w:rFonts w:hint="eastAsia"/>
        </w:rPr>
        <w:t>-</w:t>
      </w:r>
      <w:r w:rsidR="00D7737B" w:rsidRPr="00D7737B">
        <w:rPr>
          <w:rFonts w:hint="eastAsia"/>
        </w:rPr>
        <w:t>年份”</w:t>
      </w:r>
      <w:r w:rsidR="002A5674" w:rsidRPr="006C68DA">
        <w:rPr>
          <w:rFonts w:hint="eastAsia"/>
          <w:b/>
          <w:bCs/>
        </w:rPr>
        <w:t>分年度分行业</w:t>
      </w:r>
      <w:r w:rsidR="002A5674">
        <w:rPr>
          <w:rFonts w:hint="eastAsia"/>
          <w:b/>
          <w:bCs/>
        </w:rPr>
        <w:t>折算</w:t>
      </w:r>
      <w:r w:rsidR="002A5674" w:rsidRPr="006C68DA">
        <w:rPr>
          <w:rFonts w:hint="eastAsia"/>
          <w:b/>
          <w:bCs/>
        </w:rPr>
        <w:t>碳排放因子</w:t>
      </w:r>
      <w:r w:rsidR="001546E4">
        <w:rPr>
          <w:rFonts w:hint="eastAsia"/>
          <w:b/>
          <w:bCs/>
        </w:rPr>
        <w:t>（具体请见附件：</w:t>
      </w:r>
      <w:r w:rsidR="001546E4" w:rsidRPr="001546E4">
        <w:rPr>
          <w:rFonts w:hint="eastAsia"/>
          <w:b/>
          <w:bCs/>
        </w:rPr>
        <w:t>碳排放因子折算</w:t>
      </w:r>
      <w:r w:rsidR="001546E4">
        <w:rPr>
          <w:rFonts w:hint="eastAsia"/>
          <w:b/>
          <w:bCs/>
        </w:rPr>
        <w:t>）</w:t>
      </w:r>
      <w:r w:rsidR="00D7737B" w:rsidRPr="00D7737B">
        <w:rPr>
          <w:rFonts w:hint="eastAsia"/>
        </w:rPr>
        <w:t>。</w:t>
      </w:r>
      <w:r w:rsidR="00D7737B">
        <w:rPr>
          <w:rFonts w:hint="eastAsia"/>
        </w:rPr>
        <w:t>我们以制造业中纺织业为例，</w:t>
      </w:r>
      <w:r w:rsidR="003478EA">
        <w:rPr>
          <w:rFonts w:hint="eastAsia"/>
        </w:rPr>
        <w:t>对应</w:t>
      </w:r>
      <w:r w:rsidR="003478EA">
        <w:rPr>
          <w:rFonts w:hint="eastAsia"/>
        </w:rPr>
        <w:t>2</w:t>
      </w:r>
      <w:r w:rsidR="003478EA">
        <w:rPr>
          <w:rFonts w:hint="eastAsia"/>
        </w:rPr>
        <w:t>位码行业，</w:t>
      </w:r>
      <w:r w:rsidR="00D7737B">
        <w:rPr>
          <w:rFonts w:hint="eastAsia"/>
        </w:rPr>
        <w:t>具体折算步骤如下：</w:t>
      </w:r>
    </w:p>
    <w:p w14:paraId="1A967BA1" w14:textId="7316A016" w:rsidR="00D7737B" w:rsidRDefault="00D7737B" w:rsidP="00D7737B">
      <w:pPr>
        <w:ind w:firstLine="480"/>
      </w:pPr>
      <w:r w:rsidRPr="00D7737B">
        <w:rPr>
          <w:rFonts w:hint="eastAsia"/>
        </w:rPr>
        <w:t>首先，我们从</w:t>
      </w:r>
      <w:r w:rsidR="005F34C5">
        <w:rPr>
          <w:rFonts w:hint="eastAsia"/>
        </w:rPr>
        <w:t>中国能源统计年鉴中</w:t>
      </w:r>
      <w:r w:rsidRPr="00D7737B">
        <w:rPr>
          <w:rFonts w:hint="eastAsia"/>
        </w:rPr>
        <w:t>获取纺织业不同品类能源的终端消费量。其中，终端消费量是指行业直接消费的能源扣除用于加工转换二次能源的消费量和损失量以后的数量</w:t>
      </w:r>
      <w:r>
        <w:rPr>
          <w:rFonts w:hint="eastAsia"/>
        </w:rPr>
        <w:t>，直接消费的能源是指行业中用于燃料、动力和原材料的能源。</w:t>
      </w:r>
      <w:r w:rsidRPr="007E63BC">
        <w:rPr>
          <w:rFonts w:hint="eastAsia"/>
          <w:b/>
          <w:bCs/>
        </w:rPr>
        <w:t>需要指出的是</w:t>
      </w:r>
      <w:r>
        <w:rPr>
          <w:rFonts w:hint="eastAsia"/>
        </w:rPr>
        <w:t>，尽管能源统计年鉴给出了细致的</w:t>
      </w:r>
      <w:r w:rsidR="00F326B9">
        <w:rPr>
          <w:rFonts w:hint="eastAsia"/>
        </w:rPr>
        <w:t>多品类的能源消费情况，但</w:t>
      </w:r>
      <w:r>
        <w:rPr>
          <w:rFonts w:hint="eastAsia"/>
        </w:rPr>
        <w:t>与税调数据库的能源消费核算相比，</w:t>
      </w:r>
      <w:r w:rsidRPr="007E63BC">
        <w:rPr>
          <w:rFonts w:hint="eastAsia"/>
          <w:b/>
          <w:bCs/>
        </w:rPr>
        <w:t>能源统计年鉴给出的能源消费量多出了用于原材料的能源消费量部分</w:t>
      </w:r>
      <w:r>
        <w:rPr>
          <w:rFonts w:hint="eastAsia"/>
        </w:rPr>
        <w:t>。</w:t>
      </w:r>
      <w:r w:rsidR="007E63BC">
        <w:rPr>
          <w:rFonts w:hint="eastAsia"/>
        </w:rPr>
        <w:t>2</w:t>
      </w:r>
      <w:r w:rsidR="007E63BC">
        <w:t>020</w:t>
      </w:r>
      <w:r w:rsidR="007E63BC">
        <w:rPr>
          <w:rFonts w:hint="eastAsia"/>
        </w:rPr>
        <w:t>年纺织业终端能源消费量如表</w:t>
      </w:r>
      <w:r w:rsidR="00D352FF">
        <w:t>2</w:t>
      </w:r>
      <w:r w:rsidR="007E63BC">
        <w:rPr>
          <w:rFonts w:hint="eastAsia"/>
        </w:rPr>
        <w:t>所示</w:t>
      </w:r>
      <w:r w:rsidR="00AE5DBD">
        <w:rPr>
          <w:rFonts w:hint="eastAsia"/>
        </w:rPr>
        <w:t>，经过计算原煤的加权值为</w:t>
      </w:r>
      <w:r w:rsidR="00AE5DBD">
        <w:rPr>
          <w:rFonts w:hint="eastAsia"/>
        </w:rPr>
        <w:t>1</w:t>
      </w:r>
      <w:r w:rsidR="00AE5DBD">
        <w:t>74.82/(</w:t>
      </w:r>
      <w:r w:rsidR="00AE5DBD">
        <w:rPr>
          <w:rFonts w:hint="eastAsia"/>
        </w:rPr>
        <w:t>1</w:t>
      </w:r>
      <w:r w:rsidR="00AE5DBD">
        <w:t>74.82+3.93+3.82)</w:t>
      </w:r>
      <w:r w:rsidR="00AE5DBD">
        <w:rPr>
          <w:rFonts w:hint="eastAsia"/>
        </w:rPr>
        <w:t>，煤的碳排放因子为</w:t>
      </w:r>
      <w:r w:rsidR="00AE5DBD">
        <w:rPr>
          <w:rFonts w:hint="eastAsia"/>
        </w:rPr>
        <w:t>1</w:t>
      </w:r>
      <w:r w:rsidR="00AE5DBD">
        <w:t>.927</w:t>
      </w:r>
      <w:r w:rsidR="00AE5DBD">
        <w:rPr>
          <w:rFonts w:hint="eastAsia"/>
        </w:rPr>
        <w:t>（崔的结果为</w:t>
      </w:r>
      <w:r w:rsidR="00AE5DBD">
        <w:rPr>
          <w:rFonts w:hint="eastAsia"/>
        </w:rPr>
        <w:t>1</w:t>
      </w:r>
      <w:r w:rsidR="00AE5DBD">
        <w:t>.978</w:t>
      </w:r>
      <w:r w:rsidR="00AE5DBD">
        <w:rPr>
          <w:rFonts w:hint="eastAsia"/>
        </w:rPr>
        <w:t>）。同理，油的碳排放因子计算结果为</w:t>
      </w:r>
      <w:r w:rsidR="00AE5DBD">
        <w:rPr>
          <w:rFonts w:hint="eastAsia"/>
        </w:rPr>
        <w:t>3</w:t>
      </w:r>
      <w:r w:rsidR="00AE5DBD">
        <w:t>.0381</w:t>
      </w:r>
      <w:r w:rsidR="00AE5DBD">
        <w:rPr>
          <w:rFonts w:hint="eastAsia"/>
        </w:rPr>
        <w:t>（崔的结果为</w:t>
      </w:r>
      <w:r w:rsidR="00AE5DBD" w:rsidRPr="00AE5DBD">
        <w:t>3.065</w:t>
      </w:r>
      <w:r w:rsidR="00AE5DBD">
        <w:rPr>
          <w:rFonts w:hint="eastAsia"/>
        </w:rPr>
        <w:t>）。</w:t>
      </w:r>
    </w:p>
    <w:p w14:paraId="1A1182F7" w14:textId="0C15915B" w:rsidR="007E63BC" w:rsidRPr="00D352FF" w:rsidRDefault="007E63BC" w:rsidP="007E63BC">
      <w:pPr>
        <w:ind w:firstLineChars="0" w:firstLine="0"/>
        <w:jc w:val="center"/>
        <w:rPr>
          <w:b/>
          <w:bCs/>
          <w:sz w:val="21"/>
          <w:szCs w:val="21"/>
        </w:rPr>
      </w:pPr>
      <w:r w:rsidRPr="00D352FF">
        <w:rPr>
          <w:rFonts w:hint="eastAsia"/>
          <w:b/>
          <w:bCs/>
          <w:sz w:val="21"/>
          <w:szCs w:val="21"/>
        </w:rPr>
        <w:t>表</w:t>
      </w:r>
      <w:r w:rsidR="00D352FF" w:rsidRPr="00D352FF">
        <w:rPr>
          <w:b/>
          <w:bCs/>
          <w:sz w:val="21"/>
          <w:szCs w:val="21"/>
        </w:rPr>
        <w:t>2</w:t>
      </w:r>
      <w:r w:rsidRPr="00D352FF">
        <w:rPr>
          <w:b/>
          <w:bCs/>
          <w:sz w:val="21"/>
          <w:szCs w:val="21"/>
        </w:rPr>
        <w:t xml:space="preserve"> 2020</w:t>
      </w:r>
      <w:r w:rsidRPr="00D352FF">
        <w:rPr>
          <w:rFonts w:hint="eastAsia"/>
          <w:b/>
          <w:bCs/>
          <w:sz w:val="21"/>
          <w:szCs w:val="21"/>
        </w:rPr>
        <w:t>年纺织业终端能源消费情况</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006"/>
        <w:gridCol w:w="2105"/>
        <w:gridCol w:w="1653"/>
        <w:gridCol w:w="2148"/>
        <w:gridCol w:w="1394"/>
      </w:tblGrid>
      <w:tr w:rsidR="00A571FF" w:rsidRPr="00D352FF" w14:paraId="50448284" w14:textId="77777777" w:rsidTr="00B93BB4">
        <w:trPr>
          <w:trHeight w:val="280"/>
          <w:jc w:val="center"/>
        </w:trPr>
        <w:tc>
          <w:tcPr>
            <w:tcW w:w="606" w:type="pct"/>
            <w:tcBorders>
              <w:bottom w:val="single" w:sz="8" w:space="0" w:color="auto"/>
            </w:tcBorders>
            <w:noWrap/>
            <w:vAlign w:val="center"/>
            <w:hideMark/>
          </w:tcPr>
          <w:p w14:paraId="2CDA0F67"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能源种类</w:t>
            </w:r>
          </w:p>
        </w:tc>
        <w:tc>
          <w:tcPr>
            <w:tcW w:w="1267" w:type="pct"/>
            <w:tcBorders>
              <w:bottom w:val="single" w:sz="8" w:space="0" w:color="auto"/>
            </w:tcBorders>
            <w:noWrap/>
            <w:vAlign w:val="center"/>
            <w:hideMark/>
          </w:tcPr>
          <w:p w14:paraId="448DBBCF"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能源消费量</w:t>
            </w:r>
            <w:r w:rsidRPr="00D352FF">
              <w:rPr>
                <w:rFonts w:cs="Times New Roman"/>
                <w:color w:val="000000"/>
                <w:kern w:val="0"/>
                <w:sz w:val="21"/>
                <w:szCs w:val="21"/>
              </w:rPr>
              <w:t>(</w:t>
            </w:r>
            <w:r w:rsidRPr="00D352FF">
              <w:rPr>
                <w:rFonts w:cs="Times New Roman"/>
                <w:color w:val="000000"/>
                <w:kern w:val="0"/>
                <w:sz w:val="21"/>
                <w:szCs w:val="21"/>
              </w:rPr>
              <w:t>吨标准煤</w:t>
            </w:r>
            <w:r w:rsidRPr="00D352FF">
              <w:rPr>
                <w:rFonts w:cs="Times New Roman"/>
                <w:color w:val="000000"/>
                <w:kern w:val="0"/>
                <w:sz w:val="21"/>
                <w:szCs w:val="21"/>
              </w:rPr>
              <w:t>)</w:t>
            </w:r>
          </w:p>
        </w:tc>
        <w:tc>
          <w:tcPr>
            <w:tcW w:w="995" w:type="pct"/>
            <w:tcBorders>
              <w:bottom w:val="single" w:sz="8" w:space="0" w:color="auto"/>
            </w:tcBorders>
            <w:noWrap/>
            <w:vAlign w:val="center"/>
            <w:hideMark/>
          </w:tcPr>
          <w:p w14:paraId="0C6AC26E"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低位发热量</w:t>
            </w:r>
            <w:r w:rsidRPr="00D352FF">
              <w:rPr>
                <w:rFonts w:cs="Times New Roman"/>
                <w:color w:val="000000"/>
                <w:kern w:val="0"/>
                <w:sz w:val="21"/>
                <w:szCs w:val="21"/>
              </w:rPr>
              <w:t>(GJ/t)</w:t>
            </w:r>
          </w:p>
        </w:tc>
        <w:tc>
          <w:tcPr>
            <w:tcW w:w="1293" w:type="pct"/>
            <w:tcBorders>
              <w:bottom w:val="single" w:sz="8" w:space="0" w:color="auto"/>
            </w:tcBorders>
            <w:noWrap/>
            <w:vAlign w:val="center"/>
            <w:hideMark/>
          </w:tcPr>
          <w:p w14:paraId="76B19B59"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单位热值含碳量</w:t>
            </w:r>
            <w:r w:rsidRPr="00D352FF">
              <w:rPr>
                <w:rFonts w:cs="Times New Roman"/>
                <w:color w:val="000000"/>
                <w:kern w:val="0"/>
                <w:sz w:val="21"/>
                <w:szCs w:val="21"/>
              </w:rPr>
              <w:t>(tC/TJ)</w:t>
            </w:r>
          </w:p>
        </w:tc>
        <w:tc>
          <w:tcPr>
            <w:tcW w:w="839" w:type="pct"/>
            <w:tcBorders>
              <w:bottom w:val="single" w:sz="8" w:space="0" w:color="auto"/>
            </w:tcBorders>
            <w:noWrap/>
            <w:vAlign w:val="center"/>
            <w:hideMark/>
          </w:tcPr>
          <w:p w14:paraId="16A197AD"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燃料碳氧化率</w:t>
            </w:r>
          </w:p>
        </w:tc>
      </w:tr>
      <w:tr w:rsidR="00A571FF" w:rsidRPr="00D352FF" w14:paraId="07E9E263" w14:textId="77777777" w:rsidTr="00B93BB4">
        <w:trPr>
          <w:trHeight w:val="280"/>
          <w:jc w:val="center"/>
        </w:trPr>
        <w:tc>
          <w:tcPr>
            <w:tcW w:w="606" w:type="pct"/>
            <w:tcBorders>
              <w:top w:val="single" w:sz="8" w:space="0" w:color="auto"/>
              <w:bottom w:val="nil"/>
            </w:tcBorders>
            <w:noWrap/>
            <w:vAlign w:val="center"/>
            <w:hideMark/>
          </w:tcPr>
          <w:p w14:paraId="6F4FE468" w14:textId="77777777" w:rsidR="00A571FF" w:rsidRPr="00D352FF" w:rsidRDefault="00A571FF" w:rsidP="00A571FF">
            <w:pPr>
              <w:widowControl/>
              <w:spacing w:line="240" w:lineRule="auto"/>
              <w:ind w:firstLineChars="0" w:firstLine="0"/>
              <w:jc w:val="center"/>
              <w:rPr>
                <w:rFonts w:cs="Times New Roman"/>
                <w:b/>
                <w:bCs/>
                <w:color w:val="000000"/>
                <w:kern w:val="0"/>
                <w:sz w:val="21"/>
                <w:szCs w:val="21"/>
              </w:rPr>
            </w:pPr>
            <w:r w:rsidRPr="00D352FF">
              <w:rPr>
                <w:rFonts w:cs="Times New Roman"/>
                <w:b/>
                <w:bCs/>
                <w:color w:val="000000"/>
                <w:kern w:val="0"/>
                <w:sz w:val="21"/>
                <w:szCs w:val="21"/>
              </w:rPr>
              <w:t>煤合计</w:t>
            </w:r>
          </w:p>
        </w:tc>
        <w:tc>
          <w:tcPr>
            <w:tcW w:w="1267" w:type="pct"/>
            <w:tcBorders>
              <w:top w:val="single" w:sz="8" w:space="0" w:color="auto"/>
              <w:bottom w:val="nil"/>
            </w:tcBorders>
            <w:noWrap/>
            <w:vAlign w:val="center"/>
            <w:hideMark/>
          </w:tcPr>
          <w:p w14:paraId="66FA5D8B" w14:textId="77777777" w:rsidR="00A571FF" w:rsidRPr="00D352FF" w:rsidRDefault="00A571FF" w:rsidP="00A571FF">
            <w:pPr>
              <w:widowControl/>
              <w:spacing w:line="240" w:lineRule="auto"/>
              <w:ind w:firstLineChars="0" w:firstLine="0"/>
              <w:jc w:val="center"/>
              <w:rPr>
                <w:rFonts w:cs="Times New Roman"/>
                <w:b/>
                <w:bCs/>
                <w:color w:val="000000"/>
                <w:kern w:val="0"/>
                <w:sz w:val="21"/>
                <w:szCs w:val="21"/>
              </w:rPr>
            </w:pPr>
            <w:r w:rsidRPr="00D352FF">
              <w:rPr>
                <w:rFonts w:cs="Times New Roman"/>
                <w:b/>
                <w:bCs/>
                <w:color w:val="000000"/>
                <w:kern w:val="0"/>
                <w:sz w:val="21"/>
                <w:szCs w:val="21"/>
              </w:rPr>
              <w:t>207.58</w:t>
            </w:r>
          </w:p>
        </w:tc>
        <w:tc>
          <w:tcPr>
            <w:tcW w:w="995" w:type="pct"/>
            <w:tcBorders>
              <w:top w:val="single" w:sz="8" w:space="0" w:color="auto"/>
              <w:bottom w:val="nil"/>
            </w:tcBorders>
            <w:noWrap/>
            <w:vAlign w:val="center"/>
            <w:hideMark/>
          </w:tcPr>
          <w:p w14:paraId="2DE38FC3" w14:textId="77777777" w:rsidR="00A571FF" w:rsidRPr="00D352FF" w:rsidRDefault="00A571FF" w:rsidP="00A571FF">
            <w:pPr>
              <w:widowControl/>
              <w:spacing w:line="240" w:lineRule="auto"/>
              <w:ind w:firstLineChars="0" w:firstLine="0"/>
              <w:jc w:val="center"/>
              <w:rPr>
                <w:rFonts w:cs="Times New Roman"/>
                <w:b/>
                <w:bCs/>
                <w:color w:val="000000"/>
                <w:kern w:val="0"/>
                <w:sz w:val="21"/>
                <w:szCs w:val="21"/>
              </w:rPr>
            </w:pPr>
          </w:p>
        </w:tc>
        <w:tc>
          <w:tcPr>
            <w:tcW w:w="1293" w:type="pct"/>
            <w:tcBorders>
              <w:top w:val="single" w:sz="8" w:space="0" w:color="auto"/>
              <w:bottom w:val="nil"/>
            </w:tcBorders>
            <w:noWrap/>
            <w:vAlign w:val="center"/>
            <w:hideMark/>
          </w:tcPr>
          <w:p w14:paraId="0E0F05C2" w14:textId="77777777" w:rsidR="00A571FF" w:rsidRPr="00D352FF" w:rsidRDefault="00A571FF" w:rsidP="00A571FF">
            <w:pPr>
              <w:widowControl/>
              <w:spacing w:line="240" w:lineRule="auto"/>
              <w:ind w:firstLineChars="0" w:firstLine="0"/>
              <w:jc w:val="center"/>
              <w:rPr>
                <w:rFonts w:cs="Times New Roman"/>
                <w:kern w:val="0"/>
                <w:sz w:val="21"/>
                <w:szCs w:val="21"/>
              </w:rPr>
            </w:pPr>
          </w:p>
        </w:tc>
        <w:tc>
          <w:tcPr>
            <w:tcW w:w="839" w:type="pct"/>
            <w:tcBorders>
              <w:top w:val="single" w:sz="8" w:space="0" w:color="auto"/>
              <w:bottom w:val="nil"/>
            </w:tcBorders>
            <w:noWrap/>
            <w:vAlign w:val="center"/>
            <w:hideMark/>
          </w:tcPr>
          <w:p w14:paraId="715C95C0" w14:textId="77777777" w:rsidR="00A571FF" w:rsidRPr="00D352FF" w:rsidRDefault="00A571FF" w:rsidP="00A571FF">
            <w:pPr>
              <w:widowControl/>
              <w:spacing w:line="240" w:lineRule="auto"/>
              <w:ind w:firstLineChars="0" w:firstLine="0"/>
              <w:jc w:val="center"/>
              <w:rPr>
                <w:rFonts w:cs="Times New Roman"/>
                <w:kern w:val="0"/>
                <w:sz w:val="21"/>
                <w:szCs w:val="21"/>
              </w:rPr>
            </w:pPr>
          </w:p>
        </w:tc>
      </w:tr>
      <w:tr w:rsidR="00A571FF" w:rsidRPr="00D352FF" w14:paraId="26EF9277" w14:textId="77777777" w:rsidTr="00B93BB4">
        <w:trPr>
          <w:trHeight w:val="280"/>
          <w:jc w:val="center"/>
        </w:trPr>
        <w:tc>
          <w:tcPr>
            <w:tcW w:w="606" w:type="pct"/>
            <w:tcBorders>
              <w:top w:val="nil"/>
              <w:bottom w:val="nil"/>
            </w:tcBorders>
            <w:noWrap/>
            <w:vAlign w:val="center"/>
            <w:hideMark/>
          </w:tcPr>
          <w:p w14:paraId="329E985A"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原煤</w:t>
            </w:r>
          </w:p>
        </w:tc>
        <w:tc>
          <w:tcPr>
            <w:tcW w:w="1267" w:type="pct"/>
            <w:tcBorders>
              <w:top w:val="nil"/>
              <w:bottom w:val="nil"/>
            </w:tcBorders>
            <w:noWrap/>
            <w:vAlign w:val="center"/>
            <w:hideMark/>
          </w:tcPr>
          <w:p w14:paraId="09478ADE"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174.82</w:t>
            </w:r>
          </w:p>
        </w:tc>
        <w:tc>
          <w:tcPr>
            <w:tcW w:w="995" w:type="pct"/>
            <w:tcBorders>
              <w:top w:val="nil"/>
              <w:bottom w:val="nil"/>
            </w:tcBorders>
            <w:noWrap/>
            <w:vAlign w:val="center"/>
            <w:hideMark/>
          </w:tcPr>
          <w:p w14:paraId="18A715C8"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20.908</w:t>
            </w:r>
          </w:p>
        </w:tc>
        <w:tc>
          <w:tcPr>
            <w:tcW w:w="1293" w:type="pct"/>
            <w:tcBorders>
              <w:top w:val="nil"/>
              <w:bottom w:val="nil"/>
            </w:tcBorders>
            <w:noWrap/>
            <w:vAlign w:val="center"/>
            <w:hideMark/>
          </w:tcPr>
          <w:p w14:paraId="5CFB56CC"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26.37</w:t>
            </w:r>
          </w:p>
        </w:tc>
        <w:tc>
          <w:tcPr>
            <w:tcW w:w="839" w:type="pct"/>
            <w:tcBorders>
              <w:top w:val="nil"/>
              <w:bottom w:val="nil"/>
            </w:tcBorders>
            <w:noWrap/>
            <w:vAlign w:val="center"/>
            <w:hideMark/>
          </w:tcPr>
          <w:p w14:paraId="313DB257"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0.94</w:t>
            </w:r>
          </w:p>
        </w:tc>
      </w:tr>
      <w:tr w:rsidR="00A571FF" w:rsidRPr="00D352FF" w14:paraId="26CCC2BB" w14:textId="77777777" w:rsidTr="00B93BB4">
        <w:trPr>
          <w:trHeight w:val="280"/>
          <w:jc w:val="center"/>
        </w:trPr>
        <w:tc>
          <w:tcPr>
            <w:tcW w:w="606" w:type="pct"/>
            <w:tcBorders>
              <w:top w:val="nil"/>
              <w:bottom w:val="nil"/>
            </w:tcBorders>
            <w:noWrap/>
            <w:vAlign w:val="center"/>
            <w:hideMark/>
          </w:tcPr>
          <w:p w14:paraId="4FD2B76C"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洗精煤</w:t>
            </w:r>
          </w:p>
        </w:tc>
        <w:tc>
          <w:tcPr>
            <w:tcW w:w="1267" w:type="pct"/>
            <w:tcBorders>
              <w:top w:val="nil"/>
              <w:bottom w:val="nil"/>
            </w:tcBorders>
            <w:noWrap/>
            <w:vAlign w:val="center"/>
            <w:hideMark/>
          </w:tcPr>
          <w:p w14:paraId="61D37C0E"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3.93</w:t>
            </w:r>
          </w:p>
        </w:tc>
        <w:tc>
          <w:tcPr>
            <w:tcW w:w="995" w:type="pct"/>
            <w:tcBorders>
              <w:top w:val="nil"/>
              <w:bottom w:val="nil"/>
            </w:tcBorders>
            <w:noWrap/>
            <w:vAlign w:val="center"/>
            <w:hideMark/>
          </w:tcPr>
          <w:p w14:paraId="094B0C6A"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26.344</w:t>
            </w:r>
          </w:p>
        </w:tc>
        <w:tc>
          <w:tcPr>
            <w:tcW w:w="1293" w:type="pct"/>
            <w:tcBorders>
              <w:top w:val="nil"/>
              <w:bottom w:val="nil"/>
            </w:tcBorders>
            <w:noWrap/>
            <w:vAlign w:val="center"/>
            <w:hideMark/>
          </w:tcPr>
          <w:p w14:paraId="1F28047E"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25.4</w:t>
            </w:r>
          </w:p>
        </w:tc>
        <w:tc>
          <w:tcPr>
            <w:tcW w:w="839" w:type="pct"/>
            <w:tcBorders>
              <w:top w:val="nil"/>
              <w:bottom w:val="nil"/>
            </w:tcBorders>
            <w:noWrap/>
            <w:vAlign w:val="center"/>
            <w:hideMark/>
          </w:tcPr>
          <w:p w14:paraId="5D412246"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0.9</w:t>
            </w:r>
          </w:p>
        </w:tc>
      </w:tr>
      <w:tr w:rsidR="00A571FF" w:rsidRPr="00D352FF" w14:paraId="60944C0C" w14:textId="77777777" w:rsidTr="00B93BB4">
        <w:trPr>
          <w:trHeight w:val="280"/>
          <w:jc w:val="center"/>
        </w:trPr>
        <w:tc>
          <w:tcPr>
            <w:tcW w:w="606" w:type="pct"/>
            <w:tcBorders>
              <w:top w:val="nil"/>
              <w:bottom w:val="single" w:sz="8" w:space="0" w:color="auto"/>
            </w:tcBorders>
            <w:noWrap/>
            <w:vAlign w:val="center"/>
            <w:hideMark/>
          </w:tcPr>
          <w:p w14:paraId="1857379C"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焦炭</w:t>
            </w:r>
          </w:p>
        </w:tc>
        <w:tc>
          <w:tcPr>
            <w:tcW w:w="1267" w:type="pct"/>
            <w:tcBorders>
              <w:top w:val="nil"/>
              <w:bottom w:val="single" w:sz="8" w:space="0" w:color="auto"/>
            </w:tcBorders>
            <w:noWrap/>
            <w:vAlign w:val="center"/>
            <w:hideMark/>
          </w:tcPr>
          <w:p w14:paraId="64FD0D92"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3.82</w:t>
            </w:r>
          </w:p>
        </w:tc>
        <w:tc>
          <w:tcPr>
            <w:tcW w:w="995" w:type="pct"/>
            <w:tcBorders>
              <w:top w:val="nil"/>
              <w:bottom w:val="single" w:sz="8" w:space="0" w:color="auto"/>
            </w:tcBorders>
            <w:noWrap/>
            <w:vAlign w:val="center"/>
            <w:hideMark/>
          </w:tcPr>
          <w:p w14:paraId="5AFE9931"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28.447</w:t>
            </w:r>
          </w:p>
        </w:tc>
        <w:tc>
          <w:tcPr>
            <w:tcW w:w="1293" w:type="pct"/>
            <w:tcBorders>
              <w:top w:val="nil"/>
              <w:bottom w:val="single" w:sz="8" w:space="0" w:color="auto"/>
            </w:tcBorders>
            <w:noWrap/>
            <w:vAlign w:val="center"/>
            <w:hideMark/>
          </w:tcPr>
          <w:p w14:paraId="7447D001"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29.5</w:t>
            </w:r>
          </w:p>
        </w:tc>
        <w:tc>
          <w:tcPr>
            <w:tcW w:w="839" w:type="pct"/>
            <w:tcBorders>
              <w:top w:val="nil"/>
              <w:bottom w:val="single" w:sz="8" w:space="0" w:color="auto"/>
            </w:tcBorders>
            <w:noWrap/>
            <w:vAlign w:val="center"/>
            <w:hideMark/>
          </w:tcPr>
          <w:p w14:paraId="0203A317"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0.93</w:t>
            </w:r>
          </w:p>
        </w:tc>
      </w:tr>
      <w:tr w:rsidR="00A571FF" w:rsidRPr="00D352FF" w14:paraId="5D204CBA" w14:textId="77777777" w:rsidTr="00B93BB4">
        <w:trPr>
          <w:trHeight w:val="280"/>
          <w:jc w:val="center"/>
        </w:trPr>
        <w:tc>
          <w:tcPr>
            <w:tcW w:w="606" w:type="pct"/>
            <w:tcBorders>
              <w:top w:val="single" w:sz="8" w:space="0" w:color="auto"/>
            </w:tcBorders>
            <w:noWrap/>
            <w:vAlign w:val="center"/>
            <w:hideMark/>
          </w:tcPr>
          <w:p w14:paraId="34364606" w14:textId="77777777" w:rsidR="00A571FF" w:rsidRPr="00D352FF" w:rsidRDefault="00A571FF" w:rsidP="00A571FF">
            <w:pPr>
              <w:widowControl/>
              <w:spacing w:line="240" w:lineRule="auto"/>
              <w:ind w:firstLineChars="0" w:firstLine="0"/>
              <w:jc w:val="center"/>
              <w:rPr>
                <w:rFonts w:cs="Times New Roman"/>
                <w:b/>
                <w:bCs/>
                <w:color w:val="000000"/>
                <w:kern w:val="0"/>
                <w:sz w:val="21"/>
                <w:szCs w:val="21"/>
              </w:rPr>
            </w:pPr>
            <w:r w:rsidRPr="00D352FF">
              <w:rPr>
                <w:rFonts w:cs="Times New Roman"/>
                <w:b/>
                <w:bCs/>
                <w:color w:val="000000"/>
                <w:kern w:val="0"/>
                <w:sz w:val="21"/>
                <w:szCs w:val="21"/>
              </w:rPr>
              <w:t>油合计</w:t>
            </w:r>
          </w:p>
        </w:tc>
        <w:tc>
          <w:tcPr>
            <w:tcW w:w="1267" w:type="pct"/>
            <w:tcBorders>
              <w:top w:val="single" w:sz="8" w:space="0" w:color="auto"/>
            </w:tcBorders>
            <w:noWrap/>
            <w:vAlign w:val="center"/>
            <w:hideMark/>
          </w:tcPr>
          <w:p w14:paraId="2129209C" w14:textId="77777777" w:rsidR="00A571FF" w:rsidRPr="00D352FF" w:rsidRDefault="00A571FF" w:rsidP="00A571FF">
            <w:pPr>
              <w:widowControl/>
              <w:spacing w:line="240" w:lineRule="auto"/>
              <w:ind w:firstLineChars="0" w:firstLine="0"/>
              <w:jc w:val="center"/>
              <w:rPr>
                <w:rFonts w:cs="Times New Roman"/>
                <w:b/>
                <w:bCs/>
                <w:color w:val="000000"/>
                <w:kern w:val="0"/>
                <w:sz w:val="21"/>
                <w:szCs w:val="21"/>
              </w:rPr>
            </w:pPr>
            <w:r w:rsidRPr="00D352FF">
              <w:rPr>
                <w:rFonts w:cs="Times New Roman"/>
                <w:b/>
                <w:bCs/>
                <w:color w:val="000000"/>
                <w:kern w:val="0"/>
                <w:sz w:val="21"/>
                <w:szCs w:val="21"/>
              </w:rPr>
              <w:t>17.34</w:t>
            </w:r>
          </w:p>
        </w:tc>
        <w:tc>
          <w:tcPr>
            <w:tcW w:w="995" w:type="pct"/>
            <w:tcBorders>
              <w:top w:val="single" w:sz="8" w:space="0" w:color="auto"/>
            </w:tcBorders>
            <w:noWrap/>
            <w:vAlign w:val="center"/>
            <w:hideMark/>
          </w:tcPr>
          <w:p w14:paraId="41D4BEA3" w14:textId="77777777" w:rsidR="00A571FF" w:rsidRPr="00D352FF" w:rsidRDefault="00A571FF" w:rsidP="00A571FF">
            <w:pPr>
              <w:widowControl/>
              <w:spacing w:line="240" w:lineRule="auto"/>
              <w:ind w:firstLineChars="0" w:firstLine="0"/>
              <w:jc w:val="center"/>
              <w:rPr>
                <w:rFonts w:cs="Times New Roman"/>
                <w:b/>
                <w:bCs/>
                <w:color w:val="000000"/>
                <w:kern w:val="0"/>
                <w:sz w:val="21"/>
                <w:szCs w:val="21"/>
              </w:rPr>
            </w:pPr>
          </w:p>
        </w:tc>
        <w:tc>
          <w:tcPr>
            <w:tcW w:w="1293" w:type="pct"/>
            <w:tcBorders>
              <w:top w:val="single" w:sz="8" w:space="0" w:color="auto"/>
            </w:tcBorders>
            <w:noWrap/>
            <w:vAlign w:val="center"/>
            <w:hideMark/>
          </w:tcPr>
          <w:p w14:paraId="19A25560" w14:textId="77777777" w:rsidR="00A571FF" w:rsidRPr="00D352FF" w:rsidRDefault="00A571FF" w:rsidP="00A571FF">
            <w:pPr>
              <w:widowControl/>
              <w:spacing w:line="240" w:lineRule="auto"/>
              <w:ind w:firstLineChars="0" w:firstLine="0"/>
              <w:jc w:val="center"/>
              <w:rPr>
                <w:rFonts w:cs="Times New Roman"/>
                <w:kern w:val="0"/>
                <w:sz w:val="21"/>
                <w:szCs w:val="21"/>
              </w:rPr>
            </w:pPr>
          </w:p>
        </w:tc>
        <w:tc>
          <w:tcPr>
            <w:tcW w:w="839" w:type="pct"/>
            <w:tcBorders>
              <w:top w:val="single" w:sz="8" w:space="0" w:color="auto"/>
            </w:tcBorders>
            <w:noWrap/>
            <w:vAlign w:val="center"/>
            <w:hideMark/>
          </w:tcPr>
          <w:p w14:paraId="03B1F568" w14:textId="77777777" w:rsidR="00A571FF" w:rsidRPr="00D352FF" w:rsidRDefault="00A571FF" w:rsidP="00A571FF">
            <w:pPr>
              <w:widowControl/>
              <w:spacing w:line="240" w:lineRule="auto"/>
              <w:ind w:firstLineChars="0" w:firstLine="0"/>
              <w:jc w:val="center"/>
              <w:rPr>
                <w:rFonts w:cs="Times New Roman"/>
                <w:kern w:val="0"/>
                <w:sz w:val="21"/>
                <w:szCs w:val="21"/>
              </w:rPr>
            </w:pPr>
          </w:p>
        </w:tc>
      </w:tr>
      <w:tr w:rsidR="00A571FF" w:rsidRPr="00D352FF" w14:paraId="0A46ADCB" w14:textId="77777777" w:rsidTr="00B93BB4">
        <w:trPr>
          <w:trHeight w:val="280"/>
          <w:jc w:val="center"/>
        </w:trPr>
        <w:tc>
          <w:tcPr>
            <w:tcW w:w="606" w:type="pct"/>
            <w:noWrap/>
            <w:vAlign w:val="center"/>
            <w:hideMark/>
          </w:tcPr>
          <w:p w14:paraId="3B2C7362"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汽油</w:t>
            </w:r>
          </w:p>
        </w:tc>
        <w:tc>
          <w:tcPr>
            <w:tcW w:w="1267" w:type="pct"/>
            <w:noWrap/>
            <w:vAlign w:val="center"/>
            <w:hideMark/>
          </w:tcPr>
          <w:p w14:paraId="33533B16"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4.81</w:t>
            </w:r>
          </w:p>
        </w:tc>
        <w:tc>
          <w:tcPr>
            <w:tcW w:w="995" w:type="pct"/>
            <w:noWrap/>
            <w:vAlign w:val="center"/>
            <w:hideMark/>
          </w:tcPr>
          <w:p w14:paraId="1B0E9595"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43.07</w:t>
            </w:r>
          </w:p>
        </w:tc>
        <w:tc>
          <w:tcPr>
            <w:tcW w:w="1293" w:type="pct"/>
            <w:noWrap/>
            <w:vAlign w:val="center"/>
            <w:hideMark/>
          </w:tcPr>
          <w:p w14:paraId="198D3FC3"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18.9</w:t>
            </w:r>
          </w:p>
        </w:tc>
        <w:tc>
          <w:tcPr>
            <w:tcW w:w="839" w:type="pct"/>
            <w:noWrap/>
            <w:vAlign w:val="center"/>
            <w:hideMark/>
          </w:tcPr>
          <w:p w14:paraId="5AD3CC04"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0.98</w:t>
            </w:r>
          </w:p>
        </w:tc>
      </w:tr>
      <w:tr w:rsidR="00A571FF" w:rsidRPr="00D352FF" w14:paraId="6518756F" w14:textId="77777777" w:rsidTr="00B93BB4">
        <w:trPr>
          <w:trHeight w:val="280"/>
          <w:jc w:val="center"/>
        </w:trPr>
        <w:tc>
          <w:tcPr>
            <w:tcW w:w="606" w:type="pct"/>
            <w:noWrap/>
            <w:vAlign w:val="center"/>
            <w:hideMark/>
          </w:tcPr>
          <w:p w14:paraId="5485ED48"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煤油</w:t>
            </w:r>
          </w:p>
        </w:tc>
        <w:tc>
          <w:tcPr>
            <w:tcW w:w="1267" w:type="pct"/>
            <w:noWrap/>
            <w:vAlign w:val="center"/>
            <w:hideMark/>
          </w:tcPr>
          <w:p w14:paraId="30ECC743"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0.02</w:t>
            </w:r>
          </w:p>
        </w:tc>
        <w:tc>
          <w:tcPr>
            <w:tcW w:w="995" w:type="pct"/>
            <w:noWrap/>
            <w:vAlign w:val="center"/>
            <w:hideMark/>
          </w:tcPr>
          <w:p w14:paraId="06A52298"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44.75</w:t>
            </w:r>
          </w:p>
        </w:tc>
        <w:tc>
          <w:tcPr>
            <w:tcW w:w="1293" w:type="pct"/>
            <w:noWrap/>
            <w:vAlign w:val="center"/>
            <w:hideMark/>
          </w:tcPr>
          <w:p w14:paraId="082CDF1D"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19.6</w:t>
            </w:r>
          </w:p>
        </w:tc>
        <w:tc>
          <w:tcPr>
            <w:tcW w:w="839" w:type="pct"/>
            <w:noWrap/>
            <w:vAlign w:val="center"/>
            <w:hideMark/>
          </w:tcPr>
          <w:p w14:paraId="3C78105C"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0.98</w:t>
            </w:r>
          </w:p>
        </w:tc>
      </w:tr>
      <w:tr w:rsidR="00A571FF" w:rsidRPr="00D352FF" w14:paraId="26A3DE6B" w14:textId="77777777" w:rsidTr="00B93BB4">
        <w:trPr>
          <w:trHeight w:val="280"/>
          <w:jc w:val="center"/>
        </w:trPr>
        <w:tc>
          <w:tcPr>
            <w:tcW w:w="606" w:type="pct"/>
            <w:noWrap/>
            <w:vAlign w:val="center"/>
            <w:hideMark/>
          </w:tcPr>
          <w:p w14:paraId="765DFF42"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柴油</w:t>
            </w:r>
          </w:p>
        </w:tc>
        <w:tc>
          <w:tcPr>
            <w:tcW w:w="1267" w:type="pct"/>
            <w:noWrap/>
            <w:vAlign w:val="center"/>
            <w:hideMark/>
          </w:tcPr>
          <w:p w14:paraId="0F168250"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5.54</w:t>
            </w:r>
          </w:p>
        </w:tc>
        <w:tc>
          <w:tcPr>
            <w:tcW w:w="995" w:type="pct"/>
            <w:noWrap/>
            <w:vAlign w:val="center"/>
            <w:hideMark/>
          </w:tcPr>
          <w:p w14:paraId="6D91E9F0"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42.652</w:t>
            </w:r>
          </w:p>
        </w:tc>
        <w:tc>
          <w:tcPr>
            <w:tcW w:w="1293" w:type="pct"/>
            <w:noWrap/>
            <w:vAlign w:val="center"/>
            <w:hideMark/>
          </w:tcPr>
          <w:p w14:paraId="11C882D8"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20.2</w:t>
            </w:r>
          </w:p>
        </w:tc>
        <w:tc>
          <w:tcPr>
            <w:tcW w:w="839" w:type="pct"/>
            <w:noWrap/>
            <w:vAlign w:val="center"/>
            <w:hideMark/>
          </w:tcPr>
          <w:p w14:paraId="54504640"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0.98</w:t>
            </w:r>
          </w:p>
        </w:tc>
      </w:tr>
      <w:tr w:rsidR="00A571FF" w:rsidRPr="00D352FF" w14:paraId="7E547FEA" w14:textId="77777777" w:rsidTr="00B93BB4">
        <w:trPr>
          <w:trHeight w:val="280"/>
          <w:jc w:val="center"/>
        </w:trPr>
        <w:tc>
          <w:tcPr>
            <w:tcW w:w="606" w:type="pct"/>
            <w:noWrap/>
            <w:vAlign w:val="center"/>
            <w:hideMark/>
          </w:tcPr>
          <w:p w14:paraId="77986830"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燃料油</w:t>
            </w:r>
          </w:p>
        </w:tc>
        <w:tc>
          <w:tcPr>
            <w:tcW w:w="1267" w:type="pct"/>
            <w:noWrap/>
            <w:vAlign w:val="center"/>
            <w:hideMark/>
          </w:tcPr>
          <w:p w14:paraId="2CE1F7EB"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1.67</w:t>
            </w:r>
          </w:p>
        </w:tc>
        <w:tc>
          <w:tcPr>
            <w:tcW w:w="995" w:type="pct"/>
            <w:noWrap/>
            <w:vAlign w:val="center"/>
            <w:hideMark/>
          </w:tcPr>
          <w:p w14:paraId="73F0BD39"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41.816</w:t>
            </w:r>
          </w:p>
        </w:tc>
        <w:tc>
          <w:tcPr>
            <w:tcW w:w="1293" w:type="pct"/>
            <w:noWrap/>
            <w:vAlign w:val="center"/>
            <w:hideMark/>
          </w:tcPr>
          <w:p w14:paraId="75981F27"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21.1</w:t>
            </w:r>
          </w:p>
        </w:tc>
        <w:tc>
          <w:tcPr>
            <w:tcW w:w="839" w:type="pct"/>
            <w:noWrap/>
            <w:vAlign w:val="center"/>
            <w:hideMark/>
          </w:tcPr>
          <w:p w14:paraId="67F0074A"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0.98</w:t>
            </w:r>
          </w:p>
        </w:tc>
      </w:tr>
      <w:tr w:rsidR="00A571FF" w:rsidRPr="00D352FF" w14:paraId="300EF87B" w14:textId="77777777" w:rsidTr="00B93BB4">
        <w:trPr>
          <w:trHeight w:val="280"/>
          <w:jc w:val="center"/>
        </w:trPr>
        <w:tc>
          <w:tcPr>
            <w:tcW w:w="606" w:type="pct"/>
            <w:tcBorders>
              <w:bottom w:val="nil"/>
            </w:tcBorders>
            <w:noWrap/>
            <w:vAlign w:val="center"/>
            <w:hideMark/>
          </w:tcPr>
          <w:p w14:paraId="0ABC32A4"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润滑油</w:t>
            </w:r>
          </w:p>
        </w:tc>
        <w:tc>
          <w:tcPr>
            <w:tcW w:w="1267" w:type="pct"/>
            <w:tcBorders>
              <w:bottom w:val="nil"/>
            </w:tcBorders>
            <w:noWrap/>
            <w:vAlign w:val="center"/>
            <w:hideMark/>
          </w:tcPr>
          <w:p w14:paraId="70EF7027"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0.15</w:t>
            </w:r>
          </w:p>
        </w:tc>
        <w:tc>
          <w:tcPr>
            <w:tcW w:w="995" w:type="pct"/>
            <w:tcBorders>
              <w:bottom w:val="nil"/>
            </w:tcBorders>
            <w:noWrap/>
            <w:vAlign w:val="center"/>
            <w:hideMark/>
          </w:tcPr>
          <w:p w14:paraId="2CAE7950"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p>
        </w:tc>
        <w:tc>
          <w:tcPr>
            <w:tcW w:w="1293" w:type="pct"/>
            <w:tcBorders>
              <w:bottom w:val="nil"/>
            </w:tcBorders>
            <w:noWrap/>
            <w:vAlign w:val="center"/>
            <w:hideMark/>
          </w:tcPr>
          <w:p w14:paraId="3C70B054" w14:textId="77777777" w:rsidR="00A571FF" w:rsidRPr="00D352FF" w:rsidRDefault="00A571FF" w:rsidP="00A571FF">
            <w:pPr>
              <w:widowControl/>
              <w:spacing w:line="240" w:lineRule="auto"/>
              <w:ind w:firstLineChars="0" w:firstLine="0"/>
              <w:jc w:val="center"/>
              <w:rPr>
                <w:rFonts w:cs="Times New Roman"/>
                <w:kern w:val="0"/>
                <w:sz w:val="21"/>
                <w:szCs w:val="21"/>
              </w:rPr>
            </w:pPr>
          </w:p>
        </w:tc>
        <w:tc>
          <w:tcPr>
            <w:tcW w:w="839" w:type="pct"/>
            <w:tcBorders>
              <w:bottom w:val="nil"/>
            </w:tcBorders>
            <w:noWrap/>
            <w:vAlign w:val="center"/>
            <w:hideMark/>
          </w:tcPr>
          <w:p w14:paraId="4A295E2E" w14:textId="77777777" w:rsidR="00A571FF" w:rsidRPr="00D352FF" w:rsidRDefault="00A571FF" w:rsidP="00A571FF">
            <w:pPr>
              <w:widowControl/>
              <w:spacing w:line="240" w:lineRule="auto"/>
              <w:ind w:firstLineChars="0" w:firstLine="0"/>
              <w:jc w:val="center"/>
              <w:rPr>
                <w:rFonts w:cs="Times New Roman"/>
                <w:kern w:val="0"/>
                <w:sz w:val="21"/>
                <w:szCs w:val="21"/>
              </w:rPr>
            </w:pPr>
          </w:p>
        </w:tc>
      </w:tr>
      <w:tr w:rsidR="00A571FF" w:rsidRPr="00D352FF" w14:paraId="505766E2" w14:textId="77777777" w:rsidTr="00B93BB4">
        <w:trPr>
          <w:trHeight w:val="280"/>
          <w:jc w:val="center"/>
        </w:trPr>
        <w:tc>
          <w:tcPr>
            <w:tcW w:w="606" w:type="pct"/>
            <w:tcBorders>
              <w:top w:val="nil"/>
              <w:bottom w:val="single" w:sz="8" w:space="0" w:color="auto"/>
            </w:tcBorders>
            <w:noWrap/>
            <w:vAlign w:val="center"/>
            <w:hideMark/>
          </w:tcPr>
          <w:p w14:paraId="495F647E"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石油沥青</w:t>
            </w:r>
          </w:p>
        </w:tc>
        <w:tc>
          <w:tcPr>
            <w:tcW w:w="1267" w:type="pct"/>
            <w:tcBorders>
              <w:top w:val="nil"/>
              <w:bottom w:val="single" w:sz="8" w:space="0" w:color="auto"/>
            </w:tcBorders>
            <w:noWrap/>
            <w:vAlign w:val="center"/>
            <w:hideMark/>
          </w:tcPr>
          <w:p w14:paraId="6B9F1F7F"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r w:rsidRPr="00D352FF">
              <w:rPr>
                <w:rFonts w:cs="Times New Roman"/>
                <w:color w:val="000000"/>
                <w:kern w:val="0"/>
                <w:sz w:val="21"/>
                <w:szCs w:val="21"/>
              </w:rPr>
              <w:t>2.06</w:t>
            </w:r>
          </w:p>
        </w:tc>
        <w:tc>
          <w:tcPr>
            <w:tcW w:w="995" w:type="pct"/>
            <w:tcBorders>
              <w:top w:val="nil"/>
              <w:bottom w:val="single" w:sz="8" w:space="0" w:color="auto"/>
            </w:tcBorders>
            <w:noWrap/>
            <w:vAlign w:val="center"/>
            <w:hideMark/>
          </w:tcPr>
          <w:p w14:paraId="5288304A" w14:textId="77777777" w:rsidR="00A571FF" w:rsidRPr="00D352FF" w:rsidRDefault="00A571FF" w:rsidP="00A571FF">
            <w:pPr>
              <w:widowControl/>
              <w:spacing w:line="240" w:lineRule="auto"/>
              <w:ind w:firstLineChars="0" w:firstLine="0"/>
              <w:jc w:val="center"/>
              <w:rPr>
                <w:rFonts w:cs="Times New Roman"/>
                <w:color w:val="000000"/>
                <w:kern w:val="0"/>
                <w:sz w:val="21"/>
                <w:szCs w:val="21"/>
              </w:rPr>
            </w:pPr>
          </w:p>
        </w:tc>
        <w:tc>
          <w:tcPr>
            <w:tcW w:w="1293" w:type="pct"/>
            <w:tcBorders>
              <w:top w:val="nil"/>
              <w:bottom w:val="single" w:sz="8" w:space="0" w:color="auto"/>
            </w:tcBorders>
            <w:noWrap/>
            <w:vAlign w:val="center"/>
            <w:hideMark/>
          </w:tcPr>
          <w:p w14:paraId="4DB1691D" w14:textId="77777777" w:rsidR="00A571FF" w:rsidRPr="00D352FF" w:rsidRDefault="00A571FF" w:rsidP="00A571FF">
            <w:pPr>
              <w:widowControl/>
              <w:spacing w:line="240" w:lineRule="auto"/>
              <w:ind w:firstLineChars="0" w:firstLine="0"/>
              <w:jc w:val="center"/>
              <w:rPr>
                <w:rFonts w:cs="Times New Roman"/>
                <w:kern w:val="0"/>
                <w:sz w:val="21"/>
                <w:szCs w:val="21"/>
              </w:rPr>
            </w:pPr>
          </w:p>
        </w:tc>
        <w:tc>
          <w:tcPr>
            <w:tcW w:w="839" w:type="pct"/>
            <w:tcBorders>
              <w:top w:val="nil"/>
              <w:bottom w:val="single" w:sz="8" w:space="0" w:color="auto"/>
            </w:tcBorders>
            <w:noWrap/>
            <w:vAlign w:val="center"/>
            <w:hideMark/>
          </w:tcPr>
          <w:p w14:paraId="2A1A5C65" w14:textId="77777777" w:rsidR="00A571FF" w:rsidRPr="00D352FF" w:rsidRDefault="00A571FF" w:rsidP="00A571FF">
            <w:pPr>
              <w:widowControl/>
              <w:spacing w:line="240" w:lineRule="auto"/>
              <w:ind w:firstLineChars="0" w:firstLine="0"/>
              <w:jc w:val="center"/>
              <w:rPr>
                <w:rFonts w:cs="Times New Roman"/>
                <w:kern w:val="0"/>
                <w:sz w:val="21"/>
                <w:szCs w:val="21"/>
              </w:rPr>
            </w:pPr>
          </w:p>
        </w:tc>
      </w:tr>
      <w:tr w:rsidR="00A571FF" w:rsidRPr="00D352FF" w14:paraId="242D1A00" w14:textId="77777777" w:rsidTr="00B93BB4">
        <w:trPr>
          <w:trHeight w:val="280"/>
          <w:jc w:val="center"/>
        </w:trPr>
        <w:tc>
          <w:tcPr>
            <w:tcW w:w="606" w:type="pct"/>
            <w:tcBorders>
              <w:top w:val="single" w:sz="8" w:space="0" w:color="auto"/>
            </w:tcBorders>
            <w:noWrap/>
            <w:vAlign w:val="center"/>
            <w:hideMark/>
          </w:tcPr>
          <w:p w14:paraId="4412BDEC" w14:textId="77777777" w:rsidR="00A571FF" w:rsidRPr="00D352FF" w:rsidRDefault="00A571FF" w:rsidP="00A571FF">
            <w:pPr>
              <w:widowControl/>
              <w:spacing w:line="240" w:lineRule="auto"/>
              <w:ind w:firstLineChars="0" w:firstLine="0"/>
              <w:jc w:val="center"/>
              <w:rPr>
                <w:rFonts w:cs="Times New Roman"/>
                <w:b/>
                <w:bCs/>
                <w:color w:val="000000"/>
                <w:kern w:val="0"/>
                <w:sz w:val="21"/>
                <w:szCs w:val="21"/>
              </w:rPr>
            </w:pPr>
            <w:r w:rsidRPr="00D352FF">
              <w:rPr>
                <w:rFonts w:cs="Times New Roman"/>
                <w:b/>
                <w:bCs/>
                <w:color w:val="000000"/>
                <w:kern w:val="0"/>
                <w:sz w:val="21"/>
                <w:szCs w:val="21"/>
              </w:rPr>
              <w:t>天然气</w:t>
            </w:r>
          </w:p>
        </w:tc>
        <w:tc>
          <w:tcPr>
            <w:tcW w:w="1267" w:type="pct"/>
            <w:tcBorders>
              <w:top w:val="single" w:sz="8" w:space="0" w:color="auto"/>
            </w:tcBorders>
            <w:noWrap/>
            <w:vAlign w:val="center"/>
            <w:hideMark/>
          </w:tcPr>
          <w:p w14:paraId="1E0CEE10" w14:textId="77777777" w:rsidR="00A571FF" w:rsidRPr="00D352FF" w:rsidRDefault="00A571FF" w:rsidP="00A571FF">
            <w:pPr>
              <w:widowControl/>
              <w:spacing w:line="240" w:lineRule="auto"/>
              <w:ind w:firstLineChars="0" w:firstLine="0"/>
              <w:jc w:val="center"/>
              <w:rPr>
                <w:rFonts w:cs="Times New Roman"/>
                <w:b/>
                <w:bCs/>
                <w:color w:val="000000"/>
                <w:kern w:val="0"/>
                <w:sz w:val="21"/>
                <w:szCs w:val="21"/>
              </w:rPr>
            </w:pPr>
            <w:r w:rsidRPr="00D352FF">
              <w:rPr>
                <w:rFonts w:cs="Times New Roman"/>
                <w:b/>
                <w:bCs/>
                <w:color w:val="000000"/>
                <w:kern w:val="0"/>
                <w:sz w:val="21"/>
                <w:szCs w:val="21"/>
              </w:rPr>
              <w:t>202.85</w:t>
            </w:r>
          </w:p>
        </w:tc>
        <w:tc>
          <w:tcPr>
            <w:tcW w:w="995" w:type="pct"/>
            <w:tcBorders>
              <w:top w:val="single" w:sz="8" w:space="0" w:color="auto"/>
            </w:tcBorders>
            <w:noWrap/>
            <w:vAlign w:val="center"/>
            <w:hideMark/>
          </w:tcPr>
          <w:p w14:paraId="7115A1CB" w14:textId="77777777" w:rsidR="00A571FF" w:rsidRPr="00D352FF" w:rsidRDefault="00D33343" w:rsidP="00A571FF">
            <w:pPr>
              <w:widowControl/>
              <w:spacing w:line="240" w:lineRule="auto"/>
              <w:ind w:firstLineChars="0" w:firstLine="0"/>
              <w:jc w:val="center"/>
              <w:rPr>
                <w:rFonts w:cs="Times New Roman"/>
                <w:b/>
                <w:bCs/>
                <w:color w:val="000000"/>
                <w:kern w:val="0"/>
                <w:sz w:val="21"/>
                <w:szCs w:val="21"/>
              </w:rPr>
            </w:pPr>
            <w:r w:rsidRPr="00D352FF">
              <w:rPr>
                <w:rFonts w:cs="Times New Roman" w:hint="eastAsia"/>
                <w:b/>
                <w:bCs/>
                <w:color w:val="000000"/>
                <w:kern w:val="0"/>
                <w:sz w:val="21"/>
                <w:szCs w:val="21"/>
              </w:rPr>
              <w:t>3</w:t>
            </w:r>
            <w:r w:rsidRPr="00D352FF">
              <w:rPr>
                <w:rFonts w:cs="Times New Roman"/>
                <w:b/>
                <w:bCs/>
                <w:color w:val="000000"/>
                <w:kern w:val="0"/>
                <w:sz w:val="21"/>
                <w:szCs w:val="21"/>
              </w:rPr>
              <w:t>89.31</w:t>
            </w:r>
          </w:p>
        </w:tc>
        <w:tc>
          <w:tcPr>
            <w:tcW w:w="1293" w:type="pct"/>
            <w:tcBorders>
              <w:top w:val="single" w:sz="8" w:space="0" w:color="auto"/>
            </w:tcBorders>
            <w:noWrap/>
            <w:vAlign w:val="center"/>
            <w:hideMark/>
          </w:tcPr>
          <w:p w14:paraId="65ECDB9C" w14:textId="77777777" w:rsidR="00A571FF" w:rsidRPr="00D352FF" w:rsidRDefault="00D33343" w:rsidP="00A571FF">
            <w:pPr>
              <w:widowControl/>
              <w:spacing w:line="240" w:lineRule="auto"/>
              <w:ind w:firstLineChars="0" w:firstLine="0"/>
              <w:jc w:val="center"/>
              <w:rPr>
                <w:rFonts w:cs="Times New Roman"/>
                <w:kern w:val="0"/>
                <w:sz w:val="21"/>
                <w:szCs w:val="21"/>
              </w:rPr>
            </w:pPr>
            <w:r w:rsidRPr="00D352FF">
              <w:rPr>
                <w:rFonts w:cs="Times New Roman" w:hint="eastAsia"/>
                <w:kern w:val="0"/>
                <w:sz w:val="21"/>
                <w:szCs w:val="21"/>
              </w:rPr>
              <w:t>1</w:t>
            </w:r>
            <w:r w:rsidRPr="00D352FF">
              <w:rPr>
                <w:rFonts w:cs="Times New Roman"/>
                <w:kern w:val="0"/>
                <w:sz w:val="21"/>
                <w:szCs w:val="21"/>
              </w:rPr>
              <w:t>5.3</w:t>
            </w:r>
          </w:p>
        </w:tc>
        <w:tc>
          <w:tcPr>
            <w:tcW w:w="839" w:type="pct"/>
            <w:tcBorders>
              <w:top w:val="single" w:sz="8" w:space="0" w:color="auto"/>
            </w:tcBorders>
            <w:noWrap/>
            <w:vAlign w:val="center"/>
            <w:hideMark/>
          </w:tcPr>
          <w:p w14:paraId="4AB1DB0B" w14:textId="77777777" w:rsidR="00A571FF" w:rsidRPr="00D352FF" w:rsidRDefault="00D33343" w:rsidP="00A571FF">
            <w:pPr>
              <w:widowControl/>
              <w:spacing w:line="240" w:lineRule="auto"/>
              <w:ind w:firstLineChars="0" w:firstLine="0"/>
              <w:jc w:val="center"/>
              <w:rPr>
                <w:rFonts w:cs="Times New Roman"/>
                <w:kern w:val="0"/>
                <w:sz w:val="21"/>
                <w:szCs w:val="21"/>
              </w:rPr>
            </w:pPr>
            <w:r w:rsidRPr="00D352FF">
              <w:rPr>
                <w:rFonts w:cs="Times New Roman" w:hint="eastAsia"/>
                <w:kern w:val="0"/>
                <w:sz w:val="21"/>
                <w:szCs w:val="21"/>
              </w:rPr>
              <w:t>0</w:t>
            </w:r>
            <w:r w:rsidRPr="00D352FF">
              <w:rPr>
                <w:rFonts w:cs="Times New Roman"/>
                <w:kern w:val="0"/>
                <w:sz w:val="21"/>
                <w:szCs w:val="21"/>
              </w:rPr>
              <w:t>.99</w:t>
            </w:r>
          </w:p>
        </w:tc>
      </w:tr>
    </w:tbl>
    <w:p w14:paraId="714B4624" w14:textId="77777777" w:rsidR="003478EA" w:rsidRPr="00D352FF" w:rsidRDefault="003478EA" w:rsidP="003478EA">
      <w:pPr>
        <w:spacing w:afterLines="50" w:after="156" w:line="240" w:lineRule="auto"/>
        <w:ind w:firstLine="420"/>
        <w:rPr>
          <w:sz w:val="32"/>
          <w:szCs w:val="28"/>
        </w:rPr>
      </w:pPr>
      <w:r w:rsidRPr="00D352FF">
        <w:rPr>
          <w:rFonts w:hint="eastAsia"/>
          <w:sz w:val="21"/>
          <w:szCs w:val="21"/>
        </w:rPr>
        <w:t>注：空白部分代表数据缺失。</w:t>
      </w:r>
    </w:p>
    <w:p w14:paraId="6FCED29A" w14:textId="77777777" w:rsidR="00095F69" w:rsidRPr="005B11CF" w:rsidRDefault="00000000" w:rsidP="003478EA">
      <w:pPr>
        <w:ind w:firstLine="480"/>
      </w:pPr>
      <w:r w:rsidRPr="005B11CF">
        <w:rPr>
          <w:rFonts w:hint="eastAsia"/>
        </w:rPr>
        <w:lastRenderedPageBreak/>
        <w:t>进一步地，由于税调数据并未提供企业购入的电力消费数据，</w:t>
      </w:r>
      <w:r w:rsidRPr="005B11CF">
        <w:rPr>
          <w:rFonts w:hint="eastAsia"/>
        </w:rPr>
        <w:t>Cui</w:t>
      </w:r>
      <w:r w:rsidRPr="005B11CF">
        <w:rPr>
          <w:rFonts w:hint="eastAsia"/>
        </w:rPr>
        <w:t>等（</w:t>
      </w:r>
      <w:r w:rsidRPr="005B11CF">
        <w:rPr>
          <w:rFonts w:hint="eastAsia"/>
        </w:rPr>
        <w:t>2021</w:t>
      </w:r>
      <w:r w:rsidRPr="005B11CF">
        <w:rPr>
          <w:rFonts w:hint="eastAsia"/>
        </w:rPr>
        <w:t>）无法核算间接碳排放。而且，</w:t>
      </w:r>
      <w:r w:rsidRPr="005B11CF">
        <w:rPr>
          <w:rFonts w:hint="eastAsia"/>
        </w:rPr>
        <w:t>Cui</w:t>
      </w:r>
      <w:r w:rsidRPr="005B11CF">
        <w:rPr>
          <w:rFonts w:hint="eastAsia"/>
        </w:rPr>
        <w:t>等（</w:t>
      </w:r>
      <w:r w:rsidRPr="005B11CF">
        <w:rPr>
          <w:rFonts w:hint="eastAsia"/>
        </w:rPr>
        <w:t>2021</w:t>
      </w:r>
      <w:r w:rsidRPr="005B11CF">
        <w:rPr>
          <w:rFonts w:hint="eastAsia"/>
        </w:rPr>
        <w:t>）仅考虑了化石燃料燃烧引致的碳排放，但未能针对企业生产过程导致的碳排放量进行核算。该文为了排除这一误差，将可能产生大量工业过程排放行业（包括钢铁、化工、石化、水泥、石灰、玻璃制造等行业）的企业样本进行删除，并重新进行模型估计以开展稳健性检验。我们可在此基础上，考虑各行业生产流程差异，计算各行业平均碳排放强度（即碳排放</w:t>
      </w:r>
      <w:r w:rsidRPr="005B11CF">
        <w:rPr>
          <w:rFonts w:hint="eastAsia"/>
        </w:rPr>
        <w:t>/</w:t>
      </w:r>
      <w:r w:rsidRPr="005B11CF">
        <w:rPr>
          <w:rFonts w:hint="eastAsia"/>
        </w:rPr>
        <w:t>总产值），并结合企业总产值数据反推得到企业碳排放量。</w:t>
      </w:r>
    </w:p>
    <w:p w14:paraId="6C726424" w14:textId="471D1E13" w:rsidR="00095F69" w:rsidRDefault="00000000">
      <w:pPr>
        <w:ind w:firstLine="480"/>
      </w:pPr>
      <w:r w:rsidRPr="005B11CF">
        <w:rPr>
          <w:rFonts w:hint="eastAsia"/>
        </w:rPr>
        <w:t>另外，可考虑企业的股权穿透，在厘清企业上下游股权关联关系的基础上，再次核算企业碳排放以进行稳健性检验</w:t>
      </w:r>
      <w:r w:rsidR="00B66E74">
        <w:rPr>
          <w:rFonts w:hint="eastAsia"/>
        </w:rPr>
        <w:t>（</w:t>
      </w:r>
      <w:r w:rsidR="00B66E74" w:rsidRPr="00B66E74">
        <w:rPr>
          <w:rFonts w:hint="eastAsia"/>
          <w:b/>
          <w:bCs/>
          <w:color w:val="FF0000"/>
        </w:rPr>
        <w:t>本次数据处理并未进行企业股权穿透，感兴趣的老师同学可以向我索要</w:t>
      </w:r>
      <w:r w:rsidR="00BC73A6">
        <w:rPr>
          <w:rFonts w:hint="eastAsia"/>
          <w:b/>
          <w:bCs/>
          <w:color w:val="FF0000"/>
        </w:rPr>
        <w:t>简易的</w:t>
      </w:r>
      <w:r w:rsidR="00B66E74" w:rsidRPr="00B66E74">
        <w:rPr>
          <w:rFonts w:hint="eastAsia"/>
          <w:b/>
          <w:bCs/>
          <w:color w:val="FF0000"/>
        </w:rPr>
        <w:t>股权穿透数据程序</w:t>
      </w:r>
      <w:r w:rsidR="00B66E74">
        <w:rPr>
          <w:rFonts w:hint="eastAsia"/>
        </w:rPr>
        <w:t>）</w:t>
      </w:r>
      <w:r w:rsidRPr="005B11CF">
        <w:rPr>
          <w:rFonts w:hint="eastAsia"/>
        </w:rPr>
        <w:t>。事实上，某些企业虽然自身碳排放量较小，但其控股或入股的上下游关联企业可能排放了大量的二氧化碳。为排除具有股权关联的企业之间在能源消费方面的统计误差，可基于工商数据库识别税调数据库企业的股权关联企业，若税调企业与其股权关联企业同属一个行业（一般为四分位行业），则将该税调企业样本剔除（如果股权关联企业也在税调数据库中，也应一并剔除）。</w:t>
      </w:r>
    </w:p>
    <w:p w14:paraId="7B789F34" w14:textId="77777777" w:rsidR="00095F69" w:rsidRPr="00FB7FE4" w:rsidRDefault="00000000">
      <w:pPr>
        <w:spacing w:beforeLines="50" w:before="156" w:afterLines="50" w:after="156"/>
        <w:ind w:firstLineChars="0" w:firstLine="0"/>
        <w:rPr>
          <w:b/>
          <w:bCs/>
          <w:szCs w:val="24"/>
        </w:rPr>
      </w:pPr>
      <w:r w:rsidRPr="00FB7FE4">
        <w:rPr>
          <w:rFonts w:hint="eastAsia"/>
          <w:b/>
          <w:bCs/>
          <w:szCs w:val="24"/>
        </w:rPr>
        <w:t>（三）夜间灯光数据反演法</w:t>
      </w:r>
    </w:p>
    <w:p w14:paraId="5D807DE8" w14:textId="5E2FE795" w:rsidR="00095F69" w:rsidRPr="005B11CF" w:rsidRDefault="00000000">
      <w:pPr>
        <w:ind w:firstLine="480"/>
      </w:pPr>
      <w:r w:rsidRPr="005B11CF">
        <w:rPr>
          <w:rFonts w:hint="eastAsia"/>
        </w:rPr>
        <w:t>可结合夜间灯光数据反演的碳排放栅格数据，并使用企业地理信息，对企业碳排放量进行估算。具体而言，首先解析企业的精确经纬度坐标（至少到小数点后两位），再根据企业缴纳的城镇土地使用税估算企业用地面积，进而以其经纬度坐标为圆心提取附近</w:t>
      </w:r>
      <w:r w:rsidRPr="005B11CF">
        <w:rPr>
          <w:rFonts w:hint="eastAsia"/>
        </w:rPr>
        <w:t>x</w:t>
      </w:r>
      <w:r w:rsidRPr="005B11CF">
        <w:rPr>
          <w:rFonts w:hint="eastAsia"/>
        </w:rPr>
        <w:t>千米内所有栅格碳排放量的最大值或加和或中位数，最终得到企业的碳排放量。其中，</w:t>
      </w:r>
      <w:r w:rsidRPr="005B11CF">
        <w:rPr>
          <w:rFonts w:hint="eastAsia"/>
        </w:rPr>
        <w:t>x</w:t>
      </w:r>
      <w:r w:rsidRPr="005B11CF">
        <w:rPr>
          <w:rFonts w:hint="eastAsia"/>
        </w:rPr>
        <w:t>应取企业用地面积的开方（企业用地面积根据土地使用税估算得到），小于</w:t>
      </w:r>
      <w:r w:rsidRPr="005B11CF">
        <w:rPr>
          <w:rFonts w:hint="eastAsia"/>
        </w:rPr>
        <w:t>1</w:t>
      </w:r>
      <w:r w:rsidRPr="005B11CF">
        <w:rPr>
          <w:rFonts w:hint="eastAsia"/>
        </w:rPr>
        <w:t>则按</w:t>
      </w:r>
      <w:r w:rsidRPr="005B11CF">
        <w:rPr>
          <w:rFonts w:hint="eastAsia"/>
        </w:rPr>
        <w:t>1</w:t>
      </w:r>
      <w:r w:rsidRPr="005B11CF">
        <w:rPr>
          <w:rFonts w:hint="eastAsia"/>
        </w:rPr>
        <w:t>取值。此外，若在实际测算过程中城镇土地使用税数据缺失过多，则以</w:t>
      </w:r>
      <w:r w:rsidRPr="005B11CF">
        <w:t>1</w:t>
      </w:r>
      <w:r w:rsidRPr="005B11CF">
        <w:rPr>
          <w:rFonts w:hint="eastAsia"/>
        </w:rPr>
        <w:t>、</w:t>
      </w:r>
      <w:r w:rsidRPr="005B11CF">
        <w:rPr>
          <w:rFonts w:hint="eastAsia"/>
        </w:rPr>
        <w:t>2</w:t>
      </w:r>
      <w:r w:rsidRPr="005B11CF">
        <w:rPr>
          <w:rFonts w:hint="eastAsia"/>
        </w:rPr>
        <w:t>、</w:t>
      </w:r>
      <w:r w:rsidRPr="005B11CF">
        <w:t>…</w:t>
      </w:r>
      <w:r w:rsidRPr="005B11CF">
        <w:rPr>
          <w:rFonts w:hint="eastAsia"/>
        </w:rPr>
        <w:t>千米作为</w:t>
      </w:r>
      <w:r w:rsidRPr="005B11CF">
        <w:rPr>
          <w:rFonts w:hint="eastAsia"/>
        </w:rPr>
        <w:t>x</w:t>
      </w:r>
      <w:r w:rsidRPr="005B11CF">
        <w:rPr>
          <w:rFonts w:hint="eastAsia"/>
        </w:rPr>
        <w:t>的取值，再次获取栅格碳排放量的加和，并计算得到企业的碳排放量。</w:t>
      </w:r>
    </w:p>
    <w:p w14:paraId="256B1C67" w14:textId="77777777" w:rsidR="00095F69" w:rsidRPr="00D352FF" w:rsidRDefault="00000000" w:rsidP="00D352FF">
      <w:pPr>
        <w:spacing w:before="240" w:after="120"/>
        <w:ind w:firstLineChars="0" w:firstLine="0"/>
        <w:rPr>
          <w:b/>
          <w:bCs/>
          <w:sz w:val="28"/>
          <w:szCs w:val="28"/>
        </w:rPr>
      </w:pPr>
      <w:r w:rsidRPr="00D352FF">
        <w:rPr>
          <w:rFonts w:hint="eastAsia"/>
          <w:b/>
          <w:bCs/>
          <w:sz w:val="28"/>
          <w:szCs w:val="28"/>
        </w:rPr>
        <w:t>三、跨数据库匹配思路</w:t>
      </w:r>
    </w:p>
    <w:p w14:paraId="192D5D35" w14:textId="36FE3729" w:rsidR="00095F69" w:rsidRPr="005B11CF" w:rsidRDefault="00000000">
      <w:pPr>
        <w:ind w:firstLine="480"/>
      </w:pPr>
      <w:r w:rsidRPr="005B11CF">
        <w:rPr>
          <w:rFonts w:hint="eastAsia"/>
        </w:rPr>
        <w:t>考虑税调数据库中的企业标识码大部分为</w:t>
      </w:r>
      <w:r w:rsidRPr="005B11CF">
        <w:rPr>
          <w:rFonts w:hint="eastAsia"/>
        </w:rPr>
        <w:t>1</w:t>
      </w:r>
      <w:r w:rsidRPr="005B11CF">
        <w:t>5</w:t>
      </w:r>
      <w:r w:rsidRPr="005B11CF">
        <w:rPr>
          <w:rFonts w:hint="eastAsia"/>
        </w:rPr>
        <w:t>位纳税人识别码（对于部分</w:t>
      </w:r>
      <w:r w:rsidRPr="005B11CF">
        <w:rPr>
          <w:rFonts w:hint="eastAsia"/>
        </w:rPr>
        <w:t>1</w:t>
      </w:r>
      <w:r w:rsidRPr="005B11CF">
        <w:t>8</w:t>
      </w:r>
      <w:r w:rsidRPr="005B11CF">
        <w:rPr>
          <w:rFonts w:hint="eastAsia"/>
        </w:rPr>
        <w:t>位纳税人识别码的情况，可能因该企业办理过“三证合一”），而工业企业数据库、企业污染数据库、海关数据库、专利数据库、土地出让数据库等其他数据库的企业标识码为法人代码，如需完成上述数据库的嵌套使用，有两种匹配思路：其一，直接根据企业名称信息进行模糊匹配；其二，首先将税调企业与工商数据库进行匹配，以获取企业注册信息等企业基础信息，基于此可完成税调数据库与上述其他数据库之间的匹配。税调数据与工商数据匹配思路如图</w:t>
      </w:r>
      <w:r w:rsidR="00D352FF">
        <w:t>1</w:t>
      </w:r>
      <w:r w:rsidRPr="005B11CF">
        <w:rPr>
          <w:rFonts w:hint="eastAsia"/>
        </w:rPr>
        <w:t>所示。</w:t>
      </w:r>
    </w:p>
    <w:p w14:paraId="7C5D8029" w14:textId="77777777" w:rsidR="00095F69" w:rsidRPr="005B11CF" w:rsidRDefault="0046652C">
      <w:pPr>
        <w:pStyle w:val="a9"/>
        <w:spacing w:beforeLines="50" w:before="156"/>
        <w:ind w:firstLineChars="0" w:firstLine="0"/>
        <w:jc w:val="center"/>
        <w:rPr>
          <w:rFonts w:ascii="宋体" w:hAnsi="宋体" w:hint="eastAsia"/>
        </w:rPr>
      </w:pPr>
      <w:r w:rsidRPr="005B11CF">
        <w:object w:dxaOrig="15390" w:dyaOrig="12840" w14:anchorId="207AB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5pt;height:310.5pt" o:ole="">
            <v:imagedata r:id="rId11" o:title=""/>
          </v:shape>
          <o:OLEObject Type="Embed" ProgID="Visio.Drawing.15" ShapeID="_x0000_i1025" DrawAspect="Content" ObjectID="_1816062445" r:id="rId12"/>
        </w:object>
      </w:r>
    </w:p>
    <w:p w14:paraId="2A0A90CB" w14:textId="4C176CBE" w:rsidR="00095F69" w:rsidRPr="00D352FF" w:rsidRDefault="00000000" w:rsidP="0046652C">
      <w:pPr>
        <w:spacing w:afterLines="50" w:after="156" w:line="240" w:lineRule="auto"/>
        <w:ind w:firstLineChars="0" w:firstLine="0"/>
        <w:jc w:val="center"/>
        <w:rPr>
          <w:b/>
          <w:bCs/>
          <w:sz w:val="21"/>
          <w:szCs w:val="21"/>
        </w:rPr>
      </w:pPr>
      <w:r w:rsidRPr="00D352FF">
        <w:rPr>
          <w:rFonts w:hint="eastAsia"/>
          <w:b/>
          <w:bCs/>
          <w:sz w:val="21"/>
          <w:szCs w:val="21"/>
        </w:rPr>
        <w:t>图</w:t>
      </w:r>
      <w:r w:rsidR="00D352FF" w:rsidRPr="00D352FF">
        <w:rPr>
          <w:b/>
          <w:bCs/>
          <w:sz w:val="21"/>
          <w:szCs w:val="21"/>
        </w:rPr>
        <w:t>1</w:t>
      </w:r>
      <w:r w:rsidR="008212A2" w:rsidRPr="00D352FF">
        <w:rPr>
          <w:rFonts w:hint="eastAsia"/>
          <w:b/>
          <w:bCs/>
          <w:sz w:val="21"/>
          <w:szCs w:val="21"/>
        </w:rPr>
        <w:t xml:space="preserve"> </w:t>
      </w:r>
      <w:r w:rsidRPr="00D352FF">
        <w:rPr>
          <w:rFonts w:hint="eastAsia"/>
          <w:b/>
          <w:bCs/>
          <w:sz w:val="21"/>
          <w:szCs w:val="21"/>
        </w:rPr>
        <w:t>税调数据与工商数据匹配思路</w:t>
      </w:r>
    </w:p>
    <w:p w14:paraId="0D2FF3C0" w14:textId="77777777" w:rsidR="00095F69" w:rsidRPr="005B11CF" w:rsidRDefault="00000000">
      <w:pPr>
        <w:spacing w:beforeLines="50" w:before="156" w:line="240" w:lineRule="auto"/>
        <w:ind w:firstLineChars="0" w:firstLine="0"/>
        <w:rPr>
          <w:sz w:val="21"/>
          <w:szCs w:val="21"/>
        </w:rPr>
      </w:pPr>
      <w:r w:rsidRPr="005B11CF">
        <w:rPr>
          <w:rFonts w:hint="eastAsia"/>
          <w:sz w:val="21"/>
          <w:szCs w:val="21"/>
        </w:rPr>
        <w:t>参考文献</w:t>
      </w:r>
    </w:p>
    <w:p w14:paraId="03A6D55C" w14:textId="77777777" w:rsidR="00095F69" w:rsidRPr="005B11CF" w:rsidRDefault="00000000">
      <w:pPr>
        <w:adjustRightInd/>
        <w:snapToGrid/>
        <w:spacing w:line="240" w:lineRule="auto"/>
        <w:ind w:firstLineChars="0" w:firstLine="0"/>
        <w:rPr>
          <w:rFonts w:cs="Times New Roman"/>
          <w:sz w:val="18"/>
          <w:szCs w:val="18"/>
          <w:shd w:val="clear" w:color="auto" w:fill="FFFFFF"/>
        </w:rPr>
      </w:pPr>
      <w:r w:rsidRPr="005B11CF">
        <w:rPr>
          <w:rFonts w:cs="Times New Roman"/>
          <w:sz w:val="18"/>
          <w:szCs w:val="18"/>
        </w:rPr>
        <w:t>[</w:t>
      </w:r>
      <w:r w:rsidRPr="005B11CF">
        <w:rPr>
          <w:rFonts w:cs="Times New Roman" w:hint="eastAsia"/>
          <w:sz w:val="18"/>
          <w:szCs w:val="18"/>
        </w:rPr>
        <w:t>1</w:t>
      </w:r>
      <w:r w:rsidRPr="005B11CF">
        <w:rPr>
          <w:rFonts w:cs="Times New Roman"/>
          <w:sz w:val="18"/>
          <w:szCs w:val="18"/>
        </w:rPr>
        <w:t xml:space="preserve">] </w:t>
      </w:r>
      <w:r w:rsidRPr="005B11CF">
        <w:rPr>
          <w:rFonts w:cs="Times New Roman"/>
          <w:sz w:val="18"/>
          <w:szCs w:val="18"/>
          <w:shd w:val="clear" w:color="auto" w:fill="FFFFFF"/>
        </w:rPr>
        <w:t>范子英，程可为，冯晨，</w:t>
      </w:r>
      <w:r w:rsidRPr="005B11CF">
        <w:rPr>
          <w:rFonts w:cs="Times New Roman"/>
          <w:sz w:val="18"/>
          <w:szCs w:val="18"/>
          <w:shd w:val="clear" w:color="auto" w:fill="FFFFFF"/>
        </w:rPr>
        <w:t>2022</w:t>
      </w:r>
      <w:r w:rsidRPr="005B11CF">
        <w:rPr>
          <w:rFonts w:cs="Times New Roman"/>
          <w:sz w:val="18"/>
          <w:szCs w:val="18"/>
          <w:shd w:val="clear" w:color="auto" w:fill="FFFFFF"/>
        </w:rPr>
        <w:t>：《用地价格管制与企业研发创新：来自群聚识别的证据》，《管理世界》第</w:t>
      </w:r>
      <w:r w:rsidRPr="005B11CF">
        <w:rPr>
          <w:rFonts w:cs="Times New Roman"/>
          <w:sz w:val="18"/>
          <w:szCs w:val="18"/>
          <w:shd w:val="clear" w:color="auto" w:fill="FFFFFF"/>
        </w:rPr>
        <w:t>8</w:t>
      </w:r>
      <w:r w:rsidRPr="005B11CF">
        <w:rPr>
          <w:rFonts w:cs="Times New Roman"/>
          <w:sz w:val="18"/>
          <w:szCs w:val="18"/>
          <w:shd w:val="clear" w:color="auto" w:fill="FFFFFF"/>
        </w:rPr>
        <w:t>期。</w:t>
      </w:r>
    </w:p>
    <w:p w14:paraId="3253DE46" w14:textId="77777777" w:rsidR="00095F69" w:rsidRPr="005B11CF" w:rsidRDefault="00000000">
      <w:pPr>
        <w:adjustRightInd/>
        <w:snapToGrid/>
        <w:spacing w:line="240" w:lineRule="auto"/>
        <w:ind w:firstLineChars="0" w:firstLine="0"/>
        <w:rPr>
          <w:rFonts w:cs="Times New Roman"/>
          <w:sz w:val="18"/>
          <w:szCs w:val="18"/>
          <w:shd w:val="clear" w:color="auto" w:fill="FFFFFF"/>
        </w:rPr>
      </w:pPr>
      <w:r w:rsidRPr="005B11CF">
        <w:rPr>
          <w:rFonts w:cs="Times New Roman"/>
          <w:sz w:val="18"/>
          <w:szCs w:val="18"/>
          <w:shd w:val="clear" w:color="auto" w:fill="FFFFFF"/>
        </w:rPr>
        <w:t>[</w:t>
      </w:r>
      <w:r w:rsidRPr="005B11CF">
        <w:rPr>
          <w:rFonts w:cs="Times New Roman" w:hint="eastAsia"/>
          <w:sz w:val="18"/>
          <w:szCs w:val="18"/>
          <w:shd w:val="clear" w:color="auto" w:fill="FFFFFF"/>
        </w:rPr>
        <w:t>2</w:t>
      </w:r>
      <w:r w:rsidRPr="005B11CF">
        <w:rPr>
          <w:rFonts w:cs="Times New Roman"/>
          <w:sz w:val="18"/>
          <w:szCs w:val="18"/>
          <w:shd w:val="clear" w:color="auto" w:fill="FFFFFF"/>
        </w:rPr>
        <w:t xml:space="preserve">] </w:t>
      </w:r>
      <w:r w:rsidRPr="005B11CF">
        <w:rPr>
          <w:rFonts w:cs="Times New Roman"/>
          <w:sz w:val="18"/>
          <w:szCs w:val="18"/>
          <w:shd w:val="clear" w:color="auto" w:fill="FFFFFF"/>
        </w:rPr>
        <w:t>龙小宁，张靖，</w:t>
      </w:r>
      <w:r w:rsidRPr="005B11CF">
        <w:rPr>
          <w:rFonts w:cs="Times New Roman"/>
          <w:sz w:val="18"/>
          <w:szCs w:val="18"/>
          <w:shd w:val="clear" w:color="auto" w:fill="FFFFFF"/>
        </w:rPr>
        <w:t>2021</w:t>
      </w:r>
      <w:r w:rsidRPr="005B11CF">
        <w:rPr>
          <w:rFonts w:cs="Times New Roman"/>
          <w:sz w:val="18"/>
          <w:szCs w:val="18"/>
          <w:shd w:val="clear" w:color="auto" w:fill="FFFFFF"/>
        </w:rPr>
        <w:t>：《</w:t>
      </w:r>
      <w:r w:rsidRPr="005B11CF">
        <w:rPr>
          <w:rFonts w:cs="Times New Roman"/>
          <w:sz w:val="18"/>
          <w:szCs w:val="18"/>
          <w:shd w:val="clear" w:color="auto" w:fill="FFFFFF"/>
        </w:rPr>
        <w:t>IPO</w:t>
      </w:r>
      <w:r w:rsidRPr="005B11CF">
        <w:rPr>
          <w:rFonts w:cs="Times New Roman"/>
          <w:sz w:val="18"/>
          <w:szCs w:val="18"/>
          <w:shd w:val="clear" w:color="auto" w:fill="FFFFFF"/>
        </w:rPr>
        <w:t>与专利管理：基于中国企业的实证研究》，《经济研究》第</w:t>
      </w:r>
      <w:r w:rsidRPr="005B11CF">
        <w:rPr>
          <w:rFonts w:cs="Times New Roman"/>
          <w:sz w:val="18"/>
          <w:szCs w:val="18"/>
          <w:shd w:val="clear" w:color="auto" w:fill="FFFFFF"/>
        </w:rPr>
        <w:t>8</w:t>
      </w:r>
      <w:r w:rsidRPr="005B11CF">
        <w:rPr>
          <w:rFonts w:cs="Times New Roman"/>
          <w:sz w:val="18"/>
          <w:szCs w:val="18"/>
          <w:shd w:val="clear" w:color="auto" w:fill="FFFFFF"/>
        </w:rPr>
        <w:t>期。</w:t>
      </w:r>
    </w:p>
    <w:p w14:paraId="5682F194" w14:textId="77777777" w:rsidR="00095F69" w:rsidRPr="005B11CF" w:rsidRDefault="00000000">
      <w:pPr>
        <w:adjustRightInd/>
        <w:snapToGrid/>
        <w:spacing w:line="240" w:lineRule="auto"/>
        <w:ind w:firstLineChars="0" w:firstLine="0"/>
        <w:rPr>
          <w:rFonts w:cs="Times New Roman"/>
          <w:sz w:val="18"/>
          <w:szCs w:val="18"/>
          <w:shd w:val="clear" w:color="auto" w:fill="FFFFFF"/>
        </w:rPr>
      </w:pPr>
      <w:r w:rsidRPr="005B11CF">
        <w:rPr>
          <w:rFonts w:cs="Times New Roman"/>
          <w:sz w:val="18"/>
          <w:szCs w:val="18"/>
          <w:shd w:val="clear" w:color="auto" w:fill="FFFFFF"/>
        </w:rPr>
        <w:t>[</w:t>
      </w:r>
      <w:r w:rsidRPr="005B11CF">
        <w:rPr>
          <w:rFonts w:cs="Times New Roman" w:hint="eastAsia"/>
          <w:sz w:val="18"/>
          <w:szCs w:val="18"/>
          <w:shd w:val="clear" w:color="auto" w:fill="FFFFFF"/>
        </w:rPr>
        <w:t>3</w:t>
      </w:r>
      <w:r w:rsidRPr="005B11CF">
        <w:rPr>
          <w:rFonts w:cs="Times New Roman"/>
          <w:sz w:val="18"/>
          <w:szCs w:val="18"/>
          <w:shd w:val="clear" w:color="auto" w:fill="FFFFFF"/>
        </w:rPr>
        <w:t xml:space="preserve">] </w:t>
      </w:r>
      <w:r w:rsidRPr="005B11CF">
        <w:rPr>
          <w:rFonts w:cs="Times New Roman"/>
          <w:sz w:val="18"/>
          <w:szCs w:val="18"/>
          <w:shd w:val="clear" w:color="auto" w:fill="FFFFFF"/>
        </w:rPr>
        <w:t>陆菁，鄢云，黄先海，</w:t>
      </w:r>
      <w:r w:rsidRPr="005B11CF">
        <w:rPr>
          <w:rFonts w:cs="Times New Roman"/>
          <w:sz w:val="18"/>
          <w:szCs w:val="18"/>
          <w:shd w:val="clear" w:color="auto" w:fill="FFFFFF"/>
        </w:rPr>
        <w:t>2022</w:t>
      </w:r>
      <w:r w:rsidRPr="005B11CF">
        <w:rPr>
          <w:rFonts w:cs="Times New Roman"/>
          <w:sz w:val="18"/>
          <w:szCs w:val="18"/>
          <w:shd w:val="clear" w:color="auto" w:fill="FFFFFF"/>
        </w:rPr>
        <w:t>：《规模依赖型节能政策的碳泄漏效应研究》，《中国工业经济》第</w:t>
      </w:r>
      <w:r w:rsidRPr="005B11CF">
        <w:rPr>
          <w:rFonts w:cs="Times New Roman"/>
          <w:sz w:val="18"/>
          <w:szCs w:val="18"/>
          <w:shd w:val="clear" w:color="auto" w:fill="FFFFFF"/>
        </w:rPr>
        <w:t>9</w:t>
      </w:r>
      <w:r w:rsidRPr="005B11CF">
        <w:rPr>
          <w:rFonts w:cs="Times New Roman"/>
          <w:sz w:val="18"/>
          <w:szCs w:val="18"/>
          <w:shd w:val="clear" w:color="auto" w:fill="FFFFFF"/>
        </w:rPr>
        <w:t>期。</w:t>
      </w:r>
    </w:p>
    <w:p w14:paraId="787AA5E9" w14:textId="77777777" w:rsidR="00095F69" w:rsidRPr="005B11CF" w:rsidRDefault="00000000">
      <w:pPr>
        <w:adjustRightInd/>
        <w:snapToGrid/>
        <w:spacing w:line="240" w:lineRule="auto"/>
        <w:ind w:firstLineChars="0" w:firstLine="0"/>
        <w:rPr>
          <w:rFonts w:cs="Times New Roman"/>
          <w:sz w:val="18"/>
          <w:szCs w:val="18"/>
          <w:shd w:val="clear" w:color="auto" w:fill="FFFFFF"/>
        </w:rPr>
      </w:pPr>
      <w:r w:rsidRPr="005B11CF">
        <w:rPr>
          <w:rFonts w:cs="Times New Roman"/>
          <w:sz w:val="18"/>
          <w:szCs w:val="18"/>
          <w:shd w:val="clear" w:color="auto" w:fill="FFFFFF"/>
        </w:rPr>
        <w:t xml:space="preserve">[4] </w:t>
      </w:r>
      <w:r w:rsidRPr="005B11CF">
        <w:rPr>
          <w:rFonts w:cs="Times New Roman"/>
          <w:sz w:val="18"/>
          <w:szCs w:val="18"/>
          <w:shd w:val="clear" w:color="auto" w:fill="FFFFFF"/>
        </w:rPr>
        <w:t>宋弘，封进，杨婉彧，</w:t>
      </w:r>
      <w:r w:rsidRPr="005B11CF">
        <w:rPr>
          <w:rFonts w:cs="Times New Roman"/>
          <w:sz w:val="18"/>
          <w:szCs w:val="18"/>
          <w:shd w:val="clear" w:color="auto" w:fill="FFFFFF"/>
        </w:rPr>
        <w:t>2021</w:t>
      </w:r>
      <w:r w:rsidRPr="005B11CF">
        <w:rPr>
          <w:rFonts w:cs="Times New Roman"/>
          <w:sz w:val="18"/>
          <w:szCs w:val="18"/>
          <w:shd w:val="clear" w:color="auto" w:fill="FFFFFF"/>
        </w:rPr>
        <w:t>：《社保缴费率下降对企业社保缴费与劳动力雇佣的影响》，《经济研究》第</w:t>
      </w:r>
      <w:r w:rsidRPr="005B11CF">
        <w:rPr>
          <w:rFonts w:cs="Times New Roman"/>
          <w:sz w:val="18"/>
          <w:szCs w:val="18"/>
          <w:shd w:val="clear" w:color="auto" w:fill="FFFFFF"/>
        </w:rPr>
        <w:t>1</w:t>
      </w:r>
      <w:r w:rsidRPr="005B11CF">
        <w:rPr>
          <w:rFonts w:cs="Times New Roman"/>
          <w:sz w:val="18"/>
          <w:szCs w:val="18"/>
          <w:shd w:val="clear" w:color="auto" w:fill="FFFFFF"/>
        </w:rPr>
        <w:t>期。</w:t>
      </w:r>
    </w:p>
    <w:p w14:paraId="143BD21C" w14:textId="77777777" w:rsidR="00095F69" w:rsidRPr="005B11CF" w:rsidRDefault="00000000">
      <w:pPr>
        <w:adjustRightInd/>
        <w:snapToGrid/>
        <w:spacing w:line="240" w:lineRule="auto"/>
        <w:ind w:firstLineChars="0" w:firstLine="0"/>
        <w:rPr>
          <w:rFonts w:cs="Times New Roman"/>
          <w:sz w:val="18"/>
          <w:szCs w:val="18"/>
          <w:shd w:val="clear" w:color="auto" w:fill="FFFFFF"/>
        </w:rPr>
      </w:pPr>
      <w:r w:rsidRPr="005B11CF">
        <w:rPr>
          <w:rFonts w:cs="Times New Roman"/>
          <w:sz w:val="18"/>
          <w:szCs w:val="18"/>
          <w:shd w:val="clear" w:color="auto" w:fill="FFFFFF"/>
        </w:rPr>
        <w:t>[</w:t>
      </w:r>
      <w:r w:rsidRPr="005B11CF">
        <w:rPr>
          <w:rFonts w:cs="Times New Roman" w:hint="eastAsia"/>
          <w:sz w:val="18"/>
          <w:szCs w:val="18"/>
          <w:shd w:val="clear" w:color="auto" w:fill="FFFFFF"/>
        </w:rPr>
        <w:t>5</w:t>
      </w:r>
      <w:r w:rsidRPr="005B11CF">
        <w:rPr>
          <w:rFonts w:cs="Times New Roman"/>
          <w:sz w:val="18"/>
          <w:szCs w:val="18"/>
          <w:shd w:val="clear" w:color="auto" w:fill="FFFFFF"/>
        </w:rPr>
        <w:t xml:space="preserve">] </w:t>
      </w:r>
      <w:r w:rsidRPr="005B11CF">
        <w:rPr>
          <w:rFonts w:cs="Times New Roman"/>
          <w:sz w:val="18"/>
          <w:szCs w:val="18"/>
          <w:shd w:val="clear" w:color="auto" w:fill="FFFFFF"/>
        </w:rPr>
        <w:t>田彬彬，陶东杰，李文健，</w:t>
      </w:r>
      <w:r w:rsidRPr="005B11CF">
        <w:rPr>
          <w:rFonts w:cs="Times New Roman"/>
          <w:sz w:val="18"/>
          <w:szCs w:val="18"/>
          <w:shd w:val="clear" w:color="auto" w:fill="FFFFFF"/>
        </w:rPr>
        <w:t>2020</w:t>
      </w:r>
      <w:r w:rsidRPr="005B11CF">
        <w:rPr>
          <w:rFonts w:cs="Times New Roman"/>
          <w:sz w:val="18"/>
          <w:szCs w:val="18"/>
          <w:shd w:val="clear" w:color="auto" w:fill="FFFFFF"/>
        </w:rPr>
        <w:t>：《税收任务、策略性征管与企业实际税负》，《经济研究》第</w:t>
      </w:r>
      <w:r w:rsidRPr="005B11CF">
        <w:rPr>
          <w:rFonts w:cs="Times New Roman"/>
          <w:sz w:val="18"/>
          <w:szCs w:val="18"/>
          <w:shd w:val="clear" w:color="auto" w:fill="FFFFFF"/>
        </w:rPr>
        <w:t>8</w:t>
      </w:r>
      <w:r w:rsidRPr="005B11CF">
        <w:rPr>
          <w:rFonts w:cs="Times New Roman"/>
          <w:sz w:val="18"/>
          <w:szCs w:val="18"/>
          <w:shd w:val="clear" w:color="auto" w:fill="FFFFFF"/>
        </w:rPr>
        <w:t>期。</w:t>
      </w:r>
    </w:p>
    <w:p w14:paraId="55F83664" w14:textId="77777777" w:rsidR="00095F69" w:rsidRPr="005B11CF" w:rsidRDefault="00000000">
      <w:pPr>
        <w:adjustRightInd/>
        <w:snapToGrid/>
        <w:spacing w:line="240" w:lineRule="auto"/>
        <w:ind w:firstLineChars="0" w:firstLine="0"/>
        <w:rPr>
          <w:rFonts w:cs="Times New Roman"/>
          <w:sz w:val="18"/>
          <w:szCs w:val="18"/>
          <w:shd w:val="clear" w:color="auto" w:fill="FFFFFF"/>
        </w:rPr>
      </w:pPr>
      <w:r w:rsidRPr="005B11CF">
        <w:rPr>
          <w:rFonts w:cs="Times New Roman"/>
          <w:sz w:val="18"/>
          <w:szCs w:val="18"/>
          <w:shd w:val="clear" w:color="auto" w:fill="FFFFFF"/>
        </w:rPr>
        <w:t>[</w:t>
      </w:r>
      <w:r w:rsidRPr="005B11CF">
        <w:rPr>
          <w:rFonts w:cs="Times New Roman" w:hint="eastAsia"/>
          <w:sz w:val="18"/>
          <w:szCs w:val="18"/>
          <w:shd w:val="clear" w:color="auto" w:fill="FFFFFF"/>
        </w:rPr>
        <w:t>6</w:t>
      </w:r>
      <w:r w:rsidRPr="005B11CF">
        <w:rPr>
          <w:rFonts w:cs="Times New Roman"/>
          <w:sz w:val="18"/>
          <w:szCs w:val="18"/>
          <w:shd w:val="clear" w:color="auto" w:fill="FFFFFF"/>
        </w:rPr>
        <w:t xml:space="preserve">] Cui, J., C. Wang, J. Zhang, Y. Zheng, 2021, The Effectiveness of China's Regional Carbon Market Pilots in Reducing Firm Emissions, </w:t>
      </w:r>
      <w:r w:rsidRPr="005B11CF">
        <w:rPr>
          <w:rFonts w:cs="Times New Roman"/>
          <w:i/>
          <w:iCs/>
          <w:sz w:val="18"/>
          <w:szCs w:val="18"/>
          <w:shd w:val="clear" w:color="auto" w:fill="FFFFFF"/>
        </w:rPr>
        <w:t>Proceedings of the National Academy of Sciences of the United States of America</w:t>
      </w:r>
      <w:r w:rsidRPr="005B11CF">
        <w:rPr>
          <w:rFonts w:cs="Times New Roman"/>
          <w:sz w:val="18"/>
          <w:szCs w:val="18"/>
          <w:shd w:val="clear" w:color="auto" w:fill="FFFFFF"/>
        </w:rPr>
        <w:t>, 118(52), e2109912118.</w:t>
      </w:r>
    </w:p>
    <w:p w14:paraId="2E4B7957" w14:textId="77777777" w:rsidR="00095F69" w:rsidRPr="005B11CF" w:rsidRDefault="00000000">
      <w:pPr>
        <w:adjustRightInd/>
        <w:snapToGrid/>
        <w:spacing w:line="240" w:lineRule="auto"/>
        <w:ind w:firstLineChars="0" w:firstLine="0"/>
        <w:rPr>
          <w:rFonts w:cs="Times New Roman"/>
          <w:sz w:val="18"/>
          <w:szCs w:val="18"/>
          <w:shd w:val="clear" w:color="auto" w:fill="FFFFFF"/>
        </w:rPr>
      </w:pPr>
      <w:r w:rsidRPr="005B11CF">
        <w:rPr>
          <w:rFonts w:cs="Times New Roman"/>
          <w:sz w:val="18"/>
          <w:szCs w:val="18"/>
          <w:shd w:val="clear" w:color="auto" w:fill="FFFFFF"/>
        </w:rPr>
        <w:t>[</w:t>
      </w:r>
      <w:r w:rsidRPr="005B11CF">
        <w:rPr>
          <w:rFonts w:cs="Times New Roman" w:hint="eastAsia"/>
          <w:sz w:val="18"/>
          <w:szCs w:val="18"/>
          <w:shd w:val="clear" w:color="auto" w:fill="FFFFFF"/>
        </w:rPr>
        <w:t>7</w:t>
      </w:r>
      <w:r w:rsidRPr="005B11CF">
        <w:rPr>
          <w:rFonts w:cs="Times New Roman"/>
          <w:sz w:val="18"/>
          <w:szCs w:val="18"/>
          <w:shd w:val="clear" w:color="auto" w:fill="FFFFFF"/>
        </w:rPr>
        <w:t xml:space="preserve">] </w:t>
      </w:r>
      <w:r w:rsidRPr="005B11CF">
        <w:rPr>
          <w:rFonts w:cs="Times New Roman"/>
          <w:sz w:val="18"/>
          <w:szCs w:val="18"/>
        </w:rPr>
        <w:t>Fan, Z., Y. Liu, 2020, Tax Compliance and Investment Incentives: Firm Responses to Accelerated Depreciation in China,</w:t>
      </w:r>
      <w:r w:rsidRPr="005B11CF">
        <w:rPr>
          <w:rFonts w:cs="Times New Roman"/>
          <w:i/>
          <w:iCs/>
          <w:sz w:val="18"/>
          <w:szCs w:val="18"/>
        </w:rPr>
        <w:t xml:space="preserve"> Journal of Economic Behavior </w:t>
      </w:r>
      <w:r w:rsidRPr="005B11CF">
        <w:rPr>
          <w:rFonts w:cs="Times New Roman"/>
          <w:i/>
          <w:iCs/>
          <w:sz w:val="18"/>
          <w:szCs w:val="18"/>
        </w:rPr>
        <w:t>＆</w:t>
      </w:r>
      <w:r w:rsidRPr="005B11CF">
        <w:rPr>
          <w:rFonts w:cs="Times New Roman"/>
          <w:i/>
          <w:iCs/>
          <w:sz w:val="18"/>
          <w:szCs w:val="18"/>
        </w:rPr>
        <w:t xml:space="preserve"> Organization</w:t>
      </w:r>
      <w:r w:rsidRPr="005B11CF">
        <w:rPr>
          <w:rFonts w:cs="Times New Roman"/>
          <w:sz w:val="18"/>
          <w:szCs w:val="18"/>
        </w:rPr>
        <w:t>, 176, 1—17.</w:t>
      </w:r>
    </w:p>
    <w:sectPr w:rsidR="00095F69" w:rsidRPr="005B11C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李 嘉豪" w:date="2023-05-16T13:44:00Z" w:initials="李">
    <w:p w14:paraId="7A7D55FF" w14:textId="77777777" w:rsidR="008F3671" w:rsidRDefault="008F3671">
      <w:pPr>
        <w:pStyle w:val="a3"/>
        <w:ind w:firstLineChars="0" w:firstLine="0"/>
      </w:pPr>
      <w:r>
        <w:rPr>
          <w:rStyle w:val="a8"/>
        </w:rPr>
        <w:annotationRef/>
      </w:r>
      <w:r>
        <w:rPr>
          <w:rFonts w:hint="eastAsia"/>
        </w:rPr>
        <w:t>每年的电力碳折算因子按照如下规则采用：</w:t>
      </w:r>
    </w:p>
    <w:p w14:paraId="3558FFB7" w14:textId="77777777" w:rsidR="008F3671" w:rsidRDefault="008F3671">
      <w:pPr>
        <w:pStyle w:val="a3"/>
        <w:ind w:firstLineChars="0" w:firstLine="0"/>
      </w:pPr>
      <w:r>
        <w:t>2007-2010</w:t>
      </w:r>
      <w:r>
        <w:rPr>
          <w:rFonts w:hint="eastAsia"/>
        </w:rPr>
        <w:t>年按照我国</w:t>
      </w:r>
      <w:r>
        <w:t>2010</w:t>
      </w:r>
      <w:r>
        <w:rPr>
          <w:rFonts w:hint="eastAsia"/>
        </w:rPr>
        <w:t>年公布的平均折算因子计算。</w:t>
      </w:r>
    </w:p>
    <w:p w14:paraId="3256CE7F" w14:textId="77777777" w:rsidR="008F3671" w:rsidRDefault="008F3671">
      <w:pPr>
        <w:pStyle w:val="a3"/>
        <w:ind w:firstLineChars="0" w:firstLine="0"/>
      </w:pPr>
      <w:r>
        <w:t>2011</w:t>
      </w:r>
      <w:r>
        <w:rPr>
          <w:rFonts w:hint="eastAsia"/>
        </w:rPr>
        <w:t>年按照我国</w:t>
      </w:r>
      <w:r>
        <w:t>2011</w:t>
      </w:r>
      <w:r>
        <w:rPr>
          <w:rFonts w:hint="eastAsia"/>
        </w:rPr>
        <w:t>年公布的平均折算因子计算。</w:t>
      </w:r>
    </w:p>
    <w:p w14:paraId="37942D4F" w14:textId="77777777" w:rsidR="008F3671" w:rsidRDefault="008F3671" w:rsidP="00385F2A">
      <w:pPr>
        <w:pStyle w:val="a3"/>
        <w:ind w:firstLineChars="0" w:firstLine="0"/>
      </w:pPr>
      <w:r>
        <w:t>2012-2016</w:t>
      </w:r>
      <w:r>
        <w:rPr>
          <w:rFonts w:hint="eastAsia"/>
        </w:rPr>
        <w:t>年按照我国</w:t>
      </w:r>
      <w:r>
        <w:t>2012</w:t>
      </w:r>
      <w:r>
        <w:rPr>
          <w:rFonts w:hint="eastAsia"/>
        </w:rPr>
        <w:t>年公布的平均折算因子计算。</w:t>
      </w:r>
    </w:p>
  </w:comment>
  <w:comment w:id="1" w:author="李 嘉豪" w:date="2023-05-16T13:46:00Z" w:initials="李">
    <w:p w14:paraId="645ECEF7" w14:textId="77777777" w:rsidR="0061657B" w:rsidRDefault="0061657B" w:rsidP="00DD2C52">
      <w:pPr>
        <w:pStyle w:val="a3"/>
        <w:ind w:firstLineChars="0" w:firstLine="0"/>
      </w:pPr>
      <w:r>
        <w:rPr>
          <w:rStyle w:val="a8"/>
        </w:rPr>
        <w:annotationRef/>
      </w:r>
      <w:r>
        <w:rPr>
          <w:rFonts w:hint="eastAsia"/>
        </w:rPr>
        <w:t>直接计算结果发现，历年企业的碳排放量总和远超我国实际碳排放量。检查后发现部分企业存在错报的情况，如将千瓦时报告为万千瓦时，从而导致碳排放结果过大。我们采用</w:t>
      </w:r>
      <w:r>
        <w:t>C</w:t>
      </w:r>
      <w:r>
        <w:rPr>
          <w:rFonts w:hint="eastAsia"/>
        </w:rPr>
        <w:t>ui</w:t>
      </w:r>
      <w:r>
        <w:rPr>
          <w:rFonts w:hint="eastAsia"/>
        </w:rPr>
        <w:t>等（</w:t>
      </w:r>
      <w:r>
        <w:t>2021</w:t>
      </w:r>
      <w:r>
        <w:rPr>
          <w:rFonts w:hint="eastAsia"/>
        </w:rPr>
        <w:t>）的做法，对变动幅度超过</w:t>
      </w:r>
      <w:r>
        <w:t>50</w:t>
      </w:r>
      <w:r>
        <w:rPr>
          <w:rFonts w:hint="eastAsia"/>
        </w:rPr>
        <w:t>倍的观测值予以剔除。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942D4F" w15:done="0"/>
  <w15:commentEx w15:paraId="645ECE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0E073B" w16cex:dateUtc="2023-05-16T05:44:00Z"/>
  <w16cex:commentExtensible w16cex:durableId="280E07C8" w16cex:dateUtc="2023-05-16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942D4F" w16cid:durableId="280E073B"/>
  <w16cid:commentId w16cid:paraId="645ECEF7" w16cid:durableId="280E07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C66F1" w14:textId="77777777" w:rsidR="00D06C12" w:rsidRDefault="00D06C12">
      <w:pPr>
        <w:spacing w:line="240" w:lineRule="auto"/>
        <w:ind w:firstLine="480"/>
      </w:pPr>
      <w:r>
        <w:separator/>
      </w:r>
    </w:p>
  </w:endnote>
  <w:endnote w:type="continuationSeparator" w:id="0">
    <w:p w14:paraId="663E9BE5" w14:textId="77777777" w:rsidR="00D06C12" w:rsidRDefault="00D06C1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372B6" w14:textId="77777777" w:rsidR="00D06C12" w:rsidRDefault="00D06C12">
      <w:pPr>
        <w:spacing w:line="240" w:lineRule="auto"/>
        <w:ind w:firstLine="480"/>
      </w:pPr>
      <w:r>
        <w:separator/>
      </w:r>
    </w:p>
  </w:footnote>
  <w:footnote w:type="continuationSeparator" w:id="0">
    <w:p w14:paraId="28AEF47A" w14:textId="77777777" w:rsidR="00D06C12" w:rsidRDefault="00D06C12">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F880FD"/>
    <w:multiLevelType w:val="singleLevel"/>
    <w:tmpl w:val="BCF880FD"/>
    <w:lvl w:ilvl="0">
      <w:start w:val="1"/>
      <w:numFmt w:val="decimal"/>
      <w:suff w:val="space"/>
      <w:lvlText w:val="%1."/>
      <w:lvlJc w:val="left"/>
    </w:lvl>
  </w:abstractNum>
  <w:abstractNum w:abstractNumId="1" w15:restartNumberingAfterBreak="0">
    <w:nsid w:val="F3D0BA2C"/>
    <w:multiLevelType w:val="singleLevel"/>
    <w:tmpl w:val="F3D0BA2C"/>
    <w:lvl w:ilvl="0">
      <w:start w:val="2"/>
      <w:numFmt w:val="decimal"/>
      <w:suff w:val="space"/>
      <w:lvlText w:val="%1."/>
      <w:lvlJc w:val="left"/>
    </w:lvl>
  </w:abstractNum>
  <w:num w:numId="1" w16cid:durableId="85998055">
    <w:abstractNumId w:val="0"/>
  </w:num>
  <w:num w:numId="2" w16cid:durableId="3544251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李 嘉豪">
    <w15:presenceInfo w15:providerId="Windows Live" w15:userId="0f9f6739f92ea0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Q4MjA3ODdlZmM2M2VmMmM3YTQ3NWEwNTJmMTkxZTQifQ=="/>
  </w:docVars>
  <w:rsids>
    <w:rsidRoot w:val="00172A27"/>
    <w:rsid w:val="00026B98"/>
    <w:rsid w:val="00032B8F"/>
    <w:rsid w:val="0004083D"/>
    <w:rsid w:val="00044DBE"/>
    <w:rsid w:val="00046B9B"/>
    <w:rsid w:val="00066A99"/>
    <w:rsid w:val="00076A31"/>
    <w:rsid w:val="0009043F"/>
    <w:rsid w:val="00095260"/>
    <w:rsid w:val="00095F69"/>
    <w:rsid w:val="000C1E61"/>
    <w:rsid w:val="000E01D2"/>
    <w:rsid w:val="000E07E9"/>
    <w:rsid w:val="000E5A2E"/>
    <w:rsid w:val="00104E00"/>
    <w:rsid w:val="001075D3"/>
    <w:rsid w:val="001176FE"/>
    <w:rsid w:val="00121278"/>
    <w:rsid w:val="00135A26"/>
    <w:rsid w:val="00151948"/>
    <w:rsid w:val="001546E4"/>
    <w:rsid w:val="00167450"/>
    <w:rsid w:val="00172A27"/>
    <w:rsid w:val="001933EF"/>
    <w:rsid w:val="00193B5E"/>
    <w:rsid w:val="001A483D"/>
    <w:rsid w:val="001A7445"/>
    <w:rsid w:val="001B5BDE"/>
    <w:rsid w:val="001E524C"/>
    <w:rsid w:val="001F731C"/>
    <w:rsid w:val="00213E30"/>
    <w:rsid w:val="00222738"/>
    <w:rsid w:val="00234EBD"/>
    <w:rsid w:val="002375D4"/>
    <w:rsid w:val="0024233D"/>
    <w:rsid w:val="002478A7"/>
    <w:rsid w:val="00267B1C"/>
    <w:rsid w:val="00290920"/>
    <w:rsid w:val="002A5674"/>
    <w:rsid w:val="002B5457"/>
    <w:rsid w:val="00312F6D"/>
    <w:rsid w:val="0034487B"/>
    <w:rsid w:val="003478EA"/>
    <w:rsid w:val="00387378"/>
    <w:rsid w:val="003B4BD4"/>
    <w:rsid w:val="003C271A"/>
    <w:rsid w:val="003D02D4"/>
    <w:rsid w:val="003D042B"/>
    <w:rsid w:val="003E4D24"/>
    <w:rsid w:val="003E68BE"/>
    <w:rsid w:val="00412D25"/>
    <w:rsid w:val="00415282"/>
    <w:rsid w:val="004420E5"/>
    <w:rsid w:val="0046652C"/>
    <w:rsid w:val="0047480A"/>
    <w:rsid w:val="00474CE5"/>
    <w:rsid w:val="00493EBB"/>
    <w:rsid w:val="004B50C8"/>
    <w:rsid w:val="004C2432"/>
    <w:rsid w:val="004C7EA5"/>
    <w:rsid w:val="004E5114"/>
    <w:rsid w:val="004F14B0"/>
    <w:rsid w:val="004F3930"/>
    <w:rsid w:val="004F48A5"/>
    <w:rsid w:val="00523C3E"/>
    <w:rsid w:val="0055293E"/>
    <w:rsid w:val="00560F50"/>
    <w:rsid w:val="00576EB5"/>
    <w:rsid w:val="0057729F"/>
    <w:rsid w:val="005A28CE"/>
    <w:rsid w:val="005A4601"/>
    <w:rsid w:val="005B11CF"/>
    <w:rsid w:val="005D0967"/>
    <w:rsid w:val="005E0F99"/>
    <w:rsid w:val="005E2FC3"/>
    <w:rsid w:val="005F34C5"/>
    <w:rsid w:val="006014B8"/>
    <w:rsid w:val="00602387"/>
    <w:rsid w:val="0060275E"/>
    <w:rsid w:val="006027D3"/>
    <w:rsid w:val="00602D2E"/>
    <w:rsid w:val="00602E8C"/>
    <w:rsid w:val="0061236F"/>
    <w:rsid w:val="0061657B"/>
    <w:rsid w:val="00623821"/>
    <w:rsid w:val="00624126"/>
    <w:rsid w:val="00680698"/>
    <w:rsid w:val="00684AAC"/>
    <w:rsid w:val="00686607"/>
    <w:rsid w:val="00690468"/>
    <w:rsid w:val="006908F3"/>
    <w:rsid w:val="00692831"/>
    <w:rsid w:val="006A10E8"/>
    <w:rsid w:val="006A1D6F"/>
    <w:rsid w:val="006C68DA"/>
    <w:rsid w:val="006D2040"/>
    <w:rsid w:val="006F66D4"/>
    <w:rsid w:val="00713202"/>
    <w:rsid w:val="00725E08"/>
    <w:rsid w:val="00737C3C"/>
    <w:rsid w:val="00780C17"/>
    <w:rsid w:val="007C2115"/>
    <w:rsid w:val="007C4F30"/>
    <w:rsid w:val="007E155D"/>
    <w:rsid w:val="007E63BC"/>
    <w:rsid w:val="007F1B2F"/>
    <w:rsid w:val="008212A2"/>
    <w:rsid w:val="00821ACC"/>
    <w:rsid w:val="00822018"/>
    <w:rsid w:val="00822756"/>
    <w:rsid w:val="00854819"/>
    <w:rsid w:val="00873FA4"/>
    <w:rsid w:val="008911B2"/>
    <w:rsid w:val="008A63F1"/>
    <w:rsid w:val="008C42D4"/>
    <w:rsid w:val="008D2924"/>
    <w:rsid w:val="008F3671"/>
    <w:rsid w:val="008F670D"/>
    <w:rsid w:val="00914F97"/>
    <w:rsid w:val="00924372"/>
    <w:rsid w:val="00930379"/>
    <w:rsid w:val="009537EF"/>
    <w:rsid w:val="0097392E"/>
    <w:rsid w:val="00973F0A"/>
    <w:rsid w:val="00984562"/>
    <w:rsid w:val="009A0265"/>
    <w:rsid w:val="009D0CE0"/>
    <w:rsid w:val="009E148E"/>
    <w:rsid w:val="009F0F35"/>
    <w:rsid w:val="00A1228A"/>
    <w:rsid w:val="00A15C10"/>
    <w:rsid w:val="00A36E81"/>
    <w:rsid w:val="00A500A3"/>
    <w:rsid w:val="00A56D71"/>
    <w:rsid w:val="00A571FF"/>
    <w:rsid w:val="00A65221"/>
    <w:rsid w:val="00A70D32"/>
    <w:rsid w:val="00A75BF6"/>
    <w:rsid w:val="00A94EEC"/>
    <w:rsid w:val="00A94F32"/>
    <w:rsid w:val="00AA7EB6"/>
    <w:rsid w:val="00AB27E4"/>
    <w:rsid w:val="00AB3256"/>
    <w:rsid w:val="00AD78C6"/>
    <w:rsid w:val="00AE426A"/>
    <w:rsid w:val="00AE5084"/>
    <w:rsid w:val="00AE5DBD"/>
    <w:rsid w:val="00AF28FA"/>
    <w:rsid w:val="00AF410D"/>
    <w:rsid w:val="00B12A4C"/>
    <w:rsid w:val="00B148F7"/>
    <w:rsid w:val="00B14EEC"/>
    <w:rsid w:val="00B24700"/>
    <w:rsid w:val="00B51FD2"/>
    <w:rsid w:val="00B53CB2"/>
    <w:rsid w:val="00B66E74"/>
    <w:rsid w:val="00B75B21"/>
    <w:rsid w:val="00B76178"/>
    <w:rsid w:val="00B93BB4"/>
    <w:rsid w:val="00BC73A6"/>
    <w:rsid w:val="00C12CC6"/>
    <w:rsid w:val="00C1341B"/>
    <w:rsid w:val="00C862C1"/>
    <w:rsid w:val="00CA32C3"/>
    <w:rsid w:val="00CB4E55"/>
    <w:rsid w:val="00CC702B"/>
    <w:rsid w:val="00D06C12"/>
    <w:rsid w:val="00D12D35"/>
    <w:rsid w:val="00D13C20"/>
    <w:rsid w:val="00D23B96"/>
    <w:rsid w:val="00D33343"/>
    <w:rsid w:val="00D352FF"/>
    <w:rsid w:val="00D35771"/>
    <w:rsid w:val="00D7737B"/>
    <w:rsid w:val="00D940DB"/>
    <w:rsid w:val="00D9666F"/>
    <w:rsid w:val="00DA20CE"/>
    <w:rsid w:val="00DD2A83"/>
    <w:rsid w:val="00E26C05"/>
    <w:rsid w:val="00E319FA"/>
    <w:rsid w:val="00E41FAF"/>
    <w:rsid w:val="00E5063D"/>
    <w:rsid w:val="00E65897"/>
    <w:rsid w:val="00E679EC"/>
    <w:rsid w:val="00E71D01"/>
    <w:rsid w:val="00E82CCE"/>
    <w:rsid w:val="00EB489F"/>
    <w:rsid w:val="00EC37BB"/>
    <w:rsid w:val="00F326B9"/>
    <w:rsid w:val="00F61796"/>
    <w:rsid w:val="00F7479F"/>
    <w:rsid w:val="00F74800"/>
    <w:rsid w:val="00F9656B"/>
    <w:rsid w:val="00FA21C7"/>
    <w:rsid w:val="00FB7FE4"/>
    <w:rsid w:val="00FF661E"/>
    <w:rsid w:val="00FF777C"/>
    <w:rsid w:val="0EDE6765"/>
    <w:rsid w:val="0FCD513F"/>
    <w:rsid w:val="181D4C03"/>
    <w:rsid w:val="3E866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CFD1"/>
  <w15:docId w15:val="{4B10D962-BC0E-4FC0-96CB-2F733FD8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spacing w:line="400" w:lineRule="exact"/>
      <w:ind w:firstLineChars="200" w:firstLine="200"/>
      <w:jc w:val="both"/>
    </w:pPr>
    <w:rPr>
      <w:rFonts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annotation subject"/>
    <w:basedOn w:val="a3"/>
    <w:next w:val="a3"/>
    <w:link w:val="a6"/>
    <w:uiPriority w:val="99"/>
    <w:semiHidden/>
    <w:unhideWhenUsed/>
    <w:rPr>
      <w:b/>
      <w:bCs/>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qFormat/>
    <w:rPr>
      <w:sz w:val="21"/>
      <w:szCs w:val="21"/>
    </w:rPr>
  </w:style>
  <w:style w:type="paragraph" w:styleId="a9">
    <w:name w:val="No Spacing"/>
    <w:uiPriority w:val="1"/>
    <w:qFormat/>
    <w:pPr>
      <w:widowControl w:val="0"/>
      <w:adjustRightInd w:val="0"/>
      <w:snapToGrid w:val="0"/>
      <w:ind w:firstLineChars="200" w:firstLine="200"/>
      <w:jc w:val="both"/>
    </w:pPr>
    <w:rPr>
      <w:rFonts w:cstheme="minorBidi"/>
      <w:kern w:val="2"/>
      <w:sz w:val="24"/>
      <w:szCs w:val="22"/>
    </w:rPr>
  </w:style>
  <w:style w:type="paragraph" w:styleId="aa">
    <w:name w:val="List Paragraph"/>
    <w:basedOn w:val="a"/>
    <w:uiPriority w:val="34"/>
    <w:qFormat/>
    <w:pPr>
      <w:ind w:firstLine="420"/>
    </w:pPr>
  </w:style>
  <w:style w:type="paragraph" w:customStyle="1" w:styleId="1">
    <w:name w:val="修订1"/>
    <w:hidden/>
    <w:uiPriority w:val="99"/>
    <w:semiHidden/>
    <w:rPr>
      <w:rFonts w:cstheme="minorBidi"/>
      <w:kern w:val="2"/>
      <w:sz w:val="24"/>
      <w:szCs w:val="22"/>
    </w:rPr>
  </w:style>
  <w:style w:type="character" w:customStyle="1" w:styleId="a4">
    <w:name w:val="批注文字 字符"/>
    <w:basedOn w:val="a0"/>
    <w:link w:val="a3"/>
    <w:uiPriority w:val="99"/>
    <w:rPr>
      <w:rFonts w:cstheme="minorBidi"/>
      <w:kern w:val="2"/>
      <w:sz w:val="24"/>
      <w:szCs w:val="22"/>
    </w:rPr>
  </w:style>
  <w:style w:type="character" w:customStyle="1" w:styleId="a6">
    <w:name w:val="批注主题 字符"/>
    <w:basedOn w:val="a4"/>
    <w:link w:val="a5"/>
    <w:uiPriority w:val="99"/>
    <w:semiHidden/>
    <w:qFormat/>
    <w:rPr>
      <w:rFonts w:cstheme="minorBidi"/>
      <w:b/>
      <w:bCs/>
      <w:kern w:val="2"/>
      <w:sz w:val="24"/>
      <w:szCs w:val="22"/>
    </w:rPr>
  </w:style>
  <w:style w:type="paragraph" w:styleId="ab">
    <w:name w:val="Revision"/>
    <w:hidden/>
    <w:uiPriority w:val="99"/>
    <w:semiHidden/>
    <w:rsid w:val="00523C3E"/>
    <w:rPr>
      <w:rFonts w:cstheme="minorBid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282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嘉豪</dc:creator>
  <cp:lastModifiedBy>嘉豪 李</cp:lastModifiedBy>
  <cp:revision>28</cp:revision>
  <dcterms:created xsi:type="dcterms:W3CDTF">2023-10-07T02:15:00Z</dcterms:created>
  <dcterms:modified xsi:type="dcterms:W3CDTF">2025-08-07T01:01:00Z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0682E6565EDF45CC8E4982E660CE4016_13</vt:lpwstr>
  </property>
</Properties>
</file>