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4. Class Diagram</w:t>
      </w:r>
    </w:p>
    <w:p>
      <w:r>
        <w:t>The model separates a person's candidate record from an application to a requisition. Each application maintains its own stage, scores, interviews and offer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Class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Attributes / details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Requisition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requisitionId; role; gradeBand; headcount; location; ctcMin; ctcMax; hiringManager; openedDate; targetJoinDate; status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Candidate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candidateId; name; noticePeriodDays; currentCTC; expectedCTC; experienceYears; source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Application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applicationId; stage; applicationDate; L1Score; L2Score; HRScore; targetGrade; waitlistPosition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Interview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interviewId; round; date; start; end; panelMembers; status; score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Interviewer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interviewerId; name; grade; availabilityWindows; dailyBookings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Offer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offerId; proposedCTC; joiningBonus; totalCost; flags; status; offerDate; expiryDate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Approval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approver; decision; deadline; status</w:t>
            </w:r>
          </w:p>
        </w:tc>
      </w:tr>
    </w:tbl>
    <w:p>
      <w:r>
        <w:t>Supporting classes/services: BusinessRuleEngine, OfferCalculator, InterviewScheduler, ApprovalService, HeadcountService, HolidayCalendar, CommandProcessor and PipelineReportService. These may be implemented as Java classes within appropriate packages.</w:t>
      </w:r>
    </w:p>
    <w:p>
      <w:r>
        <w:t>Relationships: one requisition has many applications; each application belongs to one candidate and one requisition; an application can have multiple interviews and at most one active offer; interviews have one or more interviewers; offers contain ordered approval records.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