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5. State Diagrams</w:t>
      </w:r>
    </w:p>
    <w:p>
      <w:pPr>
        <w:pStyle w:val="Heading2"/>
      </w:pPr>
      <w:r>
        <w:t>5.1 Application state machine</w:t>
      </w:r>
    </w:p>
    <w:p>
      <w:r>
        <w:t>Primary path: SCREENED → L1 → L2 → HR → OFFER_DRAFT → OFFER_APPROVED → OFFERED → ACCEPTED → JOINED. An OFFERED candidate may DECLINE. An unaccepted offer becomes WITHDRAWN on day 8. A score below 2.0 sends the application to REJECTED immediately. WAITLIST and ON_HOLD are additional application states. NO_SLOT is a scheduling outcome and does not change the stage.</w:t>
      </w:r>
    </w:p>
    <w:p>
      <w:r>
        <w:t>Transition guards: L2 requires L1 score ≥ 3.0; HR requires L2 score ≥ 3.5. Scores exactly 3.0 and 3.5 pass. Any score &lt; 2.0 causes immediate rejection. Illegal transitions return a documented reason code.</w:t>
      </w:r>
    </w:p>
    <w:p>
      <w:pPr>
        <w:pStyle w:val="Heading2"/>
      </w:pPr>
      <w:r>
        <w:t>5.2 Requisition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OPEN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Accepts applications and offer reservations while headcount is available.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AT_RISK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Open for more than 45 days; may still be active.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CLOSED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Closed when headcount is filled under the implemented rule, or auto-closed after more than 90 days if no headcount is reserved.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