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9. Assumptions and Decision Log</w:t>
      </w:r>
    </w:p>
    <w:p>
      <w:r>
        <w:t>The brief contains details that should be explicit before implementation. Proposed decisions are listed below; confirm with the mentor if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Decision ID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Proposed decision / clarification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OUT_OF_BAND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Compare original expected CTC to band maximum × 1.10; exactly 110% is not flagged.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CTC floor/cap conflict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If band minimum conflicts with the current-CTC cap or band maximum, use a deterministic documented precedence and validate requisition bands.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Interview intervals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An interview may end at the window boundary. Conflict checks and the separate 15-minute gap rule must both pass.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Offer validity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Acceptance through day 7 at 23:59 is valid; day 8 at 00:00 is expired.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Approval timeout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Working days exclude weekends and supplied holidays. VP and CFO are not auto-skipped.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DEC-06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Total cost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Use offered CTC + applicable fee + bonus; confirm whether deferred referral cost is included at approval time.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DEC-07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Concurrent headcount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Process competing drafts deterministically and commit reservations atomically.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DEC-08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State model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Keep application state, offer status and requisition status separate.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